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Infants’ Property Act 1830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Infants’ Property Act 1830 (Imp)</w:t>
            </w:r>
          </w:p>
        </w:tc>
        <w:tc>
          <w:p>
            <w:pPr>
              <w:pStyle w:val="Table01Row"/>
            </w:pPr>
            <w:r>
              <w:t>1830 (11 Geo. IV &amp; 1 Will. IV c. 65)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4))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Infants' Property Act 1830 (Imp)</vt:lpwstr>
  </property>
  <property pid="3" name="IDAct" fmtid="{D5CDD505-2E9C-101B-9397-08002B2CF9AE}">
    <vt:lpwstr>637</vt:lpwstr>
  </property>
  <property pid="4" name="ChangedDate" fmtid="{D5CDD505-2E9C-101B-9397-08002B2CF9AE}">
    <vt:lpwstr>20210421010822</vt:lpwstr>
  </property>
</Properties>
</file>