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The Bank of Adelaide (Merger) Act 1980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Bank of Adelaide (Merger) Act 1980</w:t>
            </w:r>
          </w:p>
        </w:tc>
        <w:tc>
          <w:p>
            <w:pPr>
              <w:pStyle w:val="Table01Row"/>
            </w:pPr>
            <w:r>
              <w:t>1980/006</w:t>
            </w:r>
          </w:p>
        </w:tc>
        <w:tc>
          <w:p>
            <w:pPr>
              <w:pStyle w:val="Table01Row"/>
            </w:pPr>
            <w:r>
              <w:t>23 Sep 1980</w:t>
            </w:r>
          </w:p>
        </w:tc>
        <w:tc>
          <w:p>
            <w:pPr>
              <w:pStyle w:val="Table01Row"/>
            </w:pPr>
            <w:r>
              <w:rPr/>
              <w:t xml:space="preserve">1 Oct 1980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The Bank of Adelaide (Merger) Act 1980</vt:lpwstr>
  </property>
  <property pid="3" name="IDAct" fmtid="{D5CDD505-2E9C-101B-9397-08002B2CF9AE}">
    <vt:lpwstr>63</vt:lpwstr>
  </property>
  <property pid="4" name="ChangedDate" fmtid="{D5CDD505-2E9C-101B-9397-08002B2CF9AE}">
    <vt:lpwstr>20230609150906</vt:lpwstr>
  </property>
</Properties>
</file>