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Carbon Rights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Carbon Rights Act 2003</w:t>
            </w:r>
          </w:p>
        </w:tc>
        <w:tc>
          <w:p>
            <w:pPr>
              <w:pStyle w:val="Table01Row"/>
            </w:pPr>
            <w:r>
              <w:t>2003/038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2003;</w:t>
            </w:r>
          </w:p>
          <w:p>
            <w:pPr>
              <w:pStyle w:val="Table01Row"/>
            </w:pPr>
            <w:r>
              <w:rPr/>
              <w:t xml:space="preserve">Act other than s. 1 &amp; 2: 24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2004 p. 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Carbon Rights Act 2003</vt:lpwstr>
  </property>
  <property pid="3" name="IDAct" fmtid="{D5CDD505-2E9C-101B-9397-08002B2CF9AE}">
    <vt:lpwstr>6494</vt:lpwstr>
  </property>
  <property pid="4" name="ChangedDate" fmtid="{D5CDD505-2E9C-101B-9397-08002B2CF9AE}">
    <vt:lpwstr>20230129090436</vt:lpwstr>
  </property>
</Properties>
</file>