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Bank of South Australia (Merger with Advance Bank)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South Australia (Merger with Advance Bank) Act 1996</w:t>
            </w:r>
          </w:p>
        </w:tc>
        <w:tc>
          <w:p>
            <w:pPr>
              <w:pStyle w:val="Table01Row"/>
            </w:pPr>
            <w:r>
              <w:t>1996/066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commencement of South Australian Act)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Bank of South Australia (Merger with Advance Bank) Act 1996</vt:lpwstr>
  </property>
  <property pid="3" name="IDAct" fmtid="{D5CDD505-2E9C-101B-9397-08002B2CF9AE}">
    <vt:lpwstr>64</vt:lpwstr>
  </property>
  <property pid="4" name="ChangedDate" fmtid="{D5CDD505-2E9C-101B-9397-08002B2CF9AE}">
    <vt:lpwstr>20230609150906</vt:lpwstr>
  </property>
</Properties>
</file>