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Real Property (Commonwealth Titles) Act 1925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Real Property (Commonwealth Titles) Act 1925</w:t>
            </w:r>
          </w:p>
        </w:tc>
        <w:tc>
          <w:p>
            <w:pPr>
              <w:pStyle w:val="Table01Row"/>
            </w:pPr>
            <w:r>
              <w:t>1925/003 (16 Geo. V No. 3)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Real Property (Commonwealth Titles) Act 1925</vt:lpwstr>
  </property>
  <property pid="3" name="IDAct" fmtid="{D5CDD505-2E9C-101B-9397-08002B2CF9AE}">
    <vt:lpwstr>673</vt:lpwstr>
  </property>
  <property pid="4" name="ChangedDate" fmtid="{D5CDD505-2E9C-101B-9397-08002B2CF9AE}">
    <vt:lpwstr>20230127165751</vt:lpwstr>
  </property>
</Properties>
</file>