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Dangerous Goods Safety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Goods Safety Act 2004</w:t>
            </w:r>
          </w:p>
        </w:tc>
        <w:tc>
          <w:p>
            <w:pPr>
              <w:pStyle w:val="Table01Row"/>
            </w:pPr>
            <w:r>
              <w:t>2004/007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s. 1 &amp; 2: 10 Jun 2004;</w:t>
            </w:r>
          </w:p>
          <w:p>
            <w:pPr>
              <w:pStyle w:val="Table01Row"/>
            </w:pPr>
            <w:r>
              <w:rPr/>
              <w:t xml:space="preserve">Act other than s. 1 &amp; 2: 1 Mar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Feb 2008 p. 669)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33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Jun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17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4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1 Jan 2021 (see s. 2(1)(c) and SL 2020/125 cl. 2(c)(iv))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Dangerous Goods Safety Act 2004</vt:lpwstr>
  </property>
  <property pid="3" name="IDAct" fmtid="{D5CDD505-2E9C-101B-9397-08002B2CF9AE}">
    <vt:lpwstr>7019</vt:lpwstr>
  </property>
  <property pid="4" name="ChangedDate" fmtid="{D5CDD505-2E9C-101B-9397-08002B2CF9AE}">
    <vt:lpwstr>20240105111118</vt:lpwstr>
  </property>
</Properties>
</file>