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Sea‑Carriage of Goods Act 1909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Sea‑Carriage of Goods Act 1909</w:t>
            </w:r>
          </w:p>
        </w:tc>
        <w:tc>
          <w:p>
            <w:pPr>
              <w:pStyle w:val="Table01Row"/>
            </w:pPr>
            <w:r>
              <w:t>1909/026 (9 Edw. VII No. 22)</w:t>
            </w:r>
          </w:p>
        </w:tc>
        <w:tc>
          <w:p>
            <w:pPr>
              <w:pStyle w:val="Table01Row"/>
            </w:pPr>
            <w:r>
              <w:t>29 Oct 1909</w:t>
            </w:r>
          </w:p>
        </w:tc>
        <w:tc>
          <w:p>
            <w:pPr>
              <w:pStyle w:val="Table01Row"/>
            </w:pPr>
            <w:r>
              <w:rPr/>
              <w:t xml:space="preserve">1 Jan 1910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Jun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Sea-Carriage of Goods Act 1909</vt:lpwstr>
  </property>
  <property pid="3" name="IDAct" fmtid="{D5CDD505-2E9C-101B-9397-08002B2CF9AE}">
    <vt:lpwstr>731</vt:lpwstr>
  </property>
  <property pid="4" name="ChangedDate" fmtid="{D5CDD505-2E9C-101B-9397-08002B2CF9AE}">
    <vt:lpwstr>20230613134304</vt:lpwstr>
  </property>
</Properties>
</file>