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Enterprises (Commonwealth Tax Equivalents)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</w:p>
        </w:tc>
        <w:tc>
          <w:p>
            <w:pPr>
              <w:pStyle w:val="Table01Row"/>
            </w:pPr>
            <w:r>
              <w:t>1996/055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1996;</w:t>
            </w:r>
          </w:p>
          <w:p>
            <w:pPr>
              <w:pStyle w:val="Table01Row"/>
            </w:pPr>
            <w:r>
              <w:rPr/>
              <w:t xml:space="preserve">s. 9 &amp; 10: 1 Jul 1996 (see s. 2 &amp; 3(3)); </w:t>
            </w:r>
          </w:p>
          <w:p>
            <w:pPr>
              <w:pStyle w:val="Table01Row"/>
            </w:pPr>
            <w:r>
              <w:rPr/>
              <w:t xml:space="preserve">Act other than s. 1, 2, 9 &amp; 10: 7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Jun 1997 p. 2615)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Aug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Enterprises (Commonwealth Tax Equivalents) Act 1996</vt:lpwstr>
  </property>
  <property pid="3" name="IDAct" fmtid="{D5CDD505-2E9C-101B-9397-08002B2CF9AE}">
    <vt:lpwstr>774</vt:lpwstr>
  </property>
  <property pid="4" name="ChangedDate" fmtid="{D5CDD505-2E9C-101B-9397-08002B2CF9AE}">
    <vt:lpwstr>20230609150906</vt:lpwstr>
  </property>
</Properties>
</file>