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Statute of Frauds (1677) (Imp)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of Frauds (1677) (Imp)</w:t>
            </w:r>
          </w:p>
        </w:tc>
        <w:tc>
          <w:p>
            <w:pPr>
              <w:pStyle w:val="Table01Row"/>
            </w:pPr>
            <w:r>
              <w:t>1677 (29 Car II c. 3)</w:t>
            </w:r>
          </w:p>
        </w:tc>
        <w:tc>
          <w:p>
            <w:pPr>
              <w:pStyle w:val="Table01Row"/>
            </w:pPr>
            <w:r>
              <w:t/>
            </w:r>
          </w:p>
        </w:tc>
        <w:tc>
          <w:p>
            <w:pPr>
              <w:pStyle w:val="Table01Row"/>
            </w:pPr>
            <w:r>
              <w:rPr/>
              <w:t xml:space="preserve">1 Jun 1829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Sale of Goods Act 1895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1895 (59 Vict. No. 41)</w:t>
            </w:r>
          </w:p>
        </w:tc>
        <w:tc>
          <w:p>
            <w:pPr>
              <w:pStyle w:val="Table01Row"/>
            </w:pPr>
            <w:r>
              <w:t>12 Oct 1895</w:t>
            </w:r>
          </w:p>
        </w:tc>
        <w:tc>
          <w:p>
            <w:pPr>
              <w:pStyle w:val="Table01Row"/>
            </w:pPr>
            <w:r>
              <w:rPr/>
              <w:t xml:space="preserve">1 Jan 1896 (see s. 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Law Reform (Statute of Frauds) Act 1962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1962/016 (11 Eliz. II No. 16)</w:t>
            </w:r>
          </w:p>
        </w:tc>
        <w:tc>
          <w:p>
            <w:pPr>
              <w:pStyle w:val="Table01Row"/>
            </w:pPr>
            <w:r>
              <w:t>1 Oct 1962</w:t>
            </w:r>
          </w:p>
        </w:tc>
        <w:tc>
          <w:p>
            <w:pPr>
              <w:pStyle w:val="Table01Row"/>
            </w:pPr>
            <w:r>
              <w:rPr/>
              <w:t xml:space="preserve">1 Oct 1962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Statute of Frauds (1677) (Imp)</vt:lpwstr>
  </property>
  <property pid="3" name="IDAct" fmtid="{D5CDD505-2E9C-101B-9397-08002B2CF9AE}">
    <vt:lpwstr>789</vt:lpwstr>
  </property>
  <property pid="4" name="ChangedDate" fmtid="{D5CDD505-2E9C-101B-9397-08002B2CF9AE}">
    <vt:lpwstr>20210421010822</vt:lpwstr>
  </property>
</Properties>
</file>