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Trans‑Continental Railway Act 1911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Trans‑Continental Railway Act 1911</w:t>
            </w:r>
          </w:p>
        </w:tc>
        <w:tc>
          <w:p>
            <w:pPr>
              <w:pStyle w:val="Table01Row"/>
            </w:pPr>
            <w:r>
              <w:t>1912/006 (2 Geo. V No. 14)</w:t>
            </w:r>
          </w:p>
        </w:tc>
        <w:tc>
          <w:p>
            <w:pPr>
              <w:pStyle w:val="Table01Row"/>
            </w:pPr>
            <w:r>
              <w:t>9 Jan 1912</w:t>
            </w:r>
          </w:p>
        </w:tc>
        <w:tc>
          <w:p>
            <w:pPr>
              <w:pStyle w:val="Table01Row"/>
            </w:pPr>
            <w:r>
              <w:rPr/>
              <w:t xml:space="preserve">9 Jan 1912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Aug 2007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Trans-Continental Railway Act 1911</vt:lpwstr>
  </property>
  <property pid="3" name="IDAct" fmtid="{D5CDD505-2E9C-101B-9397-08002B2CF9AE}">
    <vt:lpwstr>827</vt:lpwstr>
  </property>
  <property pid="4" name="ChangedDate" fmtid="{D5CDD505-2E9C-101B-9397-08002B2CF9AE}">
    <vt:lpwstr>20230613134304</vt:lpwstr>
  </property>
</Properties>
</file>