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University Medical School, Teaching Hospitals, Act 1955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Medical School, Teaching Hospitals, Act 1955</w:t>
            </w:r>
          </w:p>
        </w:tc>
        <w:tc>
          <w:p>
            <w:pPr>
              <w:pStyle w:val="Table01Row"/>
            </w:pPr>
            <w:r>
              <w:t>1955/031 (4 Eliz. II No. 31)</w:t>
            </w:r>
          </w:p>
        </w:tc>
        <w:tc>
          <w:p>
            <w:pPr>
              <w:pStyle w:val="Table01Row"/>
            </w:pPr>
            <w:r>
              <w:t>24 Nov 1955</w:t>
            </w:r>
          </w:p>
        </w:tc>
        <w:tc>
          <w:p>
            <w:pPr>
              <w:pStyle w:val="Table01Row"/>
            </w:pPr>
            <w:r>
              <w:rPr/>
              <w:t xml:space="preserve">24 Nov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1981/052</w:t>
            </w:r>
          </w:p>
        </w:tc>
        <w:tc>
          <w:p>
            <w:pPr>
              <w:pStyle w:val="Table01Row"/>
            </w:pPr>
            <w:r>
              <w:t>25 Sep 1981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XXIII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Medical School, Teaching Hospitals, Amendment Act 1985</w:t>
            </w:r>
          </w:p>
        </w:tc>
        <w:tc>
          <w:p>
            <w:pPr>
              <w:pStyle w:val="Table01Row"/>
            </w:pPr>
            <w:r>
              <w:t>1985/021</w:t>
            </w:r>
          </w:p>
        </w:tc>
        <w:tc>
          <w:p>
            <w:pPr>
              <w:pStyle w:val="Table01Row"/>
            </w:pPr>
            <w:r>
              <w:t>19 Apr 1985</w:t>
            </w:r>
          </w:p>
        </w:tc>
        <w:tc>
          <w:p>
            <w:pPr>
              <w:pStyle w:val="Table01Row"/>
            </w:pPr>
            <w:r>
              <w:rPr/>
              <w:t xml:space="preserve">17 May 1985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1991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21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23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305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2023/001</w:t>
            </w:r>
          </w:p>
        </w:tc>
        <w:tc>
          <w:p>
            <w:pPr>
              <w:pStyle w:val="Table01Row"/>
            </w:pPr>
            <w:r>
              <w:t>22 Feb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2023/103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University Medical School, Teaching Hospitals, Act 1955</vt:lpwstr>
  </property>
  <property pid="3" name="IDAct" fmtid="{D5CDD505-2E9C-101B-9397-08002B2CF9AE}">
    <vt:lpwstr>847</vt:lpwstr>
  </property>
  <property pid="4" name="ChangedDate" fmtid="{D5CDD505-2E9C-101B-9397-08002B2CF9AE}">
    <vt:lpwstr>20240108103041</vt:lpwstr>
  </property>
</Properties>
</file>