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Victims of Crime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Victims of Crime Act 1994</w:t>
            </w:r>
          </w:p>
        </w:tc>
        <w:tc>
          <w:p>
            <w:pPr>
              <w:pStyle w:val="Table01Row"/>
            </w:pPr>
            <w:r>
              <w:t>1994/081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20 Jan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79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Victims of Crime Amendment Act 2004</w:t>
            </w:r>
          </w:p>
        </w:tc>
        <w:tc>
          <w:p>
            <w:pPr>
              <w:pStyle w:val="Table01Row"/>
            </w:pPr>
            <w:r>
              <w:t>2004/030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14 Oct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25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28 Oct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411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Victims of Crime Act 1994</vt:lpwstr>
  </property>
  <property pid="3" name="IDAct" fmtid="{D5CDD505-2E9C-101B-9397-08002B2CF9AE}">
    <vt:lpwstr>857</vt:lpwstr>
  </property>
  <property pid="4" name="ChangedDate" fmtid="{D5CDD505-2E9C-101B-9397-08002B2CF9AE}">
    <vt:lpwstr>20210421010822</vt:lpwstr>
  </property>
</Properties>
</file>