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Treasury Corporation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Treasury Corporation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Treasury Corporation Act 1986</w:t>
            </w:r>
          </w:p>
        </w:tc>
        <w:tc>
          <w:p>
            <w:pPr>
              <w:pStyle w:val="Table01Row"/>
            </w:pPr>
            <w:r>
              <w:t>1986/016</w:t>
            </w:r>
          </w:p>
        </w:tc>
        <w:tc>
          <w:p>
            <w:pPr>
              <w:pStyle w:val="Table01Row"/>
            </w:pPr>
            <w:r>
              <w:t>25 Jul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1987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1987/059</w:t>
            </w:r>
          </w:p>
        </w:tc>
        <w:tc>
          <w:p>
            <w:pPr>
              <w:pStyle w:val="Table01Row"/>
            </w:pPr>
            <w:r>
              <w:t>9 Nov 1987</w:t>
            </w:r>
          </w:p>
        </w:tc>
        <w:tc>
          <w:p>
            <w:pPr>
              <w:pStyle w:val="Table01Row"/>
            </w:pPr>
            <w:r>
              <w:rPr/>
              <w:t xml:space="preserve">25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1988 p. 1995)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Treasury Corporation Amendment Act 1992</w:t>
            </w:r>
          </w:p>
        </w:tc>
        <w:tc>
          <w:p>
            <w:pPr>
              <w:pStyle w:val="Table01Row"/>
            </w:pPr>
            <w:r>
              <w:t>1992/024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17 Jun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Treasury Corporation Amendment Act 1998</w:t>
            </w:r>
            <w:r>
              <w:t xml:space="preserve"> </w:t>
              <w:t>s. 1‑25</w:t>
            </w:r>
          </w:p>
        </w:tc>
        <w:tc>
          <w:p>
            <w:pPr>
              <w:pStyle w:val="Table01Row"/>
            </w:pPr>
            <w:r>
              <w:t>1998/025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1998;</w:t>
            </w:r>
          </w:p>
          <w:p>
            <w:pPr>
              <w:pStyle w:val="Table01Row"/>
            </w:pPr>
            <w:r>
              <w:rPr/>
              <w:t xml:space="preserve">Act other than s. 1 &amp; 2: 10 Nov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Nov 1998 p. 6149)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111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Jan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56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132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 Sep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11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16 &amp; Sch. 1 cl. 186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</w:t>
              <w:t>s. 511 &amp; 518</w:t>
            </w:r>
          </w:p>
        </w:tc>
        <w:tc>
          <w:p>
            <w:pPr>
              <w:pStyle w:val="Table01Row"/>
            </w:pPr>
            <w:r>
              <w:t>2009/024</w:t>
            </w:r>
          </w:p>
        </w:tc>
        <w:tc>
          <w:p>
            <w:pPr>
              <w:pStyle w:val="Table01Row"/>
            </w:pPr>
            <w:r>
              <w:t>22 Oct 2009</w:t>
            </w:r>
          </w:p>
        </w:tc>
        <w:tc>
          <w:p>
            <w:pPr>
              <w:pStyle w:val="Table01Row"/>
            </w:pPr>
            <w:r>
              <w:rPr/>
              <w:t xml:space="preserve">s. 511: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  <w:p>
            <w:pPr>
              <w:pStyle w:val="Table01Row"/>
            </w:pPr>
            <w:r>
              <w:rPr/>
              <w:t xml:space="preserve">s. 518: 1 Sep 2012 (see s. 2(c))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May 2010 (not including 2005/017 &amp; 2009/024)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11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Treasury Corporation Act 1986</vt:lpwstr>
  </property>
  <property pid="3" name="IDAct" fmtid="{D5CDD505-2E9C-101B-9397-08002B2CF9AE}">
    <vt:lpwstr>896</vt:lpwstr>
  </property>
  <property pid="4" name="ChangedDate" fmtid="{D5CDD505-2E9C-101B-9397-08002B2CF9AE}">
    <vt:lpwstr>20230609150906</vt:lpwstr>
  </property>
</Properties>
</file>