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Wire and Wire Netting Act 1926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Wire and Wire Netting Act 1926</w:t>
            </w:r>
          </w:p>
        </w:tc>
        <w:tc>
          <w:p>
            <w:pPr>
              <w:pStyle w:val="Table01Row"/>
            </w:pPr>
            <w:r>
              <w:t>1926/035 (17 Geo. V No. 35)</w:t>
            </w:r>
          </w:p>
        </w:tc>
        <w:tc>
          <w:p>
            <w:pPr>
              <w:pStyle w:val="Table01Row"/>
            </w:pPr>
            <w:r>
              <w:t>8 Dec 1926</w:t>
            </w:r>
          </w:p>
        </w:tc>
        <w:tc>
          <w:p>
            <w:pPr>
              <w:pStyle w:val="Table01Row"/>
            </w:pPr>
            <w:r>
              <w:rPr/>
              <w:t xml:space="preserve">8 Dec 1926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Wire and Wire Netting Act 1926</vt:lpwstr>
  </property>
  <property pid="3" name="IDAct" fmtid="{D5CDD505-2E9C-101B-9397-08002B2CF9AE}">
    <vt:lpwstr>910</vt:lpwstr>
  </property>
  <property pid="4" name="ChangedDate" fmtid="{D5CDD505-2E9C-101B-9397-08002B2CF9AE}">
    <vt:lpwstr>20230613134304</vt:lpwstr>
  </property>
</Properties>
</file>