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Y</w:t>
      </w:r>
    </w:p>
    <w:p>
      <w:pPr>
        <w:pStyle w:val="IActName"/>
      </w:pPr>
      <w:r>
        <w:t>Young Offenders Act 1994</w:t>
      </w:r>
    </w:p>
    <w:p>
      <w:pPr>
        <w:pStyle w:val="Table01Note"/>
      </w:pPr>
      <w:r>
        <w:rPr/>
        <w:t xml:space="preserve">Note: In order to give effect to the Cross‑border Justice Act 2008, the Young Offenders Act 1994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Act 1994</w:t>
            </w:r>
          </w:p>
        </w:tc>
        <w:tc>
          <w:p>
            <w:pPr>
              <w:pStyle w:val="Table01Row"/>
            </w:pPr>
            <w:r>
              <w:t>1994/104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s. 1 &amp; 2: 11 Jan 1995;</w:t>
            </w:r>
          </w:p>
          <w:p>
            <w:pPr>
              <w:pStyle w:val="Table01Row"/>
            </w:pPr>
            <w:r>
              <w:rPr/>
              <w:t xml:space="preserve">Act other than s. 1 &amp; 2: 13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1995 p. 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</w:t>
              <w:t>s. 13(6) &amp; 20</w:t>
            </w:r>
          </w:p>
        </w:tc>
        <w:tc>
          <w:p>
            <w:pPr>
              <w:pStyle w:val="Table01Row"/>
            </w:pPr>
            <w:r>
              <w:t>1994/082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s. 13(6): 20 Jan 1995 (see s. 2(3)); </w:t>
            </w:r>
          </w:p>
          <w:p>
            <w:pPr>
              <w:pStyle w:val="Table01Row"/>
            </w:pPr>
            <w:r>
              <w:rPr/>
              <w:t xml:space="preserve">s. 20: 13 Mar 1995 (see s. 2(4)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1995 p. 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11 Jan 1995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86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1996/036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Repealed by 1998/029 s. 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1996 (not including 1996/002, 1996/036 &amp;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1998/029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Aug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1998/047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5 Dec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1998 p. 6447)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1999/057</w:t>
            </w:r>
          </w:p>
        </w:tc>
        <w:tc>
          <w:p>
            <w:pPr>
              <w:pStyle w:val="Table01Row"/>
            </w:pPr>
            <w:r>
              <w:t>16 Dec 1999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2000/017</w:t>
            </w:r>
          </w:p>
        </w:tc>
        <w:tc>
          <w:p>
            <w:pPr>
              <w:pStyle w:val="Table01Row"/>
            </w:pPr>
            <w:r>
              <w:t>22 Jun 2000</w:t>
            </w:r>
          </w:p>
        </w:tc>
        <w:tc>
          <w:p>
            <w:pPr>
              <w:pStyle w:val="Table01Row"/>
            </w:pPr>
            <w:r>
              <w:rPr/>
              <w:t xml:space="preserve">29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3987)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2000/050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Amendment Act 2000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2000/064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Repealed by 2003/050 s. 32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1999/036, 1999/057, 2000/050 &amp; 2000/064)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</w:t>
              <w:t>s. 10(4)</w:t>
            </w:r>
          </w:p>
        </w:tc>
        <w:tc>
          <w:p>
            <w:pPr>
              <w:pStyle w:val="Table01Row"/>
            </w:pPr>
            <w:r>
              <w:t>2001/023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24 Dec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29(3) &amp; 104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s. 29(3): 31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 </w:t>
            </w:r>
          </w:p>
          <w:p>
            <w:pPr>
              <w:pStyle w:val="Table01Row"/>
            </w:pPr>
            <w:r>
              <w:rPr/>
              <w:t xml:space="preserve">s. 104: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24 &amp; 26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2004/027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31 May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2006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27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Amendment Act 2004</w:t>
            </w:r>
          </w:p>
        </w:tc>
        <w:tc>
          <w:p>
            <w:pPr>
              <w:pStyle w:val="Table01Row"/>
            </w:pPr>
            <w:r>
              <w:t>2004/058</w:t>
            </w:r>
          </w:p>
        </w:tc>
        <w:tc>
          <w:p>
            <w:pPr>
              <w:pStyle w:val="Table01Row"/>
            </w:pPr>
            <w:r>
              <w:t>22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2004;</w:t>
            </w:r>
          </w:p>
          <w:p>
            <w:pPr>
              <w:pStyle w:val="Table01Row"/>
            </w:pPr>
            <w:r>
              <w:rPr/>
              <w:t xml:space="preserve">Act other than s. 1, 2, 6, 7, 40 &amp; Sch. 1: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7132); </w:t>
            </w:r>
          </w:p>
          <w:p>
            <w:pPr>
              <w:pStyle w:val="Table01Row"/>
            </w:pPr>
            <w:r>
              <w:rPr/>
              <w:t xml:space="preserve">s. 6, 7 &amp; 40 &amp; Sch. 1: 1 Jul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</w:t>
              <w:t>s. 9(4)</w:t>
            </w:r>
          </w:p>
        </w:tc>
        <w:tc>
          <w:p>
            <w:pPr>
              <w:pStyle w:val="Table01Row"/>
            </w:pPr>
            <w:r>
              <w:t>2004/062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2004 p. 5965)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15, 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Jul 2005 (not including 2004/027 &amp;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2007/006</w:t>
            </w:r>
          </w:p>
        </w:tc>
        <w:tc>
          <w:p>
            <w:pPr>
              <w:pStyle w:val="Table01Row"/>
            </w:pPr>
            <w:r>
              <w:t>23 May 2007</w:t>
            </w:r>
          </w:p>
        </w:tc>
        <w:tc>
          <w:p>
            <w:pPr>
              <w:pStyle w:val="Table01Row"/>
            </w:pPr>
            <w:r>
              <w:rPr/>
              <w:t xml:space="preserve">12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2007 p. 5475)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2007/039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15 Mar 2008 (see s. 2(k)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2008 p. 829)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132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31 Jul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Parental Support and Responsibility Act 2008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2008/014</w:t>
            </w:r>
          </w:p>
        </w:tc>
        <w:tc>
          <w:p>
            <w:pPr>
              <w:pStyle w:val="Table01Row"/>
            </w:pPr>
            <w:r>
              <w:t>15 Apr 2008</w:t>
            </w:r>
          </w:p>
        </w:tc>
        <w:tc>
          <w:p>
            <w:pPr>
              <w:pStyle w:val="Table01Row"/>
            </w:pPr>
            <w:r>
              <w:rPr/>
              <w:t xml:space="preserve">28 Mar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2009 p. 917)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714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55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Jan 2009 (not including 2008/013, 2008/014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51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2010/045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Legislation Amendment (Research Information)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2011/026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12 Jul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54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Aug 2012 (not including 2008/013 &amp;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182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21 (s. 136‑142)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21 other than s. 138 &amp; 139: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138 &amp; 139: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24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2014/029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24 Aug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Aug 2015 p. 3310)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</w:t>
              <w:t>Pt. 2 Div. 3 Subdiv. 3</w:t>
            </w:r>
          </w:p>
        </w:tc>
        <w:tc>
          <w:p>
            <w:pPr>
              <w:pStyle w:val="Table01Row"/>
            </w:pPr>
            <w:r>
              <w:t>2015/023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1 Jan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2015 p. 5027)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9 Oct 2015 (not including 2008/013, 2013/020 s. 138 &amp; 139, 2014/025 &amp; 2015/023)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Legislation Amendment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2015/035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</w:t>
              <w:t>Pt. 6 Div. 3</w:t>
            </w:r>
          </w:p>
        </w:tc>
        <w:tc>
          <w:p>
            <w:pPr>
              <w:pStyle w:val="Table01Row"/>
            </w:pPr>
            <w:r>
              <w:t>2016/016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12 Oct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2016 p. 4531)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</w:t>
              <w:t>s. 21 &amp; Pt. 3 Div. 1 Subdiv. 2</w:t>
            </w:r>
          </w:p>
        </w:tc>
        <w:tc>
          <w:p>
            <w:pPr>
              <w:pStyle w:val="Table01Row"/>
            </w:pPr>
            <w:r>
              <w:t>2016/025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s. 21: 22 Sep 2016 (see s. 2(b));</w:t>
            </w:r>
          </w:p>
          <w:p>
            <w:pPr>
              <w:pStyle w:val="Table01Row"/>
            </w:pPr>
            <w:r>
              <w:rPr/>
              <w:t xml:space="preserve">Pt. 3 Div. 1 Subdiv. 2: 28 Nov 2016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2016 p. 5279)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2016/051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14 Jan 2017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Jun 2018 (not including 2008/013, 2013/020 s. 138 &amp; 139 &amp; 2015/035)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2(1)(b) and SL 2021/54 cl.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23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2022/014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11 Nov 2022 (see s. 2(b) and SL 2022/182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29, s. 409, 410 &amp; 411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Amendment Act 2023</w:t>
            </w:r>
          </w:p>
        </w:tc>
        <w:tc>
          <w:p>
            <w:pPr>
              <w:pStyle w:val="Table01Row"/>
            </w:pPr>
            <w:r>
              <w:t>2023/015</w:t>
            </w:r>
          </w:p>
        </w:tc>
        <w:tc>
          <w:p>
            <w:pPr>
              <w:pStyle w:val="Table01Row"/>
            </w:pPr>
            <w:r>
              <w:t>26 Jun 2023</w:t>
            </w:r>
          </w:p>
        </w:tc>
        <w:tc>
          <w:p>
            <w:pPr>
              <w:pStyle w:val="Table01Row"/>
            </w:pPr>
            <w:r>
              <w:rPr/>
              <w:t xml:space="preserve">s. 1 &amp; 2: 26 Jun 2023 (see s. 2(a));</w:t>
            </w:r>
          </w:p>
          <w:p>
            <w:pPr>
              <w:pStyle w:val="Table01Row"/>
            </w:pPr>
            <w:r>
              <w:rPr/>
              <w:t xml:space="preserve">Act other than s. 1 &amp; 2: 27 Jun 2023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Young Offenders Act 1994</vt:lpwstr>
  </property>
  <property pid="3" name="IDAct" fmtid="{D5CDD505-2E9C-101B-9397-08002B2CF9AE}">
    <vt:lpwstr>922</vt:lpwstr>
  </property>
  <property pid="4" name="ChangedDate" fmtid="{D5CDD505-2E9C-101B-9397-08002B2CF9AE}">
    <vt:lpwstr>20230613134402</vt:lpwstr>
  </property>
</Properties>
</file>