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M</w:t>
      </w:r>
    </w:p>
    <w:p>
      <w:pPr>
        <w:pStyle w:val="IActName"/>
      </w:pPr>
      <w:r>
        <w:t>Magistrates Court Act 2004</w:t>
      </w:r>
    </w:p>
    <w:p>
      <w:pPr>
        <w:pStyle w:val="Table01Note"/>
      </w:pPr>
      <w:r>
        <w:rPr/>
        <w:t xml:space="preserve">Note: In order to give effect to the Cross‑border Justice Act 2008, the Magistrates Court Act 2004 must be applied with the modifications prescribed by the Cross‑border Justice Regulations 2009.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Magistrates Court Act 2004</w:t>
            </w:r>
          </w:p>
        </w:tc>
        <w:tc>
          <w:p>
            <w:pPr>
              <w:pStyle w:val="Table01Row"/>
            </w:pPr>
            <w:r>
              <w:t>2004/047</w:t>
            </w:r>
          </w:p>
        </w:tc>
        <w:tc>
          <w:p>
            <w:pPr>
              <w:pStyle w:val="Table01Row"/>
            </w:pPr>
            <w:r>
              <w:t>12 Nov 2004</w:t>
            </w:r>
          </w:p>
        </w:tc>
        <w:tc>
          <w:p>
            <w:pPr>
              <w:pStyle w:val="Table01Row"/>
            </w:pPr>
            <w:r>
              <w:rPr/>
              <w:t xml:space="preserve">s. 1 &amp; 2: 12 Nov 2004;</w:t>
            </w:r>
          </w:p>
          <w:p>
            <w:pPr>
              <w:pStyle w:val="Table01Row"/>
            </w:pPr>
            <w:r>
              <w:rPr/>
              <w:t xml:space="preserve">Act other than s. 1 &amp; 2: 1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78, 80 &amp; 82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Oaths, Affidavits and Statutory Declarations (Consequential Provisions) Act 2005</w:t>
            </w:r>
            <w:r>
              <w:t xml:space="preserve"> </w:t>
              <w:t>Pt. 8</w:t>
            </w:r>
          </w:p>
        </w:tc>
        <w:tc>
          <w:p>
            <w:pPr>
              <w:pStyle w:val="Table01Row"/>
            </w:pPr>
            <w:r>
              <w:t>2005/024</w:t>
            </w:r>
          </w:p>
        </w:tc>
        <w:tc>
          <w:p>
            <w:pPr>
              <w:pStyle w:val="Table01Row"/>
            </w:pPr>
            <w:r>
              <w:t>2 Dec 2005</w:t>
            </w:r>
          </w:p>
        </w:tc>
        <w:tc>
          <w:p>
            <w:pPr>
              <w:pStyle w:val="Table01Row"/>
            </w:pPr>
            <w:r>
              <w:rPr/>
              <w:t xml:space="preserve">1 Jan 2006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23 Dec 2005 p. 6244)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Investigation (Consequential Provisions) Act 2006</w:t>
            </w:r>
            <w:r>
              <w:t xml:space="preserve"> </w:t>
              <w:t>s. 73</w:t>
            </w:r>
          </w:p>
        </w:tc>
        <w:tc>
          <w:p>
            <w:pPr>
              <w:pStyle w:val="Table01Row"/>
            </w:pPr>
            <w:r>
              <w:t>2006/059</w:t>
            </w:r>
          </w:p>
        </w:tc>
        <w:tc>
          <w:p>
            <w:pPr>
              <w:pStyle w:val="Table01Row"/>
            </w:pPr>
            <w:r>
              <w:t>16 Nov 2006</w:t>
            </w:r>
          </w:p>
        </w:tc>
        <w:tc>
          <w:p>
            <w:pPr>
              <w:pStyle w:val="Table01Row"/>
            </w:pPr>
            <w:r>
              <w:rPr/>
              <w:t xml:space="preserve">1 Jul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22 Jun 2007 p. 2838)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Amendment Act 2007</w:t>
            </w:r>
            <w:r>
              <w:t xml:space="preserve"> </w:t>
              <w:t>s. 77</w:t>
            </w:r>
          </w:p>
        </w:tc>
        <w:tc>
          <w:p>
            <w:pPr>
              <w:pStyle w:val="Table01Row"/>
            </w:pPr>
            <w:r>
              <w:t>2007/025</w:t>
            </w:r>
          </w:p>
        </w:tc>
        <w:tc>
          <w:p>
            <w:pPr>
              <w:pStyle w:val="Table01Row"/>
            </w:pPr>
            <w:r>
              <w:t>16 Oct 2007</w:t>
            </w:r>
          </w:p>
        </w:tc>
        <w:tc>
          <w:p>
            <w:pPr>
              <w:pStyle w:val="Table01Row"/>
            </w:pPr>
            <w:r>
              <w:rPr/>
              <w:t xml:space="preserve">6 Dec 2007 (see s. 2(1)(b) and </w:t>
            </w:r>
            <w:r>
              <w:rPr>
                <w:i/>
              </w:rPr>
              <w:t xml:space="preserve">Gazette</w:t>
            </w:r>
            <w:r>
              <w:rPr/>
              <w:t xml:space="preserve"> 5 Dec 2007 p. 5973)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4 Jan 2008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(Justice) Act 2008</w:t>
            </w:r>
            <w:r>
              <w:t xml:space="preserve"> </w:t>
              <w:t>Pt. 15</w:t>
            </w:r>
          </w:p>
        </w:tc>
        <w:tc>
          <w:p>
            <w:pPr>
              <w:pStyle w:val="Table01Row"/>
            </w:pPr>
            <w:r>
              <w:t>2008/005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30 Sep 2008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11 Jul 2008 p. 3253)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Cross‑border Justice Act 2008</w:t>
            </w:r>
            <w:r>
              <w:t xml:space="preserve"> </w:t>
              <w:t>Pt. 15 Div. 2</w:t>
            </w:r>
          </w:p>
        </w:tc>
        <w:tc>
          <w:p>
            <w:pPr>
              <w:pStyle w:val="Table01Row"/>
            </w:pPr>
            <w:r>
              <w:t>2008/007</w:t>
            </w:r>
          </w:p>
        </w:tc>
        <w:tc>
          <w:p>
            <w:pPr>
              <w:pStyle w:val="Table01Row"/>
            </w:pPr>
            <w:r>
              <w:t>31 Mar 2008</w:t>
            </w:r>
          </w:p>
        </w:tc>
        <w:tc>
          <w:p>
            <w:pPr>
              <w:pStyle w:val="Table01Row"/>
            </w:pPr>
            <w:r>
              <w:rPr/>
              <w:t xml:space="preserve">1 Nov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9 Oct 2009 p. 3991)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Act 2008</w:t>
            </w:r>
            <w:r>
              <w:t xml:space="preserve"> </w:t>
              <w:t>s. 677</w:t>
            </w:r>
          </w:p>
        </w:tc>
        <w:tc>
          <w:p>
            <w:pPr>
              <w:pStyle w:val="Table01Row"/>
            </w:pPr>
            <w:r>
              <w:t>2008/021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Mar 2009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27 Feb 2009 p. 511)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32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May 2009 (not including 2008/007)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55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32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Road Traffic Legislation Amendment Act 2012</w:t>
            </w:r>
            <w:r>
              <w:t xml:space="preserve"> </w:t>
              <w:t>Pt. 4 Div. 30</w:t>
            </w:r>
          </w:p>
        </w:tc>
        <w:tc>
          <w:p>
            <w:pPr>
              <w:pStyle w:val="Table01Row"/>
            </w:pPr>
            <w:r>
              <w:t>2012/008</w:t>
            </w:r>
          </w:p>
        </w:tc>
        <w:tc>
          <w:p>
            <w:pPr>
              <w:pStyle w:val="Table01Row"/>
            </w:pPr>
            <w:r>
              <w:t>21 May 2012</w:t>
            </w:r>
          </w:p>
        </w:tc>
        <w:tc>
          <w:p>
            <w:pPr>
              <w:pStyle w:val="Table01Row"/>
            </w:pPr>
            <w:r>
              <w:rPr/>
              <w:t xml:space="preserve">27 Apr 2015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17 Apr 2015 p. 1371)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and Tribunals (Electronic Processes Facilitation) Act 2013</w:t>
            </w:r>
            <w:r>
              <w:t xml:space="preserve"> </w:t>
              <w:t>Pt. 3 Div. 13</w:t>
            </w:r>
          </w:p>
        </w:tc>
        <w:tc>
          <w:p>
            <w:pPr>
              <w:pStyle w:val="Table01Row"/>
            </w:pPr>
            <w:r>
              <w:t>2013/020</w:t>
            </w:r>
          </w:p>
        </w:tc>
        <w:tc>
          <w:p>
            <w:pPr>
              <w:pStyle w:val="Table01Row"/>
            </w:pPr>
            <w:r>
              <w:t>4 Nov 2013</w:t>
            </w:r>
          </w:p>
        </w:tc>
        <w:tc>
          <w:p>
            <w:pPr>
              <w:pStyle w:val="Table01Row"/>
            </w:pPr>
            <w:r>
              <w:rPr/>
              <w:t xml:space="preserve">25 Nov 2013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22 Nov 2013 p. 5391)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Corruption and Crime Commission Amendment (Misconduct) Act 2014</w:t>
            </w:r>
            <w:r>
              <w:t xml:space="preserve"> </w:t>
              <w:t>s. 39</w:t>
            </w:r>
          </w:p>
        </w:tc>
        <w:tc>
          <w:p>
            <w:pPr>
              <w:pStyle w:val="Table01Row"/>
            </w:pPr>
            <w:r>
              <w:t>2014/035</w:t>
            </w:r>
          </w:p>
        </w:tc>
        <w:tc>
          <w:p>
            <w:pPr>
              <w:pStyle w:val="Table01Row"/>
            </w:pPr>
            <w:r>
              <w:t>9 Dec 2014</w:t>
            </w:r>
          </w:p>
        </w:tc>
        <w:tc>
          <w:p>
            <w:pPr>
              <w:pStyle w:val="Table01Row"/>
            </w:pPr>
            <w:r>
              <w:rPr/>
              <w:t xml:space="preserve">1 Jul 2015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26 Jun 2015 p. 2235)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2 Oct 2015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Act 2018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2018/029</w:t>
            </w:r>
          </w:p>
        </w:tc>
        <w:tc>
          <w:p>
            <w:pPr>
              <w:pStyle w:val="Table01Row"/>
            </w:pPr>
            <w:r>
              <w:t>2 Nov 2018</w:t>
            </w:r>
          </w:p>
        </w:tc>
        <w:tc>
          <w:p>
            <w:pPr>
              <w:pStyle w:val="Table01Row"/>
            </w:pPr>
            <w:r>
              <w:rPr/>
              <w:t xml:space="preserve">3 Nov 2018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Amendment (Uncertain Dates) Act 2020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2020/047</w:t>
            </w:r>
          </w:p>
        </w:tc>
        <w:tc>
          <w:p>
            <w:pPr>
              <w:pStyle w:val="Table01Row"/>
            </w:pPr>
            <w:r>
              <w:t>9 Dec 2020</w:t>
            </w:r>
          </w:p>
        </w:tc>
        <w:tc>
          <w:p>
            <w:pPr>
              <w:pStyle w:val="Table01Row"/>
            </w:pPr>
            <w:r>
              <w:rPr/>
              <w:t xml:space="preserve">10 Dec 2020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Courts Legislation Amendment (Magistrates) Act 2022</w:t>
            </w:r>
            <w:r>
              <w:t xml:space="preserve"> </w:t>
              <w:t>Pt. 3</w:t>
            </w:r>
          </w:p>
        </w:tc>
        <w:tc>
          <w:p>
            <w:pPr>
              <w:pStyle w:val="Table01Row"/>
            </w:pPr>
            <w:r>
              <w:t>2022/002</w:t>
            </w:r>
          </w:p>
        </w:tc>
        <w:tc>
          <w:p>
            <w:pPr>
              <w:pStyle w:val="Table01Row"/>
            </w:pPr>
            <w:r>
              <w:t>28 Feb 2022</w:t>
            </w:r>
          </w:p>
        </w:tc>
        <w:tc>
          <w:p>
            <w:pPr>
              <w:pStyle w:val="Table01Row"/>
            </w:pPr>
            <w:r>
              <w:rPr/>
              <w:t xml:space="preserve">1 Mar 2022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Legal Profession Uniform Law Application Act 2022</w:t>
            </w:r>
            <w:r>
              <w:t xml:space="preserve"> </w:t>
              <w:t>Pt. 17 Div. 14</w:t>
            </w:r>
          </w:p>
        </w:tc>
        <w:tc>
          <w:p>
            <w:pPr>
              <w:pStyle w:val="Table01Row"/>
            </w:pPr>
            <w:r>
              <w:t>2022/009</w:t>
            </w:r>
          </w:p>
        </w:tc>
        <w:tc>
          <w:p>
            <w:pPr>
              <w:pStyle w:val="Table01Row"/>
            </w:pPr>
            <w:r>
              <w:t>14 Apr 2022</w:t>
            </w:r>
          </w:p>
        </w:tc>
        <w:tc>
          <w:p>
            <w:pPr>
              <w:pStyle w:val="Table01Row"/>
            </w:pPr>
            <w:r>
              <w:rPr/>
              <w:t xml:space="preserve">1 Jul 2022 (see s. 2(c) and SL 2022/113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Law (Mental Impairment) Act 2023</w:t>
            </w:r>
            <w:r>
              <w:t xml:space="preserve"> </w:t>
              <w:t>Pt. 15 Div. 19</w:t>
            </w:r>
          </w:p>
        </w:tc>
        <w:tc>
          <w:p>
            <w:pPr>
              <w:pStyle w:val="Table01Row"/>
            </w:pPr>
            <w:r>
              <w:t>2023/010</w:t>
            </w:r>
          </w:p>
        </w:tc>
        <w:tc>
          <w:p>
            <w:pPr>
              <w:pStyle w:val="Table01Row"/>
            </w:pPr>
            <w:r>
              <w:t>13 Apr 2023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2(b))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Magistrates Court Act 2004</vt:lpwstr>
  </property>
  <property pid="3" name="IDAct" fmtid="{D5CDD505-2E9C-101B-9397-08002B2CF9AE}">
    <vt:lpwstr>9257</vt:lpwstr>
  </property>
  <property pid="4" name="ChangedDate" fmtid="{D5CDD505-2E9C-101B-9397-08002B2CF9AE}">
    <vt:lpwstr>20210421010822</vt:lpwstr>
  </property>
</Properties>
</file>