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Appeals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Act 2004</w:t>
            </w:r>
          </w:p>
        </w:tc>
        <w:tc>
          <w:p>
            <w:pPr>
              <w:pStyle w:val="Table01Row"/>
            </w:pPr>
            <w:r>
              <w:t>2004/060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 &amp; 2: 23 Nov 2004;</w:t>
            </w:r>
          </w:p>
          <w:p>
            <w:pPr>
              <w:pStyle w:val="Table01Row"/>
            </w:pPr>
            <w:r>
              <w:rPr/>
              <w:t xml:space="preserve">Act other than s. 1 &amp; 2: 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Jan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13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2012/009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26 Sep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2012 p. 4499)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12 Apr 2013 (not including 2012/008)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Amendment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2022/018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1 Jan 2023 (see s. 2(b) and SL 2022/212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6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Appeals Act 2004</vt:lpwstr>
  </property>
  <property pid="3" name="IDAct" fmtid="{D5CDD505-2E9C-101B-9397-08002B2CF9AE}">
    <vt:lpwstr>9267</vt:lpwstr>
  </property>
  <property pid="4" name="ChangedDate" fmtid="{D5CDD505-2E9C-101B-9397-08002B2CF9AE}">
    <vt:lpwstr>20210421010821</vt:lpwstr>
  </property>
</Properties>
</file>