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Reserves (National Parks, Conservation Parks and Other Reserves)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(National Parks, Conservation Parks and Other Reserves) Act 2004</w:t>
            </w:r>
          </w:p>
        </w:tc>
        <w:tc>
          <w:p>
            <w:pPr>
              <w:pStyle w:val="Table01Row"/>
            </w:pPr>
            <w:r>
              <w:t>2004/079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Act other than s. 11: 8 Dec 2004 (see s. 2(1)); </w:t>
            </w:r>
          </w:p>
          <w:p>
            <w:pPr>
              <w:pStyle w:val="Table01Row"/>
            </w:pPr>
            <w:r>
              <w:rPr/>
              <w:t xml:space="preserve">s. 11: 6 Apr 2005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Apr 2005 p. 1121)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Reserves (National Parks, Conservation Parks and Other Reserves) Act 2004</vt:lpwstr>
  </property>
  <property pid="3" name="IDAct" fmtid="{D5CDD505-2E9C-101B-9397-08002B2CF9AE}">
    <vt:lpwstr>9278</vt:lpwstr>
  </property>
  <property pid="4" name="ChangedDate" fmtid="{D5CDD505-2E9C-101B-9397-08002B2CF9AE}">
    <vt:lpwstr>20230129090436</vt:lpwstr>
  </property>
</Properties>
</file>