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Electricity Corporations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Pt. 1, s. 141, 142, 144‑152, 153(1) &amp; 179: 13 Oct 2005 (see s. 2(1));</w:t>
            </w:r>
          </w:p>
          <w:p>
            <w:pPr>
              <w:pStyle w:val="Table01Row"/>
            </w:pPr>
            <w:r>
              <w:rPr/>
              <w:t xml:space="preserve">Pt. 2‑8, s. 143, 153(2)‑(4), 154‑178, 180‑192 &amp; Sch. 1‑4 &amp; Sch. 5 (other than cl. 21(2)(a)(ii)): 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1153); </w:t>
            </w:r>
          </w:p>
          <w:p>
            <w:pPr>
              <w:pStyle w:val="Table01Row"/>
            </w:pPr>
            <w:r>
              <w:rPr/>
              <w:t xml:space="preserve">Sch. 5 cl. 21(2)(a)(ii) deleted by 2009/008 s. 50(3)(b)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53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81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50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14 May 2010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4) (Planning) Act 2010</w:t>
            </w:r>
            <w:r>
              <w:t xml:space="preserve"> </w:t>
              <w:t>s. 31</w:t>
            </w:r>
          </w:p>
        </w:tc>
        <w:tc>
          <w:p>
            <w:pPr>
              <w:pStyle w:val="Table01Row"/>
            </w:pPr>
            <w:r>
              <w:t>2010/028</w:t>
            </w:r>
          </w:p>
        </w:tc>
        <w:tc>
          <w:p>
            <w:pPr>
              <w:pStyle w:val="Table01Row"/>
            </w:pPr>
            <w:r>
              <w:t>19 Aug 2010</w:t>
            </w:r>
          </w:p>
        </w:tc>
        <w:tc>
          <w:p>
            <w:pPr>
              <w:pStyle w:val="Table01Row"/>
            </w:pPr>
            <w:r>
              <w:rPr/>
              <w:t xml:space="preserve">22 Nov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19 Nov 2010 p. 5709)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2012</w:t>
            </w:r>
            <w: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t>2012/048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21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Aug 2013 p. 3815)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Pt. 2 (s. 3‑36)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Pt. 2 heading &amp; s. 3 &amp; 32‑35: 19 Dec 2013 (see s. 2(b));</w:t>
            </w:r>
          </w:p>
          <w:p>
            <w:pPr>
              <w:pStyle w:val="Table01Row"/>
            </w:pPr>
            <w:r>
              <w:rPr/>
              <w:t xml:space="preserve">Pt. 2 other than s. 3 &amp; 32‑35: 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18 Jul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2015</w:t>
            </w:r>
          </w:p>
        </w:tc>
        <w:tc>
          <w:p>
            <w:pPr>
              <w:pStyle w:val="Table01Row"/>
            </w:pPr>
            <w:r>
              <w:t>2015/016</w:t>
            </w:r>
          </w:p>
        </w:tc>
        <w:tc>
          <w:p>
            <w:pPr>
              <w:pStyle w:val="Table01Row"/>
            </w:pPr>
            <w:r>
              <w:t>25 Jun 2015</w:t>
            </w:r>
          </w:p>
        </w:tc>
        <w:tc>
          <w:p>
            <w:pPr>
              <w:pStyle w:val="Table01Row"/>
            </w:pPr>
            <w:r>
              <w:rPr/>
              <w:t xml:space="preserve">s. 1 &amp; 2: 25 Jun 2015 (see s. 2(a));</w:t>
            </w:r>
          </w:p>
          <w:p>
            <w:pPr>
              <w:pStyle w:val="Table01Row"/>
            </w:pPr>
            <w:r>
              <w:rPr/>
              <w:t xml:space="preserve">Act other than s. 1 &amp; 2: 26 Jun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216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Jun 2019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</w:t>
              <w:t>s. 30</w:t>
            </w:r>
          </w:p>
        </w:tc>
        <w:tc>
          <w:p>
            <w:pPr>
              <w:pStyle w:val="Table01Row"/>
            </w:pPr>
            <w:r>
              <w:t>2020/009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</w:t>
              <w:t>Pt. 10 Div. 2</w:t>
            </w:r>
          </w:p>
        </w:tc>
        <w:tc>
          <w:p>
            <w:pPr>
              <w:pStyle w:val="Table01Row"/>
            </w:pPr>
            <w:r>
              <w:t>2020/045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 Aug 2021 (see s. 2(1)(e) and SL 2021/124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1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</w:t>
              <w:t>Pt. 2 Div. 3 &amp; Pt. 3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Electricity Corporations Act 2005</vt:lpwstr>
  </property>
  <property pid="3" name="IDAct" fmtid="{D5CDD505-2E9C-101B-9397-08002B2CF9AE}">
    <vt:lpwstr>9387</vt:lpwstr>
  </property>
  <property pid="4" name="ChangedDate" fmtid="{D5CDD505-2E9C-101B-9397-08002B2CF9AE}">
    <vt:lpwstr>20231211152437</vt:lpwstr>
  </property>
</Properties>
</file>