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12 Dec 2005</w:t>
      </w:r>
      <w:r>
        <w:fldChar w:fldCharType="end"/>
      </w:r>
      <w:r>
        <w:t xml:space="preserve">, </w:t>
      </w:r>
      <w:r>
        <w:fldChar w:fldCharType="begin"/>
      </w:r>
      <w:r>
        <w:instrText xml:space="preserve"> DocProperty FromSuffix </w:instrText>
      </w:r>
      <w:r>
        <w:fldChar w:fldCharType="separate"/>
      </w:r>
      <w:r>
        <w:t>01-b0-02</w:t>
      </w:r>
      <w:r>
        <w:fldChar w:fldCharType="end"/>
      </w:r>
      <w:r>
        <w:t>] and [</w:t>
      </w:r>
      <w:r>
        <w:fldChar w:fldCharType="begin"/>
      </w:r>
      <w:r>
        <w:instrText xml:space="preserve"> DocProperty ToAsAtDate</w:instrText>
      </w:r>
      <w:r>
        <w:fldChar w:fldCharType="separate"/>
      </w:r>
      <w:r>
        <w:t>09 Apr 2006</w:t>
      </w:r>
      <w:r>
        <w:fldChar w:fldCharType="end"/>
      </w:r>
      <w:r>
        <w:t xml:space="preserve">, </w:t>
      </w:r>
      <w:r>
        <w:fldChar w:fldCharType="begin"/>
      </w:r>
      <w:r>
        <w:instrText xml:space="preserve"> DocProperty ToSuffix</w:instrText>
      </w:r>
      <w:r>
        <w:fldChar w:fldCharType="separate"/>
      </w:r>
      <w:r>
        <w:t>01-c0-04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p>
    <w:p>
      <w:pPr>
        <w:pStyle w:val="Heading5"/>
      </w:pPr>
      <w:bookmarkStart w:id="15" w:name="_Toc527886273"/>
      <w:bookmarkStart w:id="16" w:name="_Toc131326305"/>
      <w:bookmarkStart w:id="17" w:name="_Toc122948020"/>
      <w:r>
        <w:rPr>
          <w:rStyle w:val="CharSectno"/>
        </w:rPr>
        <w:t>1</w:t>
      </w:r>
      <w:r>
        <w:rPr>
          <w:snapToGrid w:val="0"/>
        </w:rPr>
        <w:t>.</w:t>
      </w:r>
      <w:r>
        <w:rPr>
          <w:snapToGrid w:val="0"/>
        </w:rPr>
        <w:tab/>
        <w:t>Short title</w:t>
      </w:r>
      <w:bookmarkEnd w:id="15"/>
      <w:bookmarkEnd w:id="16"/>
      <w:bookmarkEnd w:id="17"/>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18" w:name="_Toc527886274"/>
      <w:bookmarkStart w:id="19" w:name="_Toc131326306"/>
      <w:bookmarkStart w:id="20" w:name="_Toc122948021"/>
      <w:r>
        <w:rPr>
          <w:rStyle w:val="CharSectno"/>
        </w:rPr>
        <w:t>2</w:t>
      </w:r>
      <w:r>
        <w:rPr>
          <w:snapToGrid w:val="0"/>
        </w:rPr>
        <w:t>.</w:t>
      </w:r>
      <w:r>
        <w:rPr>
          <w:snapToGrid w:val="0"/>
        </w:rPr>
        <w:tab/>
        <w:t>Commencement</w:t>
      </w:r>
      <w:bookmarkEnd w:id="18"/>
      <w:bookmarkEnd w:id="19"/>
      <w:bookmarkEnd w:id="20"/>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21" w:name="_Hlt523738424"/>
      <w:bookmarkStart w:id="22" w:name="_Toc527886275"/>
      <w:bookmarkStart w:id="23" w:name="_Toc131326307"/>
      <w:bookmarkStart w:id="24" w:name="_Toc122948022"/>
      <w:bookmarkEnd w:id="21"/>
      <w:r>
        <w:rPr>
          <w:rStyle w:val="CharSectno"/>
        </w:rPr>
        <w:t>3</w:t>
      </w:r>
      <w:r>
        <w:rPr>
          <w:snapToGrid w:val="0"/>
        </w:rPr>
        <w:t>.</w:t>
      </w:r>
      <w:r>
        <w:rPr>
          <w:snapToGrid w:val="0"/>
        </w:rPr>
        <w:tab/>
        <w:t>Interpretation</w:t>
      </w:r>
      <w:bookmarkEnd w:id="22"/>
      <w:bookmarkEnd w:id="23"/>
      <w:bookmarkEnd w:id="24"/>
    </w:p>
    <w:p>
      <w:pPr>
        <w:pStyle w:val="Subsection"/>
      </w:pPr>
      <w:r>
        <w:tab/>
      </w:r>
      <w:r>
        <w:tab/>
        <w:t>In this Act, unless the contrary intention appears —</w:t>
      </w:r>
    </w:p>
    <w:p>
      <w:pPr>
        <w:pStyle w:val="Defstart"/>
      </w:pPr>
      <w:r>
        <w:tab/>
      </w:r>
      <w:r>
        <w:rPr>
          <w:b/>
        </w:rPr>
        <w:t>“</w:t>
      </w:r>
      <w:r>
        <w:rPr>
          <w:rStyle w:val="CharDefText"/>
        </w:rPr>
        <w:t>Account</w:t>
      </w:r>
      <w:r>
        <w:rPr>
          <w:b/>
        </w:rPr>
        <w:t>”</w:t>
      </w:r>
      <w:r>
        <w:t xml:space="preserve"> means the Armadale Redevelopment Authority Account referred to in section 55;</w:t>
      </w:r>
    </w:p>
    <w:p>
      <w:pPr>
        <w:pStyle w:val="Defstart"/>
      </w:pPr>
      <w:r>
        <w:tab/>
      </w:r>
      <w:r>
        <w:rPr>
          <w:b/>
        </w:rPr>
        <w:t>“</w:t>
      </w:r>
      <w:r>
        <w:rPr>
          <w:rStyle w:val="CharDefText"/>
        </w:rPr>
        <w:t>acquire</w:t>
      </w:r>
      <w:r>
        <w:rPr>
          <w:b/>
        </w:rPr>
        <w:t>”</w:t>
      </w:r>
      <w:r>
        <w:t xml:space="preserve"> includes take on lease;</w:t>
      </w:r>
    </w:p>
    <w:p>
      <w:pPr>
        <w:pStyle w:val="Defstart"/>
      </w:pPr>
      <w:r>
        <w:tab/>
      </w:r>
      <w:r>
        <w:rPr>
          <w:b/>
        </w:rPr>
        <w:t>“</w:t>
      </w:r>
      <w:r>
        <w:rPr>
          <w:rStyle w:val="CharDefText"/>
        </w:rPr>
        <w:t>alternate member</w:t>
      </w:r>
      <w:r>
        <w:rPr>
          <w:b/>
        </w:rPr>
        <w:t>”</w:t>
      </w:r>
      <w:r>
        <w:t xml:space="preserve"> means a person appointed under clause 4(1) of Schedule 2;</w:t>
      </w:r>
    </w:p>
    <w:p>
      <w:pPr>
        <w:pStyle w:val="Defstart"/>
      </w:pPr>
      <w:r>
        <w:tab/>
      </w:r>
      <w:r>
        <w:rPr>
          <w:b/>
        </w:rPr>
        <w:t>“</w:t>
      </w:r>
      <w:r>
        <w:rPr>
          <w:rStyle w:val="CharDefText"/>
        </w:rPr>
        <w:t>Armadale</w:t>
      </w:r>
      <w:r>
        <w:rPr>
          <w:b/>
        </w:rPr>
        <w:t>”</w:t>
      </w:r>
      <w:r>
        <w:t xml:space="preserve"> means the local government district of Armadale;</w:t>
      </w:r>
    </w:p>
    <w:p>
      <w:pPr>
        <w:pStyle w:val="Defstart"/>
      </w:pPr>
      <w:r>
        <w:tab/>
      </w:r>
      <w:r>
        <w:rPr>
          <w:b/>
        </w:rPr>
        <w:t>“</w:t>
      </w:r>
      <w:r>
        <w:rPr>
          <w:rStyle w:val="CharDefText"/>
        </w:rPr>
        <w:t>Authority</w:t>
      </w:r>
      <w:r>
        <w:rPr>
          <w:b/>
        </w:rPr>
        <w:t>”</w:t>
      </w:r>
      <w:r>
        <w:t xml:space="preserve"> means the Armadale Redevelopment Authority;</w:t>
      </w:r>
    </w:p>
    <w:p>
      <w:pPr>
        <w:pStyle w:val="Defstart"/>
      </w:pPr>
      <w:r>
        <w:tab/>
      </w:r>
      <w:r>
        <w:rPr>
          <w:b/>
        </w:rPr>
        <w:t>“</w:t>
      </w:r>
      <w:r>
        <w:rPr>
          <w:rStyle w:val="CharDefText"/>
        </w:rPr>
        <w:t>board</w:t>
      </w:r>
      <w:r>
        <w:rPr>
          <w:b/>
        </w:rPr>
        <w:t>”</w:t>
      </w:r>
      <w:r>
        <w:t xml:space="preserve"> means the board of management provided for in section </w:t>
      </w:r>
      <w:bookmarkStart w:id="25" w:name="_Hlt524140523"/>
      <w:r>
        <w:t>7</w:t>
      </w:r>
      <w:bookmarkEnd w:id="25"/>
      <w:r>
        <w:t>;</w:t>
      </w:r>
    </w:p>
    <w:p>
      <w:pPr>
        <w:pStyle w:val="Defstart"/>
      </w:pPr>
      <w:r>
        <w:tab/>
      </w:r>
      <w:r>
        <w:rPr>
          <w:b/>
        </w:rPr>
        <w:t>“</w:t>
      </w:r>
      <w:r>
        <w:rPr>
          <w:rStyle w:val="CharDefText"/>
        </w:rPr>
        <w:t>chairperson</w:t>
      </w:r>
      <w:r>
        <w:rPr>
          <w:b/>
        </w:rPr>
        <w:t>”</w:t>
      </w:r>
      <w:r>
        <w:t xml:space="preserve"> means the chairperson of the board;</w:t>
      </w:r>
    </w:p>
    <w:p>
      <w:pPr>
        <w:pStyle w:val="Defstart"/>
      </w:pPr>
      <w:r>
        <w:tab/>
      </w:r>
      <w:r>
        <w:rPr>
          <w:b/>
        </w:rPr>
        <w:t>“</w:t>
      </w:r>
      <w:r>
        <w:rPr>
          <w:rStyle w:val="CharDefText"/>
        </w:rPr>
        <w:t>committee</w:t>
      </w:r>
      <w:r>
        <w:rPr>
          <w:b/>
        </w:rPr>
        <w:t>”</w:t>
      </w:r>
      <w:r>
        <w:t xml:space="preserve"> means a committee established under clause </w:t>
      </w:r>
      <w:bookmarkStart w:id="26" w:name="_Hlt523729916"/>
      <w:r>
        <w:t>9</w:t>
      </w:r>
      <w:bookmarkEnd w:id="26"/>
      <w:r>
        <w:t xml:space="preserve"> of Schedule 2;</w:t>
      </w:r>
    </w:p>
    <w:p>
      <w:pPr>
        <w:pStyle w:val="Defstart"/>
      </w:pPr>
      <w:r>
        <w:tab/>
      </w:r>
      <w:r>
        <w:rPr>
          <w:b/>
        </w:rPr>
        <w:t>“</w:t>
      </w:r>
      <w:r>
        <w:rPr>
          <w:rStyle w:val="CharDefText"/>
        </w:rPr>
        <w:t>deputy chairperson</w:t>
      </w:r>
      <w:r>
        <w:rPr>
          <w:b/>
        </w:rPr>
        <w:t>”</w:t>
      </w:r>
      <w:r>
        <w:t xml:space="preserve"> means the deputy chairperson of the board;</w:t>
      </w:r>
    </w:p>
    <w:p>
      <w:pPr>
        <w:pStyle w:val="Defstart"/>
      </w:pPr>
      <w:r>
        <w:tab/>
      </w:r>
      <w:r>
        <w:rPr>
          <w:b/>
        </w:rPr>
        <w:t>“</w:t>
      </w:r>
      <w:r>
        <w:rPr>
          <w:rStyle w:val="CharDefText"/>
        </w:rPr>
        <w:t>development</w:t>
      </w:r>
      <w:r>
        <w:rPr>
          <w:b/>
        </w:rPr>
        <w:t>”</w:t>
      </w:r>
      <w:r>
        <w:t xml:space="preserve"> has the same meaning as it has in the</w:t>
      </w:r>
      <w:r>
        <w:rPr>
          <w:iCs/>
        </w:rPr>
        <w:t xml:space="preserve"> </w:t>
      </w:r>
      <w:del w:id="27" w:author="svcMRProcess" w:date="2018-08-20T12:17:00Z">
        <w:r>
          <w:delText xml:space="preserve">Town </w:delText>
        </w:r>
      </w:del>
      <w:r>
        <w:rPr>
          <w:i/>
        </w:rPr>
        <w:t>Planning</w:t>
      </w:r>
      <w:del w:id="28" w:author="svcMRProcess" w:date="2018-08-20T12:17:00Z">
        <w:r>
          <w:delText> </w:delText>
        </w:r>
      </w:del>
      <w:ins w:id="29" w:author="svcMRProcess" w:date="2018-08-20T12:17:00Z">
        <w:r>
          <w:rPr>
            <w:i/>
          </w:rPr>
          <w:t xml:space="preserve"> and Development </w:t>
        </w:r>
      </w:ins>
      <w:r>
        <w:rPr>
          <w:i/>
        </w:rPr>
        <w:t>Act</w:t>
      </w:r>
      <w:ins w:id="30" w:author="svcMRProcess" w:date="2018-08-20T12:17:00Z">
        <w:r>
          <w:rPr>
            <w:i/>
          </w:rPr>
          <w:t> 2005</w:t>
        </w:r>
      </w:ins>
      <w:r>
        <w:t>, but does not include any work, act or activity declared by regulations made under section </w:t>
      </w:r>
      <w:bookmarkStart w:id="31" w:name="_Hlt524140609"/>
      <w:r>
        <w:t>68</w:t>
      </w:r>
      <w:bookmarkEnd w:id="31"/>
      <w:r>
        <w:t xml:space="preserve"> not to constitute development;</w:t>
      </w:r>
    </w:p>
    <w:p>
      <w:pPr>
        <w:pStyle w:val="Defstart"/>
      </w:pPr>
      <w:r>
        <w:tab/>
      </w:r>
      <w:r>
        <w:rPr>
          <w:b/>
        </w:rPr>
        <w:t>“</w:t>
      </w:r>
      <w:r>
        <w:rPr>
          <w:rStyle w:val="CharDefText"/>
        </w:rPr>
        <w:t>dispose o</w:t>
      </w:r>
      <w:r>
        <w:rPr>
          <w:rStyle w:val="CharDefText"/>
          <w:spacing w:val="40"/>
        </w:rPr>
        <w:t>f</w:t>
      </w:r>
      <w:r>
        <w:rPr>
          <w:b/>
        </w:rPr>
        <w:t>”</w:t>
      </w:r>
      <w:r>
        <w:t xml:space="preserve"> includes sell, lease, let, grant a licence and grant any easement or right of way;</w:t>
      </w:r>
    </w:p>
    <w:p>
      <w:pPr>
        <w:pStyle w:val="Defstart"/>
      </w:pPr>
      <w:r>
        <w:tab/>
      </w:r>
      <w:r>
        <w:rPr>
          <w:b/>
        </w:rPr>
        <w:t>“</w:t>
      </w:r>
      <w:r>
        <w:rPr>
          <w:rStyle w:val="CharDefText"/>
        </w:rPr>
        <w:t>EPA</w:t>
      </w:r>
      <w:r>
        <w:rPr>
          <w:b/>
        </w:rPr>
        <w:t>”</w:t>
      </w:r>
      <w:r>
        <w:t xml:space="preserve"> means the Environmental Protection Authority continued in existence under the EP Act;</w:t>
      </w:r>
    </w:p>
    <w:p>
      <w:pPr>
        <w:pStyle w:val="Defstart"/>
      </w:pPr>
      <w:r>
        <w:tab/>
      </w:r>
      <w:r>
        <w:rPr>
          <w:b/>
        </w:rPr>
        <w:t>“</w:t>
      </w:r>
      <w:r>
        <w:rPr>
          <w:rStyle w:val="CharDefText"/>
        </w:rPr>
        <w:t>EP Act</w:t>
      </w:r>
      <w:r>
        <w:rPr>
          <w:b/>
        </w:rPr>
        <w:t>”</w:t>
      </w:r>
      <w:r>
        <w:t xml:space="preserve"> means the </w:t>
      </w:r>
      <w:r>
        <w:rPr>
          <w:i/>
        </w:rPr>
        <w:t>Environmental Protection Act 1986</w:t>
      </w:r>
      <w:r>
        <w:t>;</w:t>
      </w:r>
    </w:p>
    <w:p>
      <w:pPr>
        <w:pStyle w:val="Defstart"/>
      </w:pPr>
      <w:r>
        <w:tab/>
      </w:r>
      <w:r>
        <w:rPr>
          <w:b/>
        </w:rPr>
        <w:t>“</w:t>
      </w:r>
      <w:r>
        <w:rPr>
          <w:rStyle w:val="CharDefText"/>
        </w:rPr>
        <w:t>interest in land</w:t>
      </w:r>
      <w:r>
        <w:rPr>
          <w:b/>
        </w:rPr>
        <w:t>”</w:t>
      </w:r>
      <w:r>
        <w:t xml:space="preserve"> includes an easement, right or power affecting land;</w:t>
      </w:r>
    </w:p>
    <w:p>
      <w:pPr>
        <w:pStyle w:val="Defstart"/>
      </w:pPr>
      <w:r>
        <w:tab/>
      </w:r>
      <w:r>
        <w:rPr>
          <w:b/>
        </w:rPr>
        <w:t>“</w:t>
      </w:r>
      <w:r>
        <w:rPr>
          <w:rStyle w:val="CharDefText"/>
        </w:rPr>
        <w:t>land</w:t>
      </w:r>
      <w:r>
        <w:rPr>
          <w:b/>
        </w:rPr>
        <w:t>”</w:t>
      </w:r>
      <w:r>
        <w:t xml:space="preserve"> includes a legal or equitable estate or interest in land;</w:t>
      </w:r>
    </w:p>
    <w:p>
      <w:pPr>
        <w:pStyle w:val="Defstart"/>
      </w:pPr>
      <w:r>
        <w:tab/>
      </w:r>
      <w:r>
        <w:rPr>
          <w:b/>
        </w:rPr>
        <w:t>“</w:t>
      </w:r>
      <w:r>
        <w:rPr>
          <w:rStyle w:val="CharDefText"/>
        </w:rPr>
        <w:t>member</w:t>
      </w:r>
      <w:r>
        <w:rPr>
          <w:b/>
        </w:rPr>
        <w:t>”</w:t>
      </w:r>
      <w:r>
        <w:t xml:space="preserve"> means a member of the board and except in clauses </w:t>
      </w:r>
      <w:bookmarkStart w:id="32" w:name="_Hlt524140789"/>
      <w:r>
        <w:t>1</w:t>
      </w:r>
      <w:bookmarkEnd w:id="32"/>
      <w:r>
        <w:t>, </w:t>
      </w:r>
      <w:bookmarkStart w:id="33" w:name="_Hlt524140794"/>
      <w:r>
        <w:t>2</w:t>
      </w:r>
      <w:bookmarkEnd w:id="33"/>
      <w:r>
        <w:t xml:space="preserve"> and </w:t>
      </w:r>
      <w:bookmarkStart w:id="34" w:name="_Hlt524140799"/>
      <w:r>
        <w:t>4</w:t>
      </w:r>
      <w:bookmarkEnd w:id="34"/>
      <w:r>
        <w:t xml:space="preserve"> of Schedule 2, includes an alternate member and a member of a committee;</w:t>
      </w:r>
    </w:p>
    <w:p>
      <w:pPr>
        <w:pStyle w:val="Defstart"/>
        <w:rPr>
          <w:del w:id="35" w:author="svcMRProcess" w:date="2018-08-20T12:17:00Z"/>
        </w:rPr>
      </w:pPr>
      <w:del w:id="36" w:author="svcMRProcess" w:date="2018-08-20T12:17:00Z">
        <w:r>
          <w:delText xml:space="preserve"> </w:delText>
        </w:r>
      </w:del>
      <w:r>
        <w:tab/>
      </w:r>
      <w:r>
        <w:rPr>
          <w:b/>
        </w:rPr>
        <w:t>“</w:t>
      </w:r>
      <w:r>
        <w:rPr>
          <w:rStyle w:val="CharDefText"/>
        </w:rPr>
        <w:t>Metropolitan Region Scheme</w:t>
      </w:r>
      <w:r>
        <w:rPr>
          <w:b/>
        </w:rPr>
        <w:t>”</w:t>
      </w:r>
      <w:r>
        <w:t xml:space="preserve"> has the </w:t>
      </w:r>
      <w:del w:id="37" w:author="svcMRProcess" w:date="2018-08-20T12:17:00Z">
        <w:r>
          <w:delText xml:space="preserve">same </w:delText>
        </w:r>
      </w:del>
      <w:r>
        <w:t xml:space="preserve">meaning </w:t>
      </w:r>
      <w:del w:id="38" w:author="svcMRProcess" w:date="2018-08-20T12:17:00Z">
        <w:r>
          <w:delText>as it has</w:delText>
        </w:r>
      </w:del>
      <w:ins w:id="39" w:author="svcMRProcess" w:date="2018-08-20T12:17:00Z">
        <w:r>
          <w:t>given to that term</w:t>
        </w:r>
      </w:ins>
      <w:r>
        <w:t xml:space="preserve"> in the </w:t>
      </w:r>
      <w:del w:id="40" w:author="svcMRProcess" w:date="2018-08-20T12:17:00Z">
        <w:r>
          <w:delText>Metropolitan Scheme Act;</w:delText>
        </w:r>
      </w:del>
    </w:p>
    <w:p>
      <w:pPr>
        <w:pStyle w:val="Defstart"/>
      </w:pPr>
      <w:del w:id="41" w:author="svcMRProcess" w:date="2018-08-20T12:17:00Z">
        <w:r>
          <w:tab/>
        </w:r>
        <w:r>
          <w:rPr>
            <w:b/>
          </w:rPr>
          <w:delText>“</w:delText>
        </w:r>
        <w:r>
          <w:rPr>
            <w:rStyle w:val="CharDefText"/>
          </w:rPr>
          <w:delText>Metropolitan Scheme Act</w:delText>
        </w:r>
        <w:r>
          <w:rPr>
            <w:b/>
          </w:rPr>
          <w:delText>”</w:delText>
        </w:r>
        <w:r>
          <w:delText xml:space="preserve"> means the </w:delText>
        </w:r>
        <w:r>
          <w:rPr>
            <w:i/>
          </w:rPr>
          <w:delText xml:space="preserve">Metropolitan Region Town </w:delText>
        </w:r>
      </w:del>
      <w:r>
        <w:rPr>
          <w:i/>
        </w:rPr>
        <w:t xml:space="preserve">Planning </w:t>
      </w:r>
      <w:del w:id="42" w:author="svcMRProcess" w:date="2018-08-20T12:17:00Z">
        <w:r>
          <w:rPr>
            <w:i/>
          </w:rPr>
          <w:delText>Scheme</w:delText>
        </w:r>
      </w:del>
      <w:ins w:id="43" w:author="svcMRProcess" w:date="2018-08-20T12:17:00Z">
        <w:r>
          <w:rPr>
            <w:i/>
          </w:rPr>
          <w:t>and Development</w:t>
        </w:r>
      </w:ins>
      <w:r>
        <w:rPr>
          <w:i/>
        </w:rPr>
        <w:t xml:space="preserve"> Act </w:t>
      </w:r>
      <w:del w:id="44" w:author="svcMRProcess" w:date="2018-08-20T12:17:00Z">
        <w:r>
          <w:rPr>
            <w:i/>
          </w:rPr>
          <w:delText>1959</w:delText>
        </w:r>
      </w:del>
      <w:ins w:id="45" w:author="svcMRProcess" w:date="2018-08-20T12:17:00Z">
        <w:r>
          <w:rPr>
            <w:i/>
          </w:rPr>
          <w:t>2005</w:t>
        </w:r>
        <w:r>
          <w:rPr>
            <w:iCs/>
          </w:rPr>
          <w:t xml:space="preserve"> section 4</w:t>
        </w:r>
      </w:ins>
      <w:r>
        <w:t>;</w:t>
      </w:r>
    </w:p>
    <w:p>
      <w:pPr>
        <w:pStyle w:val="Defstart"/>
      </w:pPr>
      <w:r>
        <w:tab/>
      </w:r>
      <w:r>
        <w:rPr>
          <w:b/>
        </w:rPr>
        <w:t>“</w:t>
      </w:r>
      <w:r>
        <w:rPr>
          <w:rStyle w:val="CharDefText"/>
        </w:rPr>
        <w:t>Minister for the Environment</w:t>
      </w:r>
      <w:r>
        <w:rPr>
          <w:b/>
        </w:rPr>
        <w:t>”</w:t>
      </w:r>
      <w:r>
        <w:t xml:space="preserve"> means the Minister to whom the Governor has for the time being committed the administration of the EP Act;</w:t>
      </w:r>
    </w:p>
    <w:p>
      <w:pPr>
        <w:pStyle w:val="Defstart"/>
      </w:pPr>
      <w:r>
        <w:tab/>
      </w:r>
      <w:r>
        <w:rPr>
          <w:b/>
        </w:rPr>
        <w:t>“</w:t>
      </w:r>
      <w:r>
        <w:rPr>
          <w:rStyle w:val="CharDefText"/>
        </w:rPr>
        <w:t>Planning Commission</w:t>
      </w:r>
      <w:r>
        <w:rPr>
          <w:b/>
        </w:rPr>
        <w:t>”</w:t>
      </w:r>
      <w:r>
        <w:t xml:space="preserve"> means the Western Australian Planning Commission established by section </w:t>
      </w:r>
      <w:del w:id="46" w:author="svcMRProcess" w:date="2018-08-20T12:17:00Z">
        <w:r>
          <w:delText>4</w:delText>
        </w:r>
      </w:del>
      <w:ins w:id="47" w:author="svcMRProcess" w:date="2018-08-20T12:17:00Z">
        <w:r>
          <w:t>7</w:t>
        </w:r>
      </w:ins>
      <w:r>
        <w:t xml:space="preserve"> of the </w:t>
      </w:r>
      <w:del w:id="48" w:author="svcMRProcess" w:date="2018-08-20T12:17:00Z">
        <w:r>
          <w:rPr>
            <w:i/>
          </w:rPr>
          <w:delText xml:space="preserve">Western Australian </w:delText>
        </w:r>
      </w:del>
      <w:r>
        <w:rPr>
          <w:i/>
        </w:rPr>
        <w:t xml:space="preserve">Planning </w:t>
      </w:r>
      <w:del w:id="49" w:author="svcMRProcess" w:date="2018-08-20T12:17:00Z">
        <w:r>
          <w:rPr>
            <w:i/>
          </w:rPr>
          <w:delText>Commission</w:delText>
        </w:r>
      </w:del>
      <w:ins w:id="50" w:author="svcMRProcess" w:date="2018-08-20T12:17:00Z">
        <w:r>
          <w:rPr>
            <w:i/>
          </w:rPr>
          <w:t>and Development</w:t>
        </w:r>
      </w:ins>
      <w:r>
        <w:rPr>
          <w:i/>
        </w:rPr>
        <w:t xml:space="preserve"> Act </w:t>
      </w:r>
      <w:del w:id="51" w:author="svcMRProcess" w:date="2018-08-20T12:17:00Z">
        <w:r>
          <w:rPr>
            <w:i/>
          </w:rPr>
          <w:delText>1985</w:delText>
        </w:r>
      </w:del>
      <w:ins w:id="52" w:author="svcMRProcess" w:date="2018-08-20T12:17:00Z">
        <w:r>
          <w:rPr>
            <w:i/>
          </w:rPr>
          <w:t>2005</w:t>
        </w:r>
      </w:ins>
      <w:r>
        <w:t>;</w:t>
      </w:r>
    </w:p>
    <w:p>
      <w:pPr>
        <w:pStyle w:val="Defstart"/>
      </w:pPr>
      <w:r>
        <w:tab/>
      </w:r>
      <w:r>
        <w:rPr>
          <w:b/>
        </w:rPr>
        <w:t>“</w:t>
      </w:r>
      <w:r>
        <w:rPr>
          <w:rStyle w:val="CharDefText"/>
        </w:rPr>
        <w:t>PSM Act</w:t>
      </w:r>
      <w:r>
        <w:rPr>
          <w:b/>
        </w:rPr>
        <w:t>”</w:t>
      </w:r>
      <w:r>
        <w:t xml:space="preserve"> means the </w:t>
      </w:r>
      <w:r>
        <w:rPr>
          <w:i/>
        </w:rPr>
        <w:t>Public Sector Management Act 1994</w:t>
      </w:r>
      <w:r>
        <w:t>;</w:t>
      </w:r>
    </w:p>
    <w:p>
      <w:pPr>
        <w:pStyle w:val="Defstart"/>
      </w:pPr>
      <w:r>
        <w:tab/>
      </w:r>
      <w:r>
        <w:rPr>
          <w:b/>
        </w:rPr>
        <w:t>“</w:t>
      </w:r>
      <w:r>
        <w:rPr>
          <w:rStyle w:val="CharDefText"/>
        </w:rPr>
        <w:t>public authority</w:t>
      </w:r>
      <w:r>
        <w:rPr>
          <w:b/>
        </w:rPr>
        <w:t>”</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b/>
        </w:rPr>
        <w:t>“</w:t>
      </w:r>
      <w:r>
        <w:rPr>
          <w:rStyle w:val="CharDefText"/>
        </w:rPr>
        <w:t>redevelopment area</w:t>
      </w:r>
      <w:r>
        <w:rPr>
          <w:b/>
        </w:rPr>
        <w:t>”</w:t>
      </w:r>
      <w:r>
        <w:t xml:space="preserve"> h</w:t>
      </w:r>
      <w:bookmarkStart w:id="53" w:name="_Hlt523797314"/>
      <w:r>
        <w:t>as the meaning given in section 4(1)</w:t>
      </w:r>
      <w:bookmarkEnd w:id="53"/>
      <w:r>
        <w:t>;</w:t>
      </w:r>
    </w:p>
    <w:p>
      <w:pPr>
        <w:pStyle w:val="Defstart"/>
      </w:pPr>
      <w:r>
        <w:tab/>
      </w:r>
      <w:r>
        <w:rPr>
          <w:b/>
        </w:rPr>
        <w:t>“</w:t>
      </w:r>
      <w:r>
        <w:rPr>
          <w:rStyle w:val="CharDefText"/>
        </w:rPr>
        <w:t>redevelopment scheme</w:t>
      </w:r>
      <w:r>
        <w:rPr>
          <w:b/>
        </w:rPr>
        <w:t>”</w:t>
      </w:r>
      <w:r>
        <w:t xml:space="preserve"> means a redevelopment scheme in force under Part </w:t>
      </w:r>
      <w:bookmarkStart w:id="54" w:name="_Hlt524146881"/>
      <w:r>
        <w:t>4</w:t>
      </w:r>
      <w:bookmarkEnd w:id="54"/>
      <w:r>
        <w:t>;</w:t>
      </w:r>
    </w:p>
    <w:p>
      <w:pPr>
        <w:pStyle w:val="Defstart"/>
      </w:pPr>
      <w:r>
        <w:tab/>
      </w:r>
      <w:r>
        <w:rPr>
          <w:b/>
        </w:rPr>
        <w:t>“</w:t>
      </w:r>
      <w:r>
        <w:rPr>
          <w:rStyle w:val="CharDefText"/>
        </w:rPr>
        <w:t>staff member</w:t>
      </w:r>
      <w:r>
        <w:rPr>
          <w:b/>
        </w:rPr>
        <w:t>”</w:t>
      </w:r>
      <w:r>
        <w:t xml:space="preserve"> means an officer or employee referred to in section 11(1) or a person engaged under section 12</w:t>
      </w:r>
      <w:del w:id="55" w:author="svcMRProcess" w:date="2018-08-20T12:17:00Z">
        <w:r>
          <w:delText>;</w:delText>
        </w:r>
      </w:del>
      <w:ins w:id="56" w:author="svcMRProcess" w:date="2018-08-20T12:17:00Z">
        <w:r>
          <w:t>.</w:t>
        </w:r>
      </w:ins>
    </w:p>
    <w:p>
      <w:pPr>
        <w:pStyle w:val="Defstart"/>
        <w:rPr>
          <w:del w:id="57" w:author="svcMRProcess" w:date="2018-08-20T12:17:00Z"/>
        </w:rPr>
      </w:pPr>
      <w:bookmarkStart w:id="58" w:name="_Toc527886276"/>
      <w:del w:id="59" w:author="svcMRProcess" w:date="2018-08-20T12:17:00Z">
        <w:r>
          <w:tab/>
        </w:r>
        <w:r>
          <w:rPr>
            <w:b/>
          </w:rPr>
          <w:delText>“</w:delText>
        </w:r>
        <w:r>
          <w:rPr>
            <w:rStyle w:val="CharDefText"/>
          </w:rPr>
          <w:delText>Town Planning Act</w:delText>
        </w:r>
        <w:r>
          <w:rPr>
            <w:b/>
          </w:rPr>
          <w:delText>”</w:delText>
        </w:r>
        <w:r>
          <w:delText xml:space="preserve"> means the </w:delText>
        </w:r>
        <w:r>
          <w:rPr>
            <w:i/>
          </w:rPr>
          <w:delText>Town Planning and Development Act 1928</w:delText>
        </w:r>
        <w:r>
          <w:delText>.</w:delText>
        </w:r>
      </w:del>
    </w:p>
    <w:p>
      <w:pPr>
        <w:pStyle w:val="Footnotesection"/>
        <w:rPr>
          <w:ins w:id="60" w:author="svcMRProcess" w:date="2018-08-20T12:17:00Z"/>
        </w:rPr>
      </w:pPr>
      <w:ins w:id="61" w:author="svcMRProcess" w:date="2018-08-20T12:17:00Z">
        <w:r>
          <w:tab/>
          <w:t>[Section 3 amended by No. 38 of 2005 s. 15.]</w:t>
        </w:r>
      </w:ins>
    </w:p>
    <w:p>
      <w:pPr>
        <w:pStyle w:val="Heading5"/>
        <w:rPr>
          <w:snapToGrid w:val="0"/>
        </w:rPr>
      </w:pPr>
      <w:bookmarkStart w:id="62" w:name="_Toc131326308"/>
      <w:bookmarkStart w:id="63" w:name="_Toc122948023"/>
      <w:r>
        <w:rPr>
          <w:rStyle w:val="CharSectno"/>
        </w:rPr>
        <w:t>4</w:t>
      </w:r>
      <w:r>
        <w:rPr>
          <w:snapToGrid w:val="0"/>
        </w:rPr>
        <w:t>.</w:t>
      </w:r>
      <w:r>
        <w:rPr>
          <w:snapToGrid w:val="0"/>
        </w:rPr>
        <w:tab/>
        <w:t>Redevelopment area defined</w:t>
      </w:r>
      <w:bookmarkEnd w:id="58"/>
      <w:bookmarkEnd w:id="62"/>
      <w:bookmarkEnd w:id="63"/>
    </w:p>
    <w:p>
      <w:pPr>
        <w:pStyle w:val="Subsection"/>
      </w:pPr>
      <w:r>
        <w:tab/>
      </w:r>
      <w:bookmarkStart w:id="64" w:name="_Hlt523797316"/>
      <w:bookmarkEnd w:id="64"/>
      <w:r>
        <w:t>(1)</w:t>
      </w:r>
      <w:r>
        <w:tab/>
        <w:t>For the purposes of this Act the redevelopment area is</w:t>
      </w:r>
      <w:bookmarkStart w:id="65" w:name="_Hlt523735800"/>
      <w:r>
        <w:t xml:space="preserve"> the land described in Schedule 1</w:t>
      </w:r>
      <w:bookmarkEnd w:id="65"/>
      <w:r>
        <w:t>.</w:t>
      </w:r>
    </w:p>
    <w:p>
      <w:pPr>
        <w:pStyle w:val="Subsection"/>
      </w:pPr>
      <w:r>
        <w:tab/>
      </w:r>
      <w:bookmarkStart w:id="66" w:name="_Hlt524147344"/>
      <w:bookmarkEnd w:id="66"/>
      <w:r>
        <w:t>(2)</w:t>
      </w:r>
      <w:r>
        <w:tab/>
        <w:t>Regulations may be made under section </w:t>
      </w:r>
      <w:bookmarkStart w:id="67" w:name="_Hlt524146833"/>
      <w:r>
        <w:t>68</w:t>
      </w:r>
      <w:bookmarkEnd w:id="67"/>
      <w:r>
        <w:t xml:space="preserve"> amending Schedule 1 —</w:t>
      </w:r>
    </w:p>
    <w:p>
      <w:pPr>
        <w:pStyle w:val="Indenta"/>
      </w:pPr>
      <w:r>
        <w:tab/>
      </w:r>
      <w:bookmarkStart w:id="68" w:name="_Hlt524147402"/>
      <w:bookmarkEnd w:id="68"/>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69" w:name="_Toc527886277"/>
      <w:bookmarkStart w:id="70" w:name="_Toc131326309"/>
      <w:bookmarkStart w:id="71" w:name="_Toc122948024"/>
      <w:r>
        <w:rPr>
          <w:rStyle w:val="CharSectno"/>
        </w:rPr>
        <w:t>5</w:t>
      </w:r>
      <w:r>
        <w:rPr>
          <w:snapToGrid w:val="0"/>
        </w:rPr>
        <w:t>.</w:t>
      </w:r>
      <w:r>
        <w:rPr>
          <w:snapToGrid w:val="0"/>
        </w:rPr>
        <w:tab/>
      </w:r>
      <w:bookmarkStart w:id="72" w:name="_Toc459787708"/>
      <w:bookmarkStart w:id="73" w:name="_Toc471195644"/>
      <w:bookmarkStart w:id="74" w:name="_Toc471196604"/>
      <w:r>
        <w:rPr>
          <w:snapToGrid w:val="0"/>
        </w:rPr>
        <w:t>Transitional provisions where area amended</w:t>
      </w:r>
      <w:bookmarkEnd w:id="69"/>
      <w:bookmarkEnd w:id="70"/>
      <w:bookmarkEnd w:id="72"/>
      <w:bookmarkEnd w:id="73"/>
      <w:bookmarkEnd w:id="74"/>
      <w:bookmarkEnd w:id="71"/>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75" w:name="_Hlt524147334"/>
      <w:r>
        <w:t>4(2)</w:t>
      </w:r>
      <w:bookmarkEnd w:id="75"/>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 xml:space="preserve">empowering the Minister, if land is subtracted from the redevelopment area, to amend the Metropolitan Region Scheme or a relevant </w:t>
      </w:r>
      <w:del w:id="76" w:author="svcMRProcess" w:date="2018-08-20T12:17:00Z">
        <w:r>
          <w:delText>town</w:delText>
        </w:r>
      </w:del>
      <w:ins w:id="77" w:author="svcMRProcess" w:date="2018-08-20T12:17:00Z">
        <w:r>
          <w:t>local</w:t>
        </w:r>
      </w:ins>
      <w:r>
        <w:t xml:space="preserve">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rPr>
          <w:ins w:id="78" w:author="svcMRProcess" w:date="2018-08-20T12:17:00Z"/>
        </w:rPr>
      </w:pPr>
      <w:ins w:id="79" w:author="svcMRProcess" w:date="2018-08-20T12:17:00Z">
        <w:r>
          <w:tab/>
          <w:t>[Section 5 amended by No. 38 of 2005 s. 15.]</w:t>
        </w:r>
      </w:ins>
    </w:p>
    <w:p>
      <w:pPr>
        <w:pStyle w:val="Heading2"/>
      </w:pPr>
      <w:bookmarkStart w:id="80" w:name="_Toc90880692"/>
      <w:bookmarkStart w:id="81" w:name="_Toc92441601"/>
      <w:bookmarkStart w:id="82" w:name="_Toc92441713"/>
      <w:bookmarkStart w:id="83" w:name="_Toc93136530"/>
      <w:bookmarkStart w:id="84" w:name="_Toc93202506"/>
      <w:bookmarkStart w:id="85" w:name="_Toc93388581"/>
      <w:bookmarkStart w:id="86" w:name="_Toc113427018"/>
      <w:bookmarkStart w:id="87" w:name="_Toc113435659"/>
      <w:bookmarkStart w:id="88" w:name="_Toc114288823"/>
      <w:bookmarkStart w:id="89" w:name="_Toc114297440"/>
      <w:bookmarkStart w:id="90" w:name="_Toc118522990"/>
      <w:bookmarkStart w:id="91" w:name="_Toc122500247"/>
      <w:bookmarkStart w:id="92" w:name="_Toc122948025"/>
      <w:bookmarkStart w:id="93" w:name="_Toc131326310"/>
      <w:r>
        <w:rPr>
          <w:rStyle w:val="CharPartNo"/>
        </w:rPr>
        <w:t>Part 2</w:t>
      </w:r>
      <w:r>
        <w:t xml:space="preserve"> — </w:t>
      </w:r>
      <w:r>
        <w:rPr>
          <w:rStyle w:val="CharPartText"/>
        </w:rPr>
        <w:t>Armadale Redevelopment Authority</w:t>
      </w:r>
      <w:bookmarkEnd w:id="80"/>
      <w:bookmarkEnd w:id="81"/>
      <w:bookmarkEnd w:id="82"/>
      <w:bookmarkEnd w:id="83"/>
      <w:bookmarkEnd w:id="84"/>
      <w:bookmarkEnd w:id="85"/>
      <w:bookmarkEnd w:id="86"/>
      <w:bookmarkEnd w:id="87"/>
      <w:bookmarkEnd w:id="88"/>
      <w:bookmarkEnd w:id="89"/>
      <w:bookmarkEnd w:id="90"/>
      <w:bookmarkEnd w:id="91"/>
      <w:bookmarkEnd w:id="92"/>
      <w:bookmarkEnd w:id="93"/>
    </w:p>
    <w:p>
      <w:pPr>
        <w:pStyle w:val="Heading3"/>
      </w:pPr>
      <w:bookmarkStart w:id="94" w:name="_Toc90880693"/>
      <w:bookmarkStart w:id="95" w:name="_Toc92441602"/>
      <w:bookmarkStart w:id="96" w:name="_Toc92441714"/>
      <w:bookmarkStart w:id="97" w:name="_Toc93136531"/>
      <w:bookmarkStart w:id="98" w:name="_Toc93202507"/>
      <w:bookmarkStart w:id="99" w:name="_Toc93388582"/>
      <w:bookmarkStart w:id="100" w:name="_Toc113427019"/>
      <w:bookmarkStart w:id="101" w:name="_Toc113435660"/>
      <w:bookmarkStart w:id="102" w:name="_Toc114288824"/>
      <w:bookmarkStart w:id="103" w:name="_Toc114297441"/>
      <w:bookmarkStart w:id="104" w:name="_Toc118522991"/>
      <w:bookmarkStart w:id="105" w:name="_Toc122500248"/>
      <w:bookmarkStart w:id="106" w:name="_Toc122948026"/>
      <w:bookmarkStart w:id="107" w:name="_Toc131326311"/>
      <w:r>
        <w:rPr>
          <w:rStyle w:val="CharDivNo"/>
        </w:rPr>
        <w:t>Division 1</w:t>
      </w:r>
      <w:r>
        <w:t xml:space="preserve"> — </w:t>
      </w:r>
      <w:r>
        <w:rPr>
          <w:rStyle w:val="CharDivText"/>
        </w:rPr>
        <w:t>Establishment of Authority</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Heading5"/>
        <w:rPr>
          <w:snapToGrid w:val="0"/>
        </w:rPr>
      </w:pPr>
      <w:bookmarkStart w:id="108" w:name="_Toc527886278"/>
      <w:bookmarkStart w:id="109" w:name="_Toc131326312"/>
      <w:bookmarkStart w:id="110" w:name="_Toc122948027"/>
      <w:r>
        <w:rPr>
          <w:rStyle w:val="CharSectno"/>
        </w:rPr>
        <w:t>6</w:t>
      </w:r>
      <w:r>
        <w:rPr>
          <w:snapToGrid w:val="0"/>
        </w:rPr>
        <w:t>.</w:t>
      </w:r>
      <w:r>
        <w:rPr>
          <w:snapToGrid w:val="0"/>
        </w:rPr>
        <w:tab/>
        <w:t>Authority established</w:t>
      </w:r>
      <w:bookmarkEnd w:id="108"/>
      <w:bookmarkEnd w:id="109"/>
      <w:bookmarkEnd w:id="110"/>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11" w:name="_Hlt523738155"/>
      <w:r>
        <w:t>13</w:t>
      </w:r>
      <w:bookmarkEnd w:id="111"/>
      <w:r>
        <w:t>, enjoys the status, immunities and privileges of the Crown.</w:t>
      </w:r>
    </w:p>
    <w:p>
      <w:pPr>
        <w:pStyle w:val="Heading5"/>
        <w:rPr>
          <w:snapToGrid w:val="0"/>
        </w:rPr>
      </w:pPr>
      <w:bookmarkStart w:id="112" w:name="_Hlt524140528"/>
      <w:bookmarkStart w:id="113" w:name="_Toc527886279"/>
      <w:bookmarkStart w:id="114" w:name="_Toc131326313"/>
      <w:bookmarkStart w:id="115" w:name="_Toc122948028"/>
      <w:bookmarkEnd w:id="112"/>
      <w:r>
        <w:rPr>
          <w:rStyle w:val="CharSectno"/>
        </w:rPr>
        <w:t>7</w:t>
      </w:r>
      <w:r>
        <w:rPr>
          <w:snapToGrid w:val="0"/>
        </w:rPr>
        <w:t>.</w:t>
      </w:r>
      <w:r>
        <w:rPr>
          <w:snapToGrid w:val="0"/>
        </w:rPr>
        <w:tab/>
      </w:r>
      <w:bookmarkStart w:id="116" w:name="_Hlt523797143"/>
      <w:bookmarkEnd w:id="116"/>
      <w:r>
        <w:rPr>
          <w:snapToGrid w:val="0"/>
        </w:rPr>
        <w:t>Board of management</w:t>
      </w:r>
      <w:bookmarkEnd w:id="113"/>
      <w:bookmarkEnd w:id="114"/>
      <w:bookmarkEnd w:id="115"/>
    </w:p>
    <w:p>
      <w:pPr>
        <w:pStyle w:val="Subsection"/>
      </w:pPr>
      <w:r>
        <w:tab/>
        <w:t>(1)</w:t>
      </w:r>
      <w:r>
        <w:tab/>
        <w:t xml:space="preserve">In this section — </w:t>
      </w:r>
    </w:p>
    <w:p>
      <w:pPr>
        <w:pStyle w:val="Defstart"/>
      </w:pPr>
      <w:r>
        <w:tab/>
      </w:r>
      <w:r>
        <w:rPr>
          <w:b/>
        </w:rPr>
        <w:t>“</w:t>
      </w:r>
      <w:r>
        <w:rPr>
          <w:rStyle w:val="CharDefText"/>
        </w:rPr>
        <w:t>relevant qualification</w:t>
      </w:r>
      <w:r>
        <w:rPr>
          <w:b/>
        </w:rPr>
        <w:t>”</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17" w:name="_Hlt523738201"/>
      <w:bookmarkEnd w:id="117"/>
      <w:r>
        <w:t>(a)</w:t>
      </w:r>
      <w:r>
        <w:tab/>
        <w:t>4 are to be persons who, in the opinion of the Minister, have a relevant qualification; and</w:t>
      </w:r>
    </w:p>
    <w:p>
      <w:pPr>
        <w:pStyle w:val="Indenta"/>
      </w:pPr>
      <w:r>
        <w:tab/>
      </w:r>
      <w:bookmarkStart w:id="118" w:name="_Hlt523736045"/>
      <w:bookmarkEnd w:id="118"/>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19" w:name="_Toc527886280"/>
      <w:bookmarkStart w:id="120" w:name="_Toc131326314"/>
      <w:bookmarkStart w:id="121" w:name="_Toc122948029"/>
      <w:r>
        <w:rPr>
          <w:rStyle w:val="CharSectno"/>
        </w:rPr>
        <w:t>8</w:t>
      </w:r>
      <w:r>
        <w:rPr>
          <w:snapToGrid w:val="0"/>
        </w:rPr>
        <w:t>.</w:t>
      </w:r>
      <w:r>
        <w:rPr>
          <w:snapToGrid w:val="0"/>
        </w:rPr>
        <w:tab/>
        <w:t>Chairperson and deputy chairperson</w:t>
      </w:r>
      <w:bookmarkEnd w:id="119"/>
      <w:bookmarkEnd w:id="120"/>
      <w:bookmarkEnd w:id="121"/>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22" w:name="_Toc527886281"/>
      <w:bookmarkStart w:id="123" w:name="_Toc131326315"/>
      <w:bookmarkStart w:id="124" w:name="_Toc122948030"/>
      <w:r>
        <w:rPr>
          <w:rStyle w:val="CharSectno"/>
        </w:rPr>
        <w:t>9</w:t>
      </w:r>
      <w:r>
        <w:rPr>
          <w:snapToGrid w:val="0"/>
        </w:rPr>
        <w:t>.</w:t>
      </w:r>
      <w:r>
        <w:rPr>
          <w:snapToGrid w:val="0"/>
        </w:rPr>
        <w:tab/>
      </w:r>
      <w:bookmarkStart w:id="125" w:name="_Hlt523888995"/>
      <w:bookmarkStart w:id="126" w:name="_Toc459787712"/>
      <w:bookmarkStart w:id="127" w:name="_Toc471195648"/>
      <w:bookmarkStart w:id="128" w:name="_Toc471196608"/>
      <w:bookmarkEnd w:id="125"/>
      <w:r>
        <w:rPr>
          <w:snapToGrid w:val="0"/>
        </w:rPr>
        <w:t>Constitution and proceedings</w:t>
      </w:r>
      <w:bookmarkEnd w:id="122"/>
      <w:bookmarkEnd w:id="123"/>
      <w:bookmarkEnd w:id="126"/>
      <w:bookmarkEnd w:id="127"/>
      <w:bookmarkEnd w:id="128"/>
      <w:bookmarkEnd w:id="124"/>
    </w:p>
    <w:p>
      <w:pPr>
        <w:pStyle w:val="Subsection"/>
      </w:pPr>
      <w:r>
        <w:tab/>
      </w:r>
      <w:r>
        <w:tab/>
        <w:t>Schedule </w:t>
      </w:r>
      <w:bookmarkStart w:id="129" w:name="_Hlt523735834"/>
      <w:r>
        <w:t>2</w:t>
      </w:r>
      <w:bookmarkEnd w:id="129"/>
      <w:r>
        <w:t xml:space="preserve"> has effect with respect to the board and its members.</w:t>
      </w:r>
    </w:p>
    <w:p>
      <w:pPr>
        <w:pStyle w:val="Heading5"/>
        <w:rPr>
          <w:snapToGrid w:val="0"/>
        </w:rPr>
      </w:pPr>
      <w:bookmarkStart w:id="130" w:name="_Toc527886282"/>
      <w:bookmarkStart w:id="131" w:name="_Toc131326316"/>
      <w:bookmarkStart w:id="132" w:name="_Toc122948031"/>
      <w:r>
        <w:rPr>
          <w:rStyle w:val="CharSectno"/>
        </w:rPr>
        <w:t>10</w:t>
      </w:r>
      <w:r>
        <w:rPr>
          <w:snapToGrid w:val="0"/>
        </w:rPr>
        <w:t>.</w:t>
      </w:r>
      <w:r>
        <w:rPr>
          <w:snapToGrid w:val="0"/>
        </w:rPr>
        <w:tab/>
      </w:r>
      <w:bookmarkStart w:id="133" w:name="_Hlt523798893"/>
      <w:bookmarkStart w:id="134" w:name="_Toc459787713"/>
      <w:bookmarkStart w:id="135" w:name="_Toc471195649"/>
      <w:bookmarkStart w:id="136" w:name="_Toc471196609"/>
      <w:bookmarkEnd w:id="133"/>
      <w:r>
        <w:rPr>
          <w:snapToGrid w:val="0"/>
        </w:rPr>
        <w:t>Remuneration and expenses of members</w:t>
      </w:r>
      <w:bookmarkEnd w:id="130"/>
      <w:bookmarkEnd w:id="131"/>
      <w:bookmarkEnd w:id="134"/>
      <w:bookmarkEnd w:id="135"/>
      <w:bookmarkEnd w:id="136"/>
      <w:bookmarkEnd w:id="132"/>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37" w:name="_Hlt523796366"/>
      <w:bookmarkStart w:id="138" w:name="_Toc90880699"/>
      <w:bookmarkStart w:id="139" w:name="_Toc92441608"/>
      <w:bookmarkStart w:id="140" w:name="_Toc92441720"/>
      <w:bookmarkStart w:id="141" w:name="_Toc93136537"/>
      <w:bookmarkStart w:id="142" w:name="_Toc93202513"/>
      <w:bookmarkStart w:id="143" w:name="_Toc93388588"/>
      <w:bookmarkStart w:id="144" w:name="_Toc113427025"/>
      <w:bookmarkStart w:id="145" w:name="_Toc113435666"/>
      <w:bookmarkStart w:id="146" w:name="_Toc114288830"/>
      <w:bookmarkStart w:id="147" w:name="_Toc114297447"/>
      <w:bookmarkStart w:id="148" w:name="_Toc118522997"/>
      <w:bookmarkStart w:id="149" w:name="_Toc122500254"/>
      <w:bookmarkStart w:id="150" w:name="_Toc122948032"/>
      <w:bookmarkStart w:id="151" w:name="_Toc131326317"/>
      <w:bookmarkEnd w:id="137"/>
      <w:r>
        <w:rPr>
          <w:rStyle w:val="CharDivNo"/>
        </w:rPr>
        <w:t>Division 2</w:t>
      </w:r>
      <w:r>
        <w:t xml:space="preserve"> — </w:t>
      </w:r>
      <w:r>
        <w:rPr>
          <w:rStyle w:val="CharDivText"/>
        </w:rPr>
        <w:t>Staff and facilities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Heading5"/>
        <w:rPr>
          <w:snapToGrid w:val="0"/>
        </w:rPr>
      </w:pPr>
      <w:bookmarkStart w:id="152" w:name="_Toc527886283"/>
      <w:bookmarkStart w:id="153" w:name="_Toc131326318"/>
      <w:bookmarkStart w:id="154" w:name="_Toc122948033"/>
      <w:bookmarkStart w:id="155" w:name="_Toc459787717"/>
      <w:bookmarkStart w:id="156" w:name="_Toc471195653"/>
      <w:bookmarkStart w:id="157" w:name="_Toc471196613"/>
      <w:r>
        <w:rPr>
          <w:rStyle w:val="CharSectno"/>
        </w:rPr>
        <w:t>11</w:t>
      </w:r>
      <w:r>
        <w:rPr>
          <w:snapToGrid w:val="0"/>
        </w:rPr>
        <w:t>.</w:t>
      </w:r>
      <w:r>
        <w:rPr>
          <w:snapToGrid w:val="0"/>
        </w:rPr>
        <w:tab/>
        <w:t>Use of government staff and facilities</w:t>
      </w:r>
      <w:bookmarkEnd w:id="152"/>
      <w:bookmarkEnd w:id="153"/>
      <w:bookmarkEnd w:id="154"/>
    </w:p>
    <w:bookmarkEnd w:id="155"/>
    <w:bookmarkEnd w:id="156"/>
    <w:bookmarkEnd w:id="157"/>
    <w:p>
      <w:pPr>
        <w:pStyle w:val="Subsection"/>
      </w:pPr>
      <w:r>
        <w:tab/>
      </w:r>
      <w:bookmarkStart w:id="158" w:name="_Hlt524146874"/>
      <w:bookmarkEnd w:id="158"/>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59" w:name="_Toc527886284"/>
      <w:bookmarkStart w:id="160" w:name="_Toc131326319"/>
      <w:bookmarkStart w:id="161" w:name="_Toc122948034"/>
      <w:r>
        <w:rPr>
          <w:rStyle w:val="CharSectno"/>
        </w:rPr>
        <w:t>12</w:t>
      </w:r>
      <w:r>
        <w:rPr>
          <w:snapToGrid w:val="0"/>
        </w:rPr>
        <w:t>.</w:t>
      </w:r>
      <w:r>
        <w:rPr>
          <w:snapToGrid w:val="0"/>
        </w:rPr>
        <w:tab/>
        <w:t>Consultants</w:t>
      </w:r>
      <w:bookmarkEnd w:id="159"/>
      <w:bookmarkEnd w:id="160"/>
      <w:bookmarkEnd w:id="161"/>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62" w:name="_Hlt523738215"/>
      <w:bookmarkStart w:id="163" w:name="_Toc90880702"/>
      <w:bookmarkStart w:id="164" w:name="_Toc92441611"/>
      <w:bookmarkStart w:id="165" w:name="_Toc92441723"/>
      <w:bookmarkStart w:id="166" w:name="_Toc93136540"/>
      <w:bookmarkStart w:id="167" w:name="_Toc93202516"/>
      <w:bookmarkStart w:id="168" w:name="_Toc93388591"/>
      <w:bookmarkStart w:id="169" w:name="_Toc113427028"/>
      <w:bookmarkStart w:id="170" w:name="_Toc113435669"/>
      <w:bookmarkStart w:id="171" w:name="_Toc114288833"/>
      <w:bookmarkStart w:id="172" w:name="_Toc114297450"/>
      <w:bookmarkStart w:id="173" w:name="_Toc118523000"/>
      <w:bookmarkStart w:id="174" w:name="_Toc122500257"/>
      <w:bookmarkStart w:id="175" w:name="_Toc122948035"/>
      <w:bookmarkStart w:id="176" w:name="_Toc131326320"/>
      <w:bookmarkEnd w:id="162"/>
      <w:r>
        <w:rPr>
          <w:rStyle w:val="CharPartNo"/>
        </w:rPr>
        <w:t>Part 3</w:t>
      </w:r>
      <w:r>
        <w:rPr>
          <w:rStyle w:val="CharDivNo"/>
        </w:rPr>
        <w:t xml:space="preserve"> </w:t>
      </w:r>
      <w:r>
        <w:t>—</w:t>
      </w:r>
      <w:r>
        <w:rPr>
          <w:rStyle w:val="CharDivText"/>
        </w:rPr>
        <w:t xml:space="preserve"> </w:t>
      </w:r>
      <w:r>
        <w:rPr>
          <w:rStyle w:val="CharPartText"/>
        </w:rPr>
        <w:t>Functions and powers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pPr>
        <w:pStyle w:val="Heading5"/>
        <w:rPr>
          <w:snapToGrid w:val="0"/>
        </w:rPr>
      </w:pPr>
      <w:bookmarkStart w:id="177" w:name="_Hlt523738159"/>
      <w:bookmarkStart w:id="178" w:name="_Toc527886285"/>
      <w:bookmarkStart w:id="179" w:name="_Toc131326321"/>
      <w:bookmarkStart w:id="180" w:name="_Toc122948036"/>
      <w:bookmarkEnd w:id="177"/>
      <w:r>
        <w:rPr>
          <w:rStyle w:val="CharSectno"/>
        </w:rPr>
        <w:t>13</w:t>
      </w:r>
      <w:r>
        <w:rPr>
          <w:snapToGrid w:val="0"/>
        </w:rPr>
        <w:t>.</w:t>
      </w:r>
      <w:r>
        <w:rPr>
          <w:snapToGrid w:val="0"/>
        </w:rPr>
        <w:tab/>
        <w:t>Compliance with written laws</w:t>
      </w:r>
      <w:bookmarkEnd w:id="178"/>
      <w:bookmarkEnd w:id="179"/>
      <w:bookmarkEnd w:id="180"/>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181" w:name="_Hlt524149954"/>
      <w:bookmarkStart w:id="182" w:name="_Toc527886286"/>
      <w:bookmarkStart w:id="183" w:name="_Toc131326322"/>
      <w:bookmarkStart w:id="184" w:name="_Toc122948037"/>
      <w:bookmarkEnd w:id="181"/>
      <w:r>
        <w:rPr>
          <w:rStyle w:val="CharSectno"/>
        </w:rPr>
        <w:t>14</w:t>
      </w:r>
      <w:r>
        <w:rPr>
          <w:snapToGrid w:val="0"/>
        </w:rPr>
        <w:t>.</w:t>
      </w:r>
      <w:r>
        <w:rPr>
          <w:snapToGrid w:val="0"/>
        </w:rPr>
        <w:tab/>
      </w:r>
      <w:bookmarkStart w:id="185" w:name="_Hlt523738245"/>
      <w:bookmarkStart w:id="186" w:name="_Toc459787721"/>
      <w:bookmarkStart w:id="187" w:name="_Toc471195657"/>
      <w:bookmarkStart w:id="188" w:name="_Toc471196617"/>
      <w:bookmarkEnd w:id="185"/>
      <w:r>
        <w:rPr>
          <w:snapToGrid w:val="0"/>
        </w:rPr>
        <w:t>Authority exempt from rates, taxes, etc.</w:t>
      </w:r>
      <w:bookmarkEnd w:id="182"/>
      <w:bookmarkEnd w:id="183"/>
      <w:bookmarkEnd w:id="186"/>
      <w:bookmarkEnd w:id="187"/>
      <w:bookmarkEnd w:id="188"/>
      <w:bookmarkEnd w:id="184"/>
    </w:p>
    <w:p>
      <w:pPr>
        <w:pStyle w:val="Subsection"/>
      </w:pPr>
      <w:r>
        <w:tab/>
        <w:t>(1)</w:t>
      </w:r>
      <w:r>
        <w:tab/>
        <w:t>Subject to subsection (2), the Authority is not liable to pay any local government rate or charge, land tax, metropolitan region improvement tax, water rate, pay</w:t>
      </w:r>
      <w:r>
        <w:noBreakHyphen/>
        <w:t>roll tax, stamp duty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Heading5"/>
        <w:rPr>
          <w:snapToGrid w:val="0"/>
        </w:rPr>
      </w:pPr>
      <w:bookmarkStart w:id="189" w:name="_Hlt524150220"/>
      <w:bookmarkStart w:id="190" w:name="_Toc527886287"/>
      <w:bookmarkStart w:id="191" w:name="_Toc131326323"/>
      <w:bookmarkStart w:id="192" w:name="_Toc122948038"/>
      <w:bookmarkEnd w:id="189"/>
      <w:r>
        <w:rPr>
          <w:rStyle w:val="CharSectno"/>
        </w:rPr>
        <w:t>15</w:t>
      </w:r>
      <w:r>
        <w:rPr>
          <w:snapToGrid w:val="0"/>
        </w:rPr>
        <w:t>.</w:t>
      </w:r>
      <w:r>
        <w:rPr>
          <w:snapToGrid w:val="0"/>
        </w:rPr>
        <w:tab/>
        <w:t>Planning and development control</w:t>
      </w:r>
      <w:bookmarkEnd w:id="190"/>
      <w:bookmarkEnd w:id="191"/>
      <w:bookmarkEnd w:id="192"/>
    </w:p>
    <w:p>
      <w:pPr>
        <w:pStyle w:val="Subsection"/>
      </w:pPr>
      <w:bookmarkStart w:id="193" w:name="_Hlt523733767"/>
      <w:bookmarkEnd w:id="193"/>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194" w:name="_Hlt524150091"/>
      <w:r>
        <w:t>4</w:t>
      </w:r>
      <w:bookmarkEnd w:id="194"/>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195" w:name="_Toc527886288"/>
      <w:bookmarkStart w:id="196" w:name="_Toc131326324"/>
      <w:bookmarkStart w:id="197" w:name="_Toc122948039"/>
      <w:r>
        <w:rPr>
          <w:rStyle w:val="CharSectno"/>
        </w:rPr>
        <w:t>16</w:t>
      </w:r>
      <w:r>
        <w:rPr>
          <w:snapToGrid w:val="0"/>
        </w:rPr>
        <w:t>.</w:t>
      </w:r>
      <w:r>
        <w:rPr>
          <w:snapToGrid w:val="0"/>
        </w:rPr>
        <w:tab/>
        <w:t>Economic and social development</w:t>
      </w:r>
      <w:bookmarkEnd w:id="195"/>
      <w:bookmarkEnd w:id="196"/>
      <w:bookmarkEnd w:id="197"/>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pPr>
      <w:r>
        <w:tab/>
        <w:t>(b)</w:t>
      </w:r>
      <w:r>
        <w:tab/>
        <w:t>to identify opportunities for the provision of facilities and programmes to support and enhance community life in Armadale, and to encourage the provision of those facilities and programmes;</w:t>
      </w:r>
    </w:p>
    <w:p>
      <w:pPr>
        <w:pStyle w:val="Indenta"/>
      </w:pPr>
      <w:r>
        <w:tab/>
        <w:t>(c)</w:t>
      </w:r>
      <w:r>
        <w:tab/>
        <w:t>to facilitate and encourage the provision of diversified employment opportunities in Armadale;</w:t>
      </w:r>
    </w:p>
    <w:p>
      <w:pPr>
        <w:pStyle w:val="Indenta"/>
      </w:pPr>
      <w:r>
        <w:tab/>
        <w:t>(d)</w:t>
      </w:r>
      <w:r>
        <w:tab/>
        <w:t>to identify infrastructure services necessary to promote economic and social development in Armadale, and to encourage the provision of those services;</w:t>
      </w:r>
    </w:p>
    <w:p>
      <w:pPr>
        <w:pStyle w:val="Indenta"/>
      </w:pPr>
      <w:r>
        <w:tab/>
        <w:t>(e)</w:t>
      </w:r>
      <w:r>
        <w:tab/>
        <w:t>to facilitate coordination between relevant statutory bodies and State government agencies for the purpose of promoting economic and social development in Armadale;</w:t>
      </w:r>
    </w:p>
    <w:p>
      <w:pPr>
        <w:pStyle w:val="Indenta"/>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198" w:name="_Hlt524149970"/>
      <w:bookmarkStart w:id="199" w:name="_Toc527886289"/>
      <w:bookmarkStart w:id="200" w:name="_Toc131326325"/>
      <w:bookmarkStart w:id="201" w:name="_Toc122948040"/>
      <w:bookmarkEnd w:id="198"/>
      <w:r>
        <w:rPr>
          <w:rStyle w:val="CharSectno"/>
        </w:rPr>
        <w:t>17</w:t>
      </w:r>
      <w:r>
        <w:rPr>
          <w:snapToGrid w:val="0"/>
        </w:rPr>
        <w:t>.</w:t>
      </w:r>
      <w:r>
        <w:rPr>
          <w:snapToGrid w:val="0"/>
        </w:rPr>
        <w:tab/>
      </w:r>
      <w:bookmarkStart w:id="202" w:name="_Hlt523738358"/>
      <w:bookmarkStart w:id="203" w:name="_Toc459787723"/>
      <w:bookmarkStart w:id="204" w:name="_Toc471195659"/>
      <w:bookmarkStart w:id="205" w:name="_Toc471196619"/>
      <w:bookmarkEnd w:id="202"/>
      <w:r>
        <w:rPr>
          <w:snapToGrid w:val="0"/>
        </w:rPr>
        <w:t>Powers</w:t>
      </w:r>
      <w:bookmarkEnd w:id="199"/>
      <w:bookmarkEnd w:id="200"/>
      <w:bookmarkEnd w:id="203"/>
      <w:bookmarkEnd w:id="204"/>
      <w:bookmarkEnd w:id="205"/>
      <w:bookmarkEnd w:id="201"/>
    </w:p>
    <w:p>
      <w:pPr>
        <w:pStyle w:val="Subsection"/>
      </w:pPr>
      <w:r>
        <w:tab/>
        <w:t>(1)</w:t>
      </w:r>
      <w:r>
        <w:tab/>
        <w:t>The Authority has all the powers it needs to perform its functions.</w:t>
      </w:r>
    </w:p>
    <w:p>
      <w:pPr>
        <w:pStyle w:val="Subsection"/>
      </w:pPr>
      <w:r>
        <w:tab/>
        <w:t>(2)</w:t>
      </w:r>
      <w:r>
        <w:tab/>
        <w:t>Without limiting subsection (1), the Authority may —</w:t>
      </w:r>
    </w:p>
    <w:p>
      <w:pPr>
        <w:pStyle w:val="Indenta"/>
      </w:pPr>
      <w:r>
        <w:tab/>
      </w:r>
      <w:bookmarkStart w:id="206" w:name="_Hlt523738403"/>
      <w:bookmarkEnd w:id="206"/>
      <w:r>
        <w:t>(a)</w:t>
      </w:r>
      <w:r>
        <w:tab/>
        <w:t>subject to subsection (3), for the purposes of its functions under section </w:t>
      </w:r>
      <w:bookmarkStart w:id="207" w:name="_Hlt524150214"/>
      <w:r>
        <w:t>15</w:t>
      </w:r>
      <w:bookmarkEnd w:id="207"/>
      <w:r>
        <w:t>, acquire, hold, manage and dispose of land;</w:t>
      </w:r>
    </w:p>
    <w:p>
      <w:pPr>
        <w:pStyle w:val="Indenta"/>
      </w:pPr>
      <w:r>
        <w:tab/>
        <w:t>(b)</w:t>
      </w:r>
      <w:r>
        <w:tab/>
        <w:t>for the purposes of its functions under section 15, subdivide, amalgamate, improve, develop and alter land;</w:t>
      </w:r>
    </w:p>
    <w:p>
      <w:pPr>
        <w:pStyle w:val="Indenta"/>
      </w:pPr>
      <w:r>
        <w:tab/>
      </w:r>
      <w:bookmarkStart w:id="208" w:name="_Hlt523738347"/>
      <w:bookmarkEnd w:id="208"/>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09" w:name="_Hlt523738240"/>
      <w:bookmarkEnd w:id="209"/>
      <w:r>
        <w:t>(8)</w:t>
      </w:r>
      <w:r>
        <w:tab/>
        <w:t xml:space="preserve">In exercising any power under this section the Authority is not required to comply with </w:t>
      </w:r>
      <w:del w:id="210" w:author="svcMRProcess" w:date="2018-08-20T12:17:00Z">
        <w:r>
          <w:delText>section 20</w:delText>
        </w:r>
      </w:del>
      <w:ins w:id="211" w:author="svcMRProcess" w:date="2018-08-20T12:17:00Z">
        <w:r>
          <w:t>sections 135 and 136</w:t>
        </w:r>
      </w:ins>
      <w:r>
        <w:t xml:space="preserve"> of the </w:t>
      </w:r>
      <w:del w:id="212" w:author="svcMRProcess" w:date="2018-08-20T12:17:00Z">
        <w:r>
          <w:delText xml:space="preserve">Town </w:delText>
        </w:r>
      </w:del>
      <w:r>
        <w:rPr>
          <w:i/>
        </w:rPr>
        <w:t xml:space="preserve">Planning </w:t>
      </w:r>
      <w:ins w:id="213" w:author="svcMRProcess" w:date="2018-08-20T12:17:00Z">
        <w:r>
          <w:rPr>
            <w:i/>
          </w:rPr>
          <w:t xml:space="preserve">and Development </w:t>
        </w:r>
      </w:ins>
      <w:r>
        <w:rPr>
          <w:i/>
        </w:rPr>
        <w:t>Act</w:t>
      </w:r>
      <w:ins w:id="214" w:author="svcMRProcess" w:date="2018-08-20T12:17:00Z">
        <w:r>
          <w:rPr>
            <w:i/>
          </w:rPr>
          <w:t> 2005</w:t>
        </w:r>
      </w:ins>
      <w:r>
        <w:rPr>
          <w:iCs/>
        </w:rPr>
        <w:t xml:space="preserve"> </w:t>
      </w:r>
      <w:r>
        <w:t>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if this section applies, section </w:t>
      </w:r>
      <w:del w:id="215" w:author="svcMRProcess" w:date="2018-08-20T12:17:00Z">
        <w:r>
          <w:delText>21</w:delText>
        </w:r>
      </w:del>
      <w:ins w:id="216" w:author="svcMRProcess" w:date="2018-08-20T12:17:00Z">
        <w:r>
          <w:t>147</w:t>
        </w:r>
      </w:ins>
      <w:r>
        <w:t xml:space="preserve"> of the </w:t>
      </w:r>
      <w:del w:id="217" w:author="svcMRProcess" w:date="2018-08-20T12:17:00Z">
        <w:r>
          <w:delText xml:space="preserve">Town </w:delText>
        </w:r>
      </w:del>
      <w:r>
        <w:rPr>
          <w:i/>
        </w:rPr>
        <w:t xml:space="preserve">Planning </w:t>
      </w:r>
      <w:ins w:id="218" w:author="svcMRProcess" w:date="2018-08-20T12:17:00Z">
        <w:r>
          <w:rPr>
            <w:i/>
          </w:rPr>
          <w:t xml:space="preserve">and Development </w:t>
        </w:r>
      </w:ins>
      <w:r>
        <w:rPr>
          <w:i/>
        </w:rPr>
        <w:t>Act</w:t>
      </w:r>
      <w:ins w:id="219" w:author="svcMRProcess" w:date="2018-08-20T12:17:00Z">
        <w:r>
          <w:rPr>
            <w:i/>
          </w:rPr>
          <w:t> 2005</w:t>
        </w:r>
      </w:ins>
      <w:r>
        <w:t xml:space="preserve"> is to be read as if references to the Commission were references to the Minister.</w:t>
      </w:r>
    </w:p>
    <w:p>
      <w:pPr>
        <w:pStyle w:val="Subsection"/>
      </w:pPr>
      <w:r>
        <w:tab/>
      </w:r>
      <w:bookmarkStart w:id="220" w:name="_Hlt524157913"/>
      <w:bookmarkEnd w:id="220"/>
      <w:r>
        <w:t>(9)</w:t>
      </w:r>
      <w:r>
        <w:tab/>
        <w:t>In subsection (2)(c) —</w:t>
      </w:r>
    </w:p>
    <w:p>
      <w:pPr>
        <w:pStyle w:val="Defstart"/>
      </w:pPr>
      <w:r>
        <w:tab/>
      </w:r>
      <w:r>
        <w:rPr>
          <w:b/>
        </w:rPr>
        <w:t>“</w:t>
      </w:r>
      <w:r>
        <w:rPr>
          <w:rStyle w:val="CharDefText"/>
        </w:rPr>
        <w:t>business arrangement</w:t>
      </w:r>
      <w:r>
        <w:rPr>
          <w:b/>
        </w:rPr>
        <w:t>”</w:t>
      </w:r>
      <w:r>
        <w:t xml:space="preserve"> means a proprietary limited company, partnership, trust, joint venture or arrangement for sharing profits;</w:t>
      </w:r>
    </w:p>
    <w:p>
      <w:pPr>
        <w:pStyle w:val="Defstart"/>
      </w:pPr>
      <w:r>
        <w:tab/>
      </w:r>
      <w:r>
        <w:rPr>
          <w:b/>
        </w:rPr>
        <w:t>“</w:t>
      </w:r>
      <w:r>
        <w:rPr>
          <w:rStyle w:val="CharDefText"/>
        </w:rPr>
        <w:t>participate</w:t>
      </w:r>
      <w:r>
        <w:rPr>
          <w:b/>
        </w:rPr>
        <w:t>”</w:t>
      </w:r>
      <w:r>
        <w:t xml:space="preserve"> includes form, promote, establish, enter into, manage, dissolve, wind up and do anything incidental to the doing of any of those things.</w:t>
      </w:r>
    </w:p>
    <w:p>
      <w:pPr>
        <w:pStyle w:val="Footnotesection"/>
        <w:rPr>
          <w:ins w:id="221" w:author="svcMRProcess" w:date="2018-08-20T12:17:00Z"/>
        </w:rPr>
      </w:pPr>
      <w:ins w:id="222" w:author="svcMRProcess" w:date="2018-08-20T12:17:00Z">
        <w:r>
          <w:tab/>
          <w:t>[Section 17 amended by No. 38 of 2005 s. 15.]</w:t>
        </w:r>
      </w:ins>
    </w:p>
    <w:p>
      <w:pPr>
        <w:pStyle w:val="Heading5"/>
        <w:rPr>
          <w:snapToGrid w:val="0"/>
        </w:rPr>
      </w:pPr>
      <w:bookmarkStart w:id="223" w:name="_Toc527886290"/>
      <w:bookmarkStart w:id="224" w:name="_Toc131326326"/>
      <w:bookmarkStart w:id="225" w:name="_Toc122948041"/>
      <w:r>
        <w:rPr>
          <w:rStyle w:val="CharSectno"/>
        </w:rPr>
        <w:t>18</w:t>
      </w:r>
      <w:r>
        <w:rPr>
          <w:snapToGrid w:val="0"/>
        </w:rPr>
        <w:t>.</w:t>
      </w:r>
      <w:r>
        <w:rPr>
          <w:snapToGrid w:val="0"/>
        </w:rPr>
        <w:tab/>
      </w:r>
      <w:bookmarkStart w:id="226" w:name="_Toc459787724"/>
      <w:bookmarkStart w:id="227" w:name="_Toc471195660"/>
      <w:bookmarkStart w:id="228" w:name="_Toc471196620"/>
      <w:r>
        <w:rPr>
          <w:snapToGrid w:val="0"/>
        </w:rPr>
        <w:t>Further restrictions on exercise of power</w:t>
      </w:r>
      <w:bookmarkEnd w:id="223"/>
      <w:bookmarkEnd w:id="224"/>
      <w:bookmarkEnd w:id="226"/>
      <w:bookmarkEnd w:id="227"/>
      <w:bookmarkEnd w:id="228"/>
      <w:bookmarkEnd w:id="225"/>
    </w:p>
    <w:p>
      <w:pPr>
        <w:pStyle w:val="Subsection"/>
      </w:pPr>
      <w:r>
        <w:tab/>
      </w:r>
      <w:bookmarkStart w:id="229" w:name="_Hlt523738279"/>
      <w:bookmarkEnd w:id="229"/>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section 66 of the </w:t>
      </w:r>
      <w:r>
        <w:rPr>
          <w:i/>
        </w:rPr>
        <w:t>Financial Administration and Audit Act 1985</w:t>
      </w:r>
      <w:r>
        <w:t xml:space="preserve"> must include a summary of any approval referred to in subsection (2).</w:t>
      </w:r>
    </w:p>
    <w:p>
      <w:pPr>
        <w:pStyle w:val="Heading5"/>
        <w:rPr>
          <w:snapToGrid w:val="0"/>
        </w:rPr>
      </w:pPr>
      <w:bookmarkStart w:id="230" w:name="_Toc527886291"/>
      <w:bookmarkStart w:id="231" w:name="_Toc131326327"/>
      <w:bookmarkStart w:id="232" w:name="_Toc122948042"/>
      <w:r>
        <w:rPr>
          <w:rStyle w:val="CharSectno"/>
        </w:rPr>
        <w:t>19</w:t>
      </w:r>
      <w:r>
        <w:rPr>
          <w:snapToGrid w:val="0"/>
        </w:rPr>
        <w:t>.</w:t>
      </w:r>
      <w:r>
        <w:rPr>
          <w:snapToGrid w:val="0"/>
        </w:rPr>
        <w:tab/>
      </w:r>
      <w:bookmarkStart w:id="233" w:name="_Toc459787725"/>
      <w:bookmarkStart w:id="234" w:name="_Toc471195661"/>
      <w:bookmarkStart w:id="235" w:name="_Toc471196621"/>
      <w:r>
        <w:rPr>
          <w:snapToGrid w:val="0"/>
        </w:rPr>
        <w:t>Conditional disposal of land</w:t>
      </w:r>
      <w:bookmarkEnd w:id="230"/>
      <w:bookmarkEnd w:id="231"/>
      <w:bookmarkEnd w:id="233"/>
      <w:bookmarkEnd w:id="234"/>
      <w:bookmarkEnd w:id="235"/>
      <w:bookmarkEnd w:id="232"/>
    </w:p>
    <w:p>
      <w:pPr>
        <w:pStyle w:val="Subsection"/>
        <w:keepNext/>
        <w:keepLines/>
      </w:pPr>
      <w:r>
        <w:tab/>
        <w:t>(1)</w:t>
      </w:r>
      <w:r>
        <w:tab/>
        <w:t>In this section —</w:t>
      </w:r>
    </w:p>
    <w:p>
      <w:pPr>
        <w:pStyle w:val="Defstart"/>
      </w:pPr>
      <w:r>
        <w:tab/>
      </w:r>
      <w:r>
        <w:rPr>
          <w:b/>
        </w:rPr>
        <w:t>“</w:t>
      </w:r>
      <w:r>
        <w:rPr>
          <w:rStyle w:val="CharDefText"/>
        </w:rPr>
        <w:t>Registrar</w:t>
      </w:r>
      <w:r>
        <w:rPr>
          <w:b/>
        </w:rPr>
        <w:t>”</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36" w:name="_Hlt524151907"/>
      <w:bookmarkStart w:id="237" w:name="_Toc527886292"/>
      <w:bookmarkStart w:id="238" w:name="_Toc131326328"/>
      <w:bookmarkStart w:id="239" w:name="_Toc122948043"/>
      <w:bookmarkEnd w:id="236"/>
      <w:r>
        <w:rPr>
          <w:rStyle w:val="CharSectno"/>
        </w:rPr>
        <w:t>20</w:t>
      </w:r>
      <w:r>
        <w:rPr>
          <w:snapToGrid w:val="0"/>
        </w:rPr>
        <w:t>.</w:t>
      </w:r>
      <w:r>
        <w:rPr>
          <w:snapToGrid w:val="0"/>
        </w:rPr>
        <w:tab/>
      </w:r>
      <w:bookmarkStart w:id="240" w:name="_Toc459787726"/>
      <w:bookmarkStart w:id="241" w:name="_Toc471195662"/>
      <w:bookmarkStart w:id="242" w:name="_Toc471196622"/>
      <w:r>
        <w:rPr>
          <w:snapToGrid w:val="0"/>
        </w:rPr>
        <w:t>Compulsory taking of land</w:t>
      </w:r>
      <w:bookmarkEnd w:id="237"/>
      <w:bookmarkEnd w:id="238"/>
      <w:bookmarkEnd w:id="240"/>
      <w:bookmarkEnd w:id="241"/>
      <w:bookmarkEnd w:id="242"/>
      <w:bookmarkEnd w:id="239"/>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 xml:space="preserve">“land” in those Acts has the same meaning as it has in section </w:t>
      </w:r>
      <w:bookmarkStart w:id="243" w:name="_Hlt523738417"/>
      <w:r>
        <w:t>3</w:t>
      </w:r>
      <w:bookmarkEnd w:id="243"/>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44" w:name="_Toc527886293"/>
      <w:bookmarkStart w:id="245" w:name="_Toc131326329"/>
      <w:bookmarkStart w:id="246" w:name="_Toc122948044"/>
      <w:r>
        <w:rPr>
          <w:rStyle w:val="CharSectno"/>
        </w:rPr>
        <w:t>21</w:t>
      </w:r>
      <w:r>
        <w:rPr>
          <w:snapToGrid w:val="0"/>
        </w:rPr>
        <w:t>.</w:t>
      </w:r>
      <w:r>
        <w:rPr>
          <w:snapToGrid w:val="0"/>
        </w:rPr>
        <w:tab/>
      </w:r>
      <w:bookmarkStart w:id="247" w:name="_Toc459787727"/>
      <w:bookmarkStart w:id="248" w:name="_Toc471195663"/>
      <w:bookmarkStart w:id="249" w:name="_Toc471196623"/>
      <w:r>
        <w:rPr>
          <w:snapToGrid w:val="0"/>
        </w:rPr>
        <w:t>Power of Governor to direct transfer to Authority</w:t>
      </w:r>
      <w:bookmarkEnd w:id="244"/>
      <w:bookmarkEnd w:id="245"/>
      <w:bookmarkEnd w:id="247"/>
      <w:bookmarkEnd w:id="248"/>
      <w:bookmarkEnd w:id="249"/>
      <w:bookmarkEnd w:id="246"/>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50" w:name="_Toc527886294"/>
      <w:bookmarkStart w:id="251" w:name="_Toc131326330"/>
      <w:bookmarkStart w:id="252" w:name="_Toc122948045"/>
      <w:r>
        <w:rPr>
          <w:rStyle w:val="CharSectno"/>
        </w:rPr>
        <w:t>22</w:t>
      </w:r>
      <w:r>
        <w:rPr>
          <w:snapToGrid w:val="0"/>
        </w:rPr>
        <w:t>.</w:t>
      </w:r>
      <w:r>
        <w:rPr>
          <w:snapToGrid w:val="0"/>
        </w:rPr>
        <w:tab/>
      </w:r>
      <w:bookmarkStart w:id="253" w:name="_Toc459787728"/>
      <w:bookmarkStart w:id="254" w:name="_Toc471195664"/>
      <w:bookmarkStart w:id="255" w:name="_Toc471196624"/>
      <w:r>
        <w:rPr>
          <w:snapToGrid w:val="0"/>
        </w:rPr>
        <w:t>Temporary closure of streets</w:t>
      </w:r>
      <w:bookmarkEnd w:id="250"/>
      <w:bookmarkEnd w:id="251"/>
      <w:bookmarkEnd w:id="253"/>
      <w:bookmarkEnd w:id="254"/>
      <w:bookmarkEnd w:id="255"/>
      <w:bookmarkEnd w:id="252"/>
    </w:p>
    <w:p>
      <w:pPr>
        <w:pStyle w:val="Subsection"/>
        <w:keepNext/>
      </w:pPr>
      <w:r>
        <w:tab/>
        <w:t>(1)</w:t>
      </w:r>
      <w:r>
        <w:tab/>
        <w:t>In this section and section </w:t>
      </w:r>
      <w:bookmarkStart w:id="256" w:name="_Hlt524152431"/>
      <w:r>
        <w:t>23</w:t>
      </w:r>
      <w:bookmarkEnd w:id="256"/>
      <w:r>
        <w:t> —</w:t>
      </w:r>
    </w:p>
    <w:p>
      <w:pPr>
        <w:pStyle w:val="Defstart"/>
      </w:pPr>
      <w:r>
        <w:tab/>
      </w:r>
      <w:r>
        <w:rPr>
          <w:b/>
        </w:rPr>
        <w:t>“</w:t>
      </w:r>
      <w:r>
        <w:rPr>
          <w:rStyle w:val="CharDefText"/>
        </w:rPr>
        <w:t>street</w:t>
      </w:r>
      <w:r>
        <w:rPr>
          <w:b/>
        </w:rPr>
        <w: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57" w:name="_Hlt524152434"/>
      <w:bookmarkStart w:id="258" w:name="_Toc527886295"/>
      <w:bookmarkStart w:id="259" w:name="_Toc131326331"/>
      <w:bookmarkStart w:id="260" w:name="_Toc122948046"/>
      <w:bookmarkEnd w:id="257"/>
      <w:r>
        <w:rPr>
          <w:rStyle w:val="CharSectno"/>
        </w:rPr>
        <w:t>23</w:t>
      </w:r>
      <w:r>
        <w:rPr>
          <w:snapToGrid w:val="0"/>
        </w:rPr>
        <w:t>.</w:t>
      </w:r>
      <w:r>
        <w:rPr>
          <w:snapToGrid w:val="0"/>
        </w:rPr>
        <w:tab/>
      </w:r>
      <w:bookmarkStart w:id="261" w:name="_Hlt523738452"/>
      <w:bookmarkStart w:id="262" w:name="_Toc459787729"/>
      <w:bookmarkStart w:id="263" w:name="_Toc471195665"/>
      <w:bookmarkStart w:id="264" w:name="_Toc471196625"/>
      <w:bookmarkEnd w:id="261"/>
      <w:r>
        <w:rPr>
          <w:snapToGrid w:val="0"/>
        </w:rPr>
        <w:t>Permanent closure of streets</w:t>
      </w:r>
      <w:bookmarkEnd w:id="258"/>
      <w:bookmarkEnd w:id="259"/>
      <w:bookmarkEnd w:id="262"/>
      <w:bookmarkEnd w:id="263"/>
      <w:bookmarkEnd w:id="264"/>
      <w:bookmarkEnd w:id="260"/>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65" w:name="_Toc527886296"/>
      <w:bookmarkStart w:id="266" w:name="_Toc131326332"/>
      <w:bookmarkStart w:id="267" w:name="_Toc122948047"/>
      <w:r>
        <w:rPr>
          <w:rStyle w:val="CharSectno"/>
        </w:rPr>
        <w:t>24</w:t>
      </w:r>
      <w:r>
        <w:rPr>
          <w:snapToGrid w:val="0"/>
        </w:rPr>
        <w:t>.</w:t>
      </w:r>
      <w:r>
        <w:rPr>
          <w:snapToGrid w:val="0"/>
        </w:rPr>
        <w:tab/>
      </w:r>
      <w:bookmarkStart w:id="268" w:name="_Hlt523796539"/>
      <w:bookmarkStart w:id="269" w:name="_Toc459787730"/>
      <w:bookmarkStart w:id="270" w:name="_Toc471195666"/>
      <w:bookmarkStart w:id="271" w:name="_Toc471196626"/>
      <w:bookmarkEnd w:id="268"/>
      <w:r>
        <w:rPr>
          <w:snapToGrid w:val="0"/>
        </w:rPr>
        <w:t>Delegation</w:t>
      </w:r>
      <w:bookmarkEnd w:id="265"/>
      <w:bookmarkEnd w:id="266"/>
      <w:bookmarkEnd w:id="269"/>
      <w:bookmarkEnd w:id="270"/>
      <w:bookmarkEnd w:id="271"/>
      <w:bookmarkEnd w:id="267"/>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72" w:name="_Toc527886297"/>
      <w:bookmarkStart w:id="273" w:name="_Toc131326333"/>
      <w:bookmarkStart w:id="274" w:name="_Toc122948048"/>
      <w:r>
        <w:rPr>
          <w:rStyle w:val="CharSectno"/>
        </w:rPr>
        <w:t>25</w:t>
      </w:r>
      <w:r>
        <w:rPr>
          <w:snapToGrid w:val="0"/>
        </w:rPr>
        <w:t>.</w:t>
      </w:r>
      <w:r>
        <w:rPr>
          <w:snapToGrid w:val="0"/>
        </w:rPr>
        <w:tab/>
      </w:r>
      <w:bookmarkStart w:id="275" w:name="_Hlt523796500"/>
      <w:bookmarkStart w:id="276" w:name="_Toc459787731"/>
      <w:bookmarkStart w:id="277" w:name="_Toc471195667"/>
      <w:bookmarkStart w:id="278" w:name="_Toc471196627"/>
      <w:bookmarkEnd w:id="275"/>
      <w:r>
        <w:rPr>
          <w:snapToGrid w:val="0"/>
        </w:rPr>
        <w:t>Minister may give directions</w:t>
      </w:r>
      <w:bookmarkEnd w:id="272"/>
      <w:bookmarkEnd w:id="273"/>
      <w:bookmarkEnd w:id="276"/>
      <w:bookmarkEnd w:id="277"/>
      <w:bookmarkEnd w:id="278"/>
      <w:bookmarkEnd w:id="274"/>
    </w:p>
    <w:p>
      <w:pPr>
        <w:pStyle w:val="Subsection"/>
      </w:pPr>
      <w:r>
        <w:tab/>
      </w:r>
      <w:bookmarkStart w:id="279" w:name="_Hlt523738492"/>
      <w:bookmarkEnd w:id="279"/>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section 66 of the </w:t>
      </w:r>
      <w:r>
        <w:rPr>
          <w:i/>
        </w:rPr>
        <w:t>Financial Administration and Audit Act 1985</w:t>
      </w:r>
      <w:r>
        <w:t>.</w:t>
      </w:r>
    </w:p>
    <w:p>
      <w:pPr>
        <w:pStyle w:val="Heading5"/>
        <w:rPr>
          <w:snapToGrid w:val="0"/>
        </w:rPr>
      </w:pPr>
      <w:bookmarkStart w:id="280" w:name="_Toc527886298"/>
      <w:bookmarkStart w:id="281" w:name="_Toc131326334"/>
      <w:bookmarkStart w:id="282" w:name="_Toc122948049"/>
      <w:r>
        <w:rPr>
          <w:rStyle w:val="CharSectno"/>
        </w:rPr>
        <w:t>26</w:t>
      </w:r>
      <w:r>
        <w:rPr>
          <w:snapToGrid w:val="0"/>
        </w:rPr>
        <w:t>.</w:t>
      </w:r>
      <w:r>
        <w:rPr>
          <w:snapToGrid w:val="0"/>
        </w:rPr>
        <w:tab/>
        <w:t>When directions take effect</w:t>
      </w:r>
      <w:bookmarkEnd w:id="280"/>
      <w:bookmarkEnd w:id="281"/>
      <w:bookmarkEnd w:id="282"/>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83" w:name="_Toc527886299"/>
      <w:bookmarkStart w:id="284" w:name="_Toc131326335"/>
      <w:bookmarkStart w:id="285" w:name="_Toc122948050"/>
      <w:r>
        <w:rPr>
          <w:rStyle w:val="CharSectno"/>
        </w:rPr>
        <w:t>27</w:t>
      </w:r>
      <w:r>
        <w:rPr>
          <w:snapToGrid w:val="0"/>
        </w:rPr>
        <w:t>.</w:t>
      </w:r>
      <w:r>
        <w:rPr>
          <w:snapToGrid w:val="0"/>
        </w:rPr>
        <w:tab/>
      </w:r>
      <w:bookmarkStart w:id="286" w:name="_Toc459787732"/>
      <w:bookmarkStart w:id="287" w:name="_Toc471195668"/>
      <w:bookmarkStart w:id="288" w:name="_Toc471196628"/>
      <w:r>
        <w:rPr>
          <w:snapToGrid w:val="0"/>
        </w:rPr>
        <w:t>Minister to have access to information</w:t>
      </w:r>
      <w:bookmarkEnd w:id="283"/>
      <w:bookmarkEnd w:id="284"/>
      <w:bookmarkEnd w:id="286"/>
      <w:bookmarkEnd w:id="287"/>
      <w:bookmarkEnd w:id="288"/>
      <w:bookmarkEnd w:id="285"/>
    </w:p>
    <w:p>
      <w:pPr>
        <w:pStyle w:val="Subsection"/>
      </w:pPr>
      <w:r>
        <w:tab/>
        <w:t>(1)</w:t>
      </w:r>
      <w:r>
        <w:tab/>
        <w:t>In this section —</w:t>
      </w:r>
    </w:p>
    <w:p>
      <w:pPr>
        <w:pStyle w:val="Defstart"/>
      </w:pPr>
      <w:r>
        <w:tab/>
      </w:r>
      <w:r>
        <w:rPr>
          <w:b/>
        </w:rPr>
        <w:t>“</w:t>
      </w:r>
      <w:r>
        <w:rPr>
          <w:rStyle w:val="CharDefText"/>
        </w:rPr>
        <w:t>document</w:t>
      </w:r>
      <w:r>
        <w:rPr>
          <w:b/>
        </w:rPr>
        <w:t>”</w:t>
      </w:r>
      <w:r>
        <w:t xml:space="preserve"> includes any tape, disc or other device or medium on which information is recorded or stored;</w:t>
      </w:r>
    </w:p>
    <w:p>
      <w:pPr>
        <w:pStyle w:val="Defstart"/>
      </w:pPr>
      <w:r>
        <w:tab/>
      </w:r>
      <w:r>
        <w:rPr>
          <w:b/>
        </w:rPr>
        <w:t>“</w:t>
      </w:r>
      <w:r>
        <w:rPr>
          <w:rStyle w:val="CharDefText"/>
        </w:rPr>
        <w:t>information</w:t>
      </w:r>
      <w:r>
        <w:rPr>
          <w:b/>
        </w:rPr>
        <w:t>”</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89" w:name="_Toc90880718"/>
      <w:bookmarkStart w:id="290" w:name="_Toc92441627"/>
      <w:bookmarkStart w:id="291" w:name="_Toc92441739"/>
      <w:bookmarkStart w:id="292" w:name="_Toc93136556"/>
      <w:bookmarkStart w:id="293" w:name="_Toc93202532"/>
      <w:bookmarkStart w:id="294" w:name="_Toc93388607"/>
      <w:bookmarkStart w:id="295" w:name="_Toc113427044"/>
      <w:bookmarkStart w:id="296" w:name="_Toc113435685"/>
      <w:bookmarkStart w:id="297" w:name="_Toc114288849"/>
      <w:bookmarkStart w:id="298" w:name="_Toc114297466"/>
      <w:bookmarkStart w:id="299" w:name="_Toc118523016"/>
      <w:bookmarkStart w:id="300" w:name="_Toc122500273"/>
      <w:bookmarkStart w:id="301" w:name="_Toc122948051"/>
      <w:bookmarkStart w:id="302" w:name="_Toc131326336"/>
      <w:r>
        <w:rPr>
          <w:rStyle w:val="CharPartNo"/>
        </w:rPr>
        <w:t>Part</w:t>
      </w:r>
      <w:bookmarkStart w:id="303" w:name="_Hlt524146883"/>
      <w:bookmarkEnd w:id="303"/>
      <w:r>
        <w:rPr>
          <w:rStyle w:val="CharPartNo"/>
        </w:rPr>
        <w:t> 4</w:t>
      </w:r>
      <w:r>
        <w:t xml:space="preserve"> — </w:t>
      </w:r>
      <w:r>
        <w:rPr>
          <w:rStyle w:val="CharPartText"/>
        </w:rPr>
        <w:t>Redevelopment scheme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pStyle w:val="Heading3"/>
      </w:pPr>
      <w:bookmarkStart w:id="304" w:name="_Toc90880719"/>
      <w:bookmarkStart w:id="305" w:name="_Toc92441628"/>
      <w:bookmarkStart w:id="306" w:name="_Toc92441740"/>
      <w:bookmarkStart w:id="307" w:name="_Toc93136557"/>
      <w:bookmarkStart w:id="308" w:name="_Toc93202533"/>
      <w:bookmarkStart w:id="309" w:name="_Toc93388608"/>
      <w:bookmarkStart w:id="310" w:name="_Toc113427045"/>
      <w:bookmarkStart w:id="311" w:name="_Toc113435686"/>
      <w:bookmarkStart w:id="312" w:name="_Toc114288850"/>
      <w:bookmarkStart w:id="313" w:name="_Toc114297467"/>
      <w:bookmarkStart w:id="314" w:name="_Toc118523017"/>
      <w:bookmarkStart w:id="315" w:name="_Toc122500274"/>
      <w:bookmarkStart w:id="316" w:name="_Toc122948052"/>
      <w:bookmarkStart w:id="317" w:name="_Toc131326337"/>
      <w:r>
        <w:rPr>
          <w:rStyle w:val="CharDivNo"/>
        </w:rPr>
        <w:t>Division 1</w:t>
      </w:r>
      <w:r>
        <w:t xml:space="preserve"> — </w:t>
      </w:r>
      <w:r>
        <w:rPr>
          <w:rStyle w:val="CharDivText"/>
        </w:rPr>
        <w:t>General</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pPr>
        <w:pStyle w:val="Heading5"/>
        <w:rPr>
          <w:snapToGrid w:val="0"/>
        </w:rPr>
      </w:pPr>
      <w:bookmarkStart w:id="318" w:name="_Toc527886300"/>
      <w:bookmarkStart w:id="319" w:name="_Toc131326338"/>
      <w:bookmarkStart w:id="320" w:name="_Toc122948053"/>
      <w:r>
        <w:rPr>
          <w:rStyle w:val="CharSectno"/>
        </w:rPr>
        <w:t>28</w:t>
      </w:r>
      <w:r>
        <w:rPr>
          <w:snapToGrid w:val="0"/>
        </w:rPr>
        <w:t>.</w:t>
      </w:r>
      <w:r>
        <w:rPr>
          <w:snapToGrid w:val="0"/>
        </w:rPr>
        <w:tab/>
        <w:t>Authority to comply with redevelopment scheme</w:t>
      </w:r>
      <w:bookmarkEnd w:id="318"/>
      <w:bookmarkEnd w:id="319"/>
      <w:bookmarkEnd w:id="320"/>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21" w:name="_Hlt524152484"/>
      <w:r>
        <w:t>48(1)</w:t>
      </w:r>
      <w:bookmarkEnd w:id="321"/>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22" w:name="_Toc527886301"/>
      <w:bookmarkStart w:id="323" w:name="_Toc131326339"/>
      <w:bookmarkStart w:id="324" w:name="_Toc122948054"/>
      <w:r>
        <w:rPr>
          <w:rStyle w:val="CharSectno"/>
        </w:rPr>
        <w:t>29</w:t>
      </w:r>
      <w:r>
        <w:rPr>
          <w:snapToGrid w:val="0"/>
        </w:rPr>
        <w:t>.</w:t>
      </w:r>
      <w:r>
        <w:rPr>
          <w:snapToGrid w:val="0"/>
        </w:rPr>
        <w:tab/>
      </w:r>
      <w:bookmarkStart w:id="325" w:name="_Toc459787734"/>
      <w:bookmarkStart w:id="326" w:name="_Toc471195670"/>
      <w:bookmarkStart w:id="327" w:name="_Toc471196630"/>
      <w:r>
        <w:rPr>
          <w:snapToGrid w:val="0"/>
        </w:rPr>
        <w:t>Contents of redevelopment scheme</w:t>
      </w:r>
      <w:bookmarkEnd w:id="322"/>
      <w:bookmarkEnd w:id="323"/>
      <w:bookmarkEnd w:id="325"/>
      <w:bookmarkEnd w:id="326"/>
      <w:bookmarkEnd w:id="327"/>
      <w:bookmarkEnd w:id="324"/>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w:t>
      </w:r>
      <w:del w:id="328" w:author="svcMRProcess" w:date="2018-08-20T12:17:00Z">
        <w:r>
          <w:delText>town</w:delText>
        </w:r>
      </w:del>
      <w:ins w:id="329" w:author="svcMRProcess" w:date="2018-08-20T12:17:00Z">
        <w:r>
          <w:t>local</w:t>
        </w:r>
      </w:ins>
      <w:r>
        <w:t xml:space="preserve"> planning scheme under the </w:t>
      </w:r>
      <w:del w:id="330" w:author="svcMRProcess" w:date="2018-08-20T12:17:00Z">
        <w:r>
          <w:delText xml:space="preserve">Town </w:delText>
        </w:r>
      </w:del>
      <w:r>
        <w:rPr>
          <w:i/>
        </w:rPr>
        <w:t xml:space="preserve">Planning </w:t>
      </w:r>
      <w:ins w:id="331" w:author="svcMRProcess" w:date="2018-08-20T12:17:00Z">
        <w:r>
          <w:rPr>
            <w:i/>
          </w:rPr>
          <w:t xml:space="preserve">and Development </w:t>
        </w:r>
      </w:ins>
      <w:r>
        <w:rPr>
          <w:i/>
        </w:rPr>
        <w:t>Act</w:t>
      </w:r>
      <w:ins w:id="332" w:author="svcMRProcess" w:date="2018-08-20T12:17:00Z">
        <w:r>
          <w:rPr>
            <w:i/>
          </w:rPr>
          <w:t> 2005</w:t>
        </w:r>
      </w:ins>
      <w:r>
        <w:t>.</w:t>
      </w:r>
    </w:p>
    <w:p>
      <w:pPr>
        <w:pStyle w:val="Footnotesection"/>
        <w:rPr>
          <w:ins w:id="333" w:author="svcMRProcess" w:date="2018-08-20T12:17:00Z"/>
        </w:rPr>
      </w:pPr>
      <w:ins w:id="334" w:author="svcMRProcess" w:date="2018-08-20T12:17:00Z">
        <w:r>
          <w:tab/>
          <w:t>[Section 29 amended by No. 38 of 2005 s. 15.]</w:t>
        </w:r>
      </w:ins>
    </w:p>
    <w:p>
      <w:pPr>
        <w:pStyle w:val="Heading3"/>
      </w:pPr>
      <w:bookmarkStart w:id="335" w:name="_Toc90880722"/>
      <w:bookmarkStart w:id="336" w:name="_Toc92441631"/>
      <w:bookmarkStart w:id="337" w:name="_Toc92441743"/>
      <w:bookmarkStart w:id="338" w:name="_Toc93136560"/>
      <w:bookmarkStart w:id="339" w:name="_Toc93202536"/>
      <w:bookmarkStart w:id="340" w:name="_Toc93388611"/>
      <w:bookmarkStart w:id="341" w:name="_Toc113427048"/>
      <w:bookmarkStart w:id="342" w:name="_Toc113435689"/>
      <w:bookmarkStart w:id="343" w:name="_Toc114288853"/>
      <w:bookmarkStart w:id="344" w:name="_Toc114297470"/>
      <w:bookmarkStart w:id="345" w:name="_Toc118523020"/>
      <w:bookmarkStart w:id="346" w:name="_Toc122500277"/>
      <w:bookmarkStart w:id="347" w:name="_Toc122948055"/>
      <w:bookmarkStart w:id="348" w:name="_Toc131326340"/>
      <w:r>
        <w:rPr>
          <w:rStyle w:val="CharDivNo"/>
        </w:rPr>
        <w:t>Division 2</w:t>
      </w:r>
      <w:r>
        <w:t xml:space="preserve"> — </w:t>
      </w:r>
      <w:r>
        <w:rPr>
          <w:rStyle w:val="CharDivText"/>
        </w:rPr>
        <w:t>Preparation and approval of redevelopment scheme</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pStyle w:val="Heading5"/>
        <w:rPr>
          <w:snapToGrid w:val="0"/>
        </w:rPr>
      </w:pPr>
      <w:bookmarkStart w:id="349" w:name="_Hlt523734572"/>
      <w:bookmarkStart w:id="350" w:name="_Toc459787735"/>
      <w:bookmarkStart w:id="351" w:name="_Toc471195671"/>
      <w:bookmarkStart w:id="352" w:name="_Toc471196631"/>
      <w:bookmarkStart w:id="353" w:name="_Toc527886302"/>
      <w:bookmarkStart w:id="354" w:name="_Toc131326341"/>
      <w:bookmarkStart w:id="355" w:name="_Toc122948056"/>
      <w:bookmarkEnd w:id="349"/>
      <w:r>
        <w:rPr>
          <w:rStyle w:val="CharSectno"/>
        </w:rPr>
        <w:t>30</w:t>
      </w:r>
      <w:r>
        <w:rPr>
          <w:snapToGrid w:val="0"/>
        </w:rPr>
        <w:t>.</w:t>
      </w:r>
      <w:r>
        <w:rPr>
          <w:snapToGrid w:val="0"/>
        </w:rPr>
        <w:tab/>
        <w:t>Proposed redevelopment scheme</w:t>
      </w:r>
      <w:bookmarkEnd w:id="350"/>
      <w:bookmarkEnd w:id="351"/>
      <w:bookmarkEnd w:id="352"/>
      <w:bookmarkEnd w:id="353"/>
      <w:bookmarkEnd w:id="354"/>
      <w:bookmarkEnd w:id="355"/>
    </w:p>
    <w:p>
      <w:pPr>
        <w:pStyle w:val="Subsection"/>
      </w:pPr>
      <w:r>
        <w:tab/>
        <w:t>(1)</w:t>
      </w:r>
      <w:r>
        <w:tab/>
        <w:t>The Authority must submit a proposed redevelopment scheme to the Minister as soon as is practicable after the commencement of this Act.</w:t>
      </w:r>
    </w:p>
    <w:p>
      <w:pPr>
        <w:pStyle w:val="Subsection"/>
        <w:keepNext/>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56" w:name="_Hlt523739103"/>
      <w:bookmarkEnd w:id="356"/>
      <w:r>
        <w:t>(3)</w:t>
      </w:r>
      <w:r>
        <w:tab/>
        <w:t xml:space="preserve">A proposed redevelopment scheme must not be submitted to the Minister unless sections </w:t>
      </w:r>
      <w:bookmarkStart w:id="357" w:name="_Hlt523738656"/>
      <w:r>
        <w:t>37</w:t>
      </w:r>
      <w:bookmarkEnd w:id="357"/>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58" w:name="_Hlt523734251"/>
      <w:bookmarkEnd w:id="358"/>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59" w:name="_Hlt523734457"/>
      <w:bookmarkEnd w:id="359"/>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section 66 of the </w:t>
      </w:r>
      <w:r>
        <w:rPr>
          <w:i/>
        </w:rPr>
        <w:t>Financial Administration and Audit Act 1985</w:t>
      </w:r>
      <w:r>
        <w:t>.</w:t>
      </w:r>
    </w:p>
    <w:p>
      <w:pPr>
        <w:pStyle w:val="Heading5"/>
        <w:spacing w:before="180"/>
        <w:rPr>
          <w:snapToGrid w:val="0"/>
        </w:rPr>
      </w:pPr>
      <w:bookmarkStart w:id="360" w:name="_Toc527886303"/>
      <w:bookmarkStart w:id="361" w:name="_Toc131326342"/>
      <w:bookmarkStart w:id="362" w:name="_Toc122948057"/>
      <w:r>
        <w:rPr>
          <w:rStyle w:val="CharSectno"/>
        </w:rPr>
        <w:t>31</w:t>
      </w:r>
      <w:r>
        <w:rPr>
          <w:snapToGrid w:val="0"/>
        </w:rPr>
        <w:t>.</w:t>
      </w:r>
      <w:r>
        <w:rPr>
          <w:snapToGrid w:val="0"/>
        </w:rPr>
        <w:tab/>
      </w:r>
      <w:bookmarkStart w:id="363" w:name="_Toc459787736"/>
      <w:bookmarkStart w:id="364" w:name="_Toc471195672"/>
      <w:bookmarkStart w:id="365" w:name="_Toc471196632"/>
      <w:r>
        <w:rPr>
          <w:snapToGrid w:val="0"/>
        </w:rPr>
        <w:t>Proposed scheme to be publicly notified</w:t>
      </w:r>
      <w:bookmarkEnd w:id="360"/>
      <w:bookmarkEnd w:id="361"/>
      <w:bookmarkEnd w:id="363"/>
      <w:bookmarkEnd w:id="364"/>
      <w:bookmarkEnd w:id="365"/>
      <w:bookmarkEnd w:id="362"/>
    </w:p>
    <w:p>
      <w:pPr>
        <w:pStyle w:val="Subsection"/>
        <w:spacing w:before="120"/>
      </w:pPr>
      <w:r>
        <w:tab/>
        <w:t>(1)</w:t>
      </w:r>
      <w:r>
        <w:tab/>
        <w:t>Public notification of a proposed redevelopment scheme in respect of which the Minister has given consent under section </w:t>
      </w:r>
      <w:bookmarkStart w:id="366" w:name="_Hlt523734248"/>
      <w:r>
        <w:t>30(4)</w:t>
      </w:r>
      <w:bookmarkEnd w:id="366"/>
      <w:r>
        <w:t xml:space="preserve"> must be given in accordance with subsection (2).</w:t>
      </w:r>
    </w:p>
    <w:p>
      <w:pPr>
        <w:pStyle w:val="Subsection"/>
        <w:spacing w:before="120"/>
      </w:pPr>
      <w:r>
        <w:tab/>
        <w:t>(2)</w:t>
      </w:r>
      <w:r>
        <w:tab/>
        <w:t>The proposed redevelopment scheme must be publicly notified by the Authority by the publication —</w:t>
      </w:r>
    </w:p>
    <w:p>
      <w:pPr>
        <w:pStyle w:val="Indenta"/>
        <w:spacing w:before="60"/>
      </w:pPr>
      <w:r>
        <w:tab/>
        <w:t>(a)</w:t>
      </w:r>
      <w:r>
        <w:tab/>
        <w:t xml:space="preserve">in the </w:t>
      </w:r>
      <w:r>
        <w:rPr>
          <w:i/>
        </w:rPr>
        <w:t>Gazette</w:t>
      </w:r>
      <w:r>
        <w:t>; and</w:t>
      </w:r>
    </w:p>
    <w:p>
      <w:pPr>
        <w:pStyle w:val="Indenta"/>
        <w:spacing w:before="60"/>
      </w:pPr>
      <w:r>
        <w:tab/>
        <w:t>(b)</w:t>
      </w:r>
      <w:r>
        <w:tab/>
        <w:t>in 2 issues of a daily newspaper circulating in the City of Armadale,</w:t>
      </w:r>
    </w:p>
    <w:p>
      <w:pPr>
        <w:pStyle w:val="Subsection"/>
        <w:spacing w:before="80"/>
      </w:pPr>
      <w:r>
        <w:tab/>
      </w:r>
      <w:r>
        <w:tab/>
        <w:t>of a notice —</w:t>
      </w:r>
    </w:p>
    <w:p>
      <w:pPr>
        <w:pStyle w:val="Indenta"/>
        <w:spacing w:before="60"/>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spacing w:before="60"/>
      </w:pPr>
      <w:r>
        <w:tab/>
        <w:t>(d)</w:t>
      </w:r>
      <w:r>
        <w:tab/>
        <w:t>stating the effect of section </w:t>
      </w:r>
      <w:bookmarkStart w:id="367" w:name="_Hlt524152678"/>
      <w:r>
        <w:t>32</w:t>
      </w:r>
      <w:bookmarkEnd w:id="367"/>
      <w:r>
        <w:t xml:space="preserve"> and specifying the period referred to in that section.</w:t>
      </w:r>
    </w:p>
    <w:p>
      <w:pPr>
        <w:pStyle w:val="Subsection"/>
        <w:spacing w:before="120"/>
      </w:pPr>
      <w:r>
        <w:tab/>
        <w:t>(3)</w:t>
      </w:r>
      <w:r>
        <w:tab/>
        <w:t>The Authority may fix and charge a fee for supplying copies of a proposed redevelopment scheme.</w:t>
      </w:r>
    </w:p>
    <w:p>
      <w:pPr>
        <w:pStyle w:val="Subsection"/>
        <w:spacing w:before="120"/>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spacing w:before="180"/>
        <w:rPr>
          <w:snapToGrid w:val="0"/>
        </w:rPr>
      </w:pPr>
      <w:bookmarkStart w:id="368" w:name="_Hlt523734297"/>
      <w:bookmarkStart w:id="369" w:name="_Toc459787737"/>
      <w:bookmarkStart w:id="370" w:name="_Toc471195673"/>
      <w:bookmarkStart w:id="371" w:name="_Toc471196633"/>
      <w:bookmarkStart w:id="372" w:name="_Toc527886304"/>
      <w:bookmarkStart w:id="373" w:name="_Toc131326343"/>
      <w:bookmarkStart w:id="374" w:name="_Toc122948058"/>
      <w:bookmarkEnd w:id="368"/>
      <w:r>
        <w:rPr>
          <w:rStyle w:val="CharSectno"/>
        </w:rPr>
        <w:t>32</w:t>
      </w:r>
      <w:r>
        <w:rPr>
          <w:snapToGrid w:val="0"/>
        </w:rPr>
        <w:t>.</w:t>
      </w:r>
      <w:r>
        <w:rPr>
          <w:snapToGrid w:val="0"/>
        </w:rPr>
        <w:tab/>
        <w:t>Public submissions</w:t>
      </w:r>
      <w:bookmarkEnd w:id="369"/>
      <w:bookmarkEnd w:id="370"/>
      <w:bookmarkEnd w:id="371"/>
      <w:bookmarkEnd w:id="372"/>
      <w:bookmarkEnd w:id="373"/>
      <w:bookmarkEnd w:id="374"/>
    </w:p>
    <w:p>
      <w:pPr>
        <w:pStyle w:val="Subsection"/>
        <w:spacing w:before="120"/>
      </w:pPr>
      <w:r>
        <w:tab/>
        <w:t>(1)</w:t>
      </w:r>
      <w:r>
        <w:tab/>
        <w:t>Written submissions on the proposed redevelopment scheme may be made by any person —</w:t>
      </w:r>
    </w:p>
    <w:p>
      <w:pPr>
        <w:pStyle w:val="Indenta"/>
        <w:spacing w:before="60"/>
      </w:pPr>
      <w:r>
        <w:tab/>
      </w:r>
      <w:bookmarkStart w:id="375" w:name="_Hlt523734516"/>
      <w:bookmarkEnd w:id="375"/>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376" w:name="_Hlt523738747"/>
      <w:bookmarkEnd w:id="376"/>
      <w:r>
        <w:t>(2)</w:t>
      </w:r>
      <w:r>
        <w:tab/>
        <w:t>The Authority may modify the proposed redevelopment scheme as it thinks fit to give effect to any submission so received.</w:t>
      </w:r>
    </w:p>
    <w:p>
      <w:pPr>
        <w:pStyle w:val="Heading5"/>
        <w:rPr>
          <w:snapToGrid w:val="0"/>
        </w:rPr>
      </w:pPr>
      <w:bookmarkStart w:id="377" w:name="_Hlt526043578"/>
      <w:bookmarkStart w:id="378" w:name="_Toc527886305"/>
      <w:bookmarkStart w:id="379" w:name="_Toc131326344"/>
      <w:bookmarkStart w:id="380" w:name="_Toc122948059"/>
      <w:bookmarkEnd w:id="377"/>
      <w:r>
        <w:rPr>
          <w:rStyle w:val="CharSectno"/>
        </w:rPr>
        <w:t>33</w:t>
      </w:r>
      <w:r>
        <w:rPr>
          <w:snapToGrid w:val="0"/>
        </w:rPr>
        <w:t>.</w:t>
      </w:r>
      <w:r>
        <w:rPr>
          <w:snapToGrid w:val="0"/>
        </w:rPr>
        <w:tab/>
      </w:r>
      <w:bookmarkStart w:id="381" w:name="_Hlt523739074"/>
      <w:bookmarkStart w:id="382" w:name="_Toc459787738"/>
      <w:bookmarkStart w:id="383" w:name="_Toc471195674"/>
      <w:bookmarkStart w:id="384" w:name="_Toc471196634"/>
      <w:bookmarkEnd w:id="381"/>
      <w:r>
        <w:rPr>
          <w:snapToGrid w:val="0"/>
        </w:rPr>
        <w:t>Approval by Minister</w:t>
      </w:r>
      <w:bookmarkEnd w:id="378"/>
      <w:bookmarkEnd w:id="379"/>
      <w:bookmarkEnd w:id="382"/>
      <w:bookmarkEnd w:id="383"/>
      <w:bookmarkEnd w:id="384"/>
      <w:bookmarkEnd w:id="380"/>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385" w:name="_Hlt524152892"/>
      <w:r>
        <w:t>32</w:t>
      </w:r>
      <w:bookmarkEnd w:id="385"/>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keepNext/>
        <w:keepLines/>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section 66 of the </w:t>
      </w:r>
      <w:r>
        <w:rPr>
          <w:i/>
        </w:rPr>
        <w:t>Financial Administration and Audit Act 1985</w:t>
      </w:r>
      <w:r>
        <w:t>.</w:t>
      </w:r>
    </w:p>
    <w:p>
      <w:pPr>
        <w:pStyle w:val="Heading5"/>
        <w:rPr>
          <w:snapToGrid w:val="0"/>
        </w:rPr>
      </w:pPr>
      <w:bookmarkStart w:id="386" w:name="_Toc527886306"/>
      <w:bookmarkStart w:id="387" w:name="_Toc131326345"/>
      <w:bookmarkStart w:id="388" w:name="_Toc122948060"/>
      <w:r>
        <w:rPr>
          <w:rStyle w:val="CharSectno"/>
        </w:rPr>
        <w:t>34</w:t>
      </w:r>
      <w:r>
        <w:rPr>
          <w:snapToGrid w:val="0"/>
        </w:rPr>
        <w:t>.</w:t>
      </w:r>
      <w:r>
        <w:rPr>
          <w:snapToGrid w:val="0"/>
        </w:rPr>
        <w:tab/>
      </w:r>
      <w:bookmarkStart w:id="389" w:name="_Hlt523734528"/>
      <w:bookmarkStart w:id="390" w:name="_Toc459787739"/>
      <w:bookmarkStart w:id="391" w:name="_Toc471195675"/>
      <w:bookmarkStart w:id="392" w:name="_Toc471196635"/>
      <w:bookmarkEnd w:id="389"/>
      <w:r>
        <w:rPr>
          <w:snapToGrid w:val="0"/>
        </w:rPr>
        <w:t>Notice of approval</w:t>
      </w:r>
      <w:bookmarkEnd w:id="386"/>
      <w:bookmarkEnd w:id="387"/>
      <w:bookmarkEnd w:id="390"/>
      <w:bookmarkEnd w:id="391"/>
      <w:bookmarkEnd w:id="392"/>
      <w:bookmarkEnd w:id="388"/>
    </w:p>
    <w:p>
      <w:pPr>
        <w:pStyle w:val="Subsection"/>
        <w:spacing w:before="120"/>
      </w:pPr>
      <w:r>
        <w:tab/>
        <w:t>(1)</w:t>
      </w:r>
      <w:r>
        <w:tab/>
        <w:t>Notice that a redevelopment scheme has been approved by the Minister under section 33</w:t>
      </w:r>
      <w:bookmarkStart w:id="393" w:name="_Hlt524156923"/>
      <w:bookmarkEnd w:id="393"/>
      <w:r>
        <w:t xml:space="preserve"> must be published by the Authority in the </w:t>
      </w:r>
      <w:r>
        <w:rPr>
          <w:i/>
        </w:rPr>
        <w:t>Gazette</w:t>
      </w:r>
      <w:r>
        <w:t xml:space="preserve"> together with a note showing where a copy of the redevelopment scheme may be inspected or obtained.</w:t>
      </w:r>
    </w:p>
    <w:p>
      <w:pPr>
        <w:pStyle w:val="Subsection"/>
        <w:spacing w:before="120"/>
      </w:pPr>
      <w:r>
        <w:tab/>
      </w:r>
      <w:bookmarkStart w:id="394" w:name="_Hlt526043596"/>
      <w:bookmarkEnd w:id="394"/>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spacing w:before="120"/>
      </w:pPr>
      <w:r>
        <w:tab/>
        <w:t>(3)</w:t>
      </w:r>
      <w:r>
        <w:tab/>
        <w:t>The Authority may fix and charge a fee for supplying copies of a redevelopment scheme.</w:t>
      </w:r>
    </w:p>
    <w:p>
      <w:pPr>
        <w:pStyle w:val="Heading3"/>
      </w:pPr>
      <w:bookmarkStart w:id="395" w:name="_Toc90880728"/>
      <w:bookmarkStart w:id="396" w:name="_Toc92441637"/>
      <w:bookmarkStart w:id="397" w:name="_Toc92441749"/>
      <w:bookmarkStart w:id="398" w:name="_Toc93136566"/>
      <w:bookmarkStart w:id="399" w:name="_Toc93202542"/>
      <w:bookmarkStart w:id="400" w:name="_Toc93388617"/>
      <w:bookmarkStart w:id="401" w:name="_Toc113427054"/>
      <w:bookmarkStart w:id="402" w:name="_Toc113435695"/>
      <w:bookmarkStart w:id="403" w:name="_Toc114288859"/>
      <w:bookmarkStart w:id="404" w:name="_Toc114297476"/>
      <w:bookmarkStart w:id="405" w:name="_Toc118523026"/>
      <w:bookmarkStart w:id="406" w:name="_Toc122500283"/>
      <w:bookmarkStart w:id="407" w:name="_Toc122948061"/>
      <w:bookmarkStart w:id="408" w:name="_Toc131326346"/>
      <w:r>
        <w:rPr>
          <w:rStyle w:val="CharDivNo"/>
        </w:rPr>
        <w:t>Division 3</w:t>
      </w:r>
      <w:r>
        <w:t xml:space="preserve"> — </w:t>
      </w:r>
      <w:r>
        <w:rPr>
          <w:rStyle w:val="CharDivText"/>
        </w:rPr>
        <w:t>Amendment of redevelopment scheme</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Style w:val="Heading5"/>
        <w:rPr>
          <w:snapToGrid w:val="0"/>
        </w:rPr>
      </w:pPr>
      <w:bookmarkStart w:id="409" w:name="_Hlt523734612"/>
      <w:bookmarkStart w:id="410" w:name="_Toc527886307"/>
      <w:bookmarkStart w:id="411" w:name="_Toc131326347"/>
      <w:bookmarkStart w:id="412" w:name="_Toc122948062"/>
      <w:bookmarkEnd w:id="409"/>
      <w:r>
        <w:rPr>
          <w:rStyle w:val="CharSectno"/>
        </w:rPr>
        <w:t>35</w:t>
      </w:r>
      <w:r>
        <w:rPr>
          <w:snapToGrid w:val="0"/>
        </w:rPr>
        <w:t>.</w:t>
      </w:r>
      <w:r>
        <w:rPr>
          <w:snapToGrid w:val="0"/>
        </w:rPr>
        <w:tab/>
        <w:t>Amendment of redevelopment scheme</w:t>
      </w:r>
      <w:bookmarkEnd w:id="410"/>
      <w:bookmarkEnd w:id="411"/>
      <w:bookmarkEnd w:id="412"/>
    </w:p>
    <w:p>
      <w:pPr>
        <w:pStyle w:val="Subsection"/>
        <w:spacing w:before="120"/>
      </w:pPr>
      <w:r>
        <w:tab/>
        <w:t>(1)</w:t>
      </w:r>
      <w:r>
        <w:tab/>
        <w:t>A redevelopment scheme may be amended in accordance with this section.</w:t>
      </w:r>
    </w:p>
    <w:p>
      <w:pPr>
        <w:pStyle w:val="Subsection"/>
        <w:spacing w:before="120"/>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keepNext/>
        <w:keepLines/>
      </w:pPr>
      <w:r>
        <w:tab/>
        <w:t>(b)</w:t>
      </w:r>
      <w:r>
        <w:tab/>
        <w:t>section </w:t>
      </w:r>
      <w:bookmarkStart w:id="413" w:name="_Hlt523734481"/>
      <w:r>
        <w:t>30(5)</w:t>
      </w:r>
      <w:bookmarkEnd w:id="413"/>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14" w:name="_Hlt524156620"/>
      <w:r>
        <w:t>32</w:t>
      </w:r>
      <w:bookmarkEnd w:id="414"/>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15" w:name="_Hlt524156825"/>
      <w:r>
        <w:t>34</w:t>
      </w:r>
      <w:bookmarkEnd w:id="415"/>
      <w:r>
        <w:t>, as if references in that section to a redevelopment scheme were references to the amendment to a redevelopment scheme.</w:t>
      </w:r>
    </w:p>
    <w:p>
      <w:pPr>
        <w:pStyle w:val="Heading5"/>
        <w:rPr>
          <w:snapToGrid w:val="0"/>
        </w:rPr>
      </w:pPr>
      <w:bookmarkStart w:id="416" w:name="_Toc527886308"/>
      <w:bookmarkStart w:id="417" w:name="_Toc131326348"/>
      <w:bookmarkStart w:id="418" w:name="_Toc122948063"/>
      <w:r>
        <w:rPr>
          <w:rStyle w:val="CharSectno"/>
        </w:rPr>
        <w:t>36</w:t>
      </w:r>
      <w:r>
        <w:rPr>
          <w:snapToGrid w:val="0"/>
        </w:rPr>
        <w:t>.</w:t>
      </w:r>
      <w:r>
        <w:rPr>
          <w:snapToGrid w:val="0"/>
        </w:rPr>
        <w:tab/>
      </w:r>
      <w:bookmarkStart w:id="419" w:name="_Toc459787741"/>
      <w:bookmarkStart w:id="420" w:name="_Toc471195677"/>
      <w:bookmarkStart w:id="421" w:name="_Toc471196637"/>
      <w:r>
        <w:rPr>
          <w:snapToGrid w:val="0"/>
        </w:rPr>
        <w:t>Saving</w:t>
      </w:r>
      <w:bookmarkEnd w:id="416"/>
      <w:bookmarkEnd w:id="417"/>
      <w:bookmarkEnd w:id="419"/>
      <w:bookmarkEnd w:id="420"/>
      <w:bookmarkEnd w:id="421"/>
      <w:bookmarkEnd w:id="418"/>
    </w:p>
    <w:p>
      <w:pPr>
        <w:pStyle w:val="Subsection"/>
        <w:spacing w:before="140"/>
      </w:pPr>
      <w:r>
        <w:tab/>
      </w:r>
      <w:r>
        <w:tab/>
        <w:t>A development in respect of which an approval under section </w:t>
      </w:r>
      <w:bookmarkStart w:id="422" w:name="_Hlt524156980"/>
      <w:r>
        <w:t>48</w:t>
      </w:r>
      <w:bookmarkEnd w:id="422"/>
      <w:r>
        <w:t xml:space="preserve"> is in force immediately before an amendment to a redevelopment scheme comes into force under section 35 may be lawfully carried out as if the amendment had not been made.</w:t>
      </w:r>
    </w:p>
    <w:p>
      <w:pPr>
        <w:pStyle w:val="Heading3"/>
      </w:pPr>
      <w:bookmarkStart w:id="423" w:name="_Toc90880731"/>
      <w:bookmarkStart w:id="424" w:name="_Toc92441640"/>
      <w:bookmarkStart w:id="425" w:name="_Toc92441752"/>
      <w:bookmarkStart w:id="426" w:name="_Toc93136569"/>
      <w:bookmarkStart w:id="427" w:name="_Toc93202545"/>
      <w:bookmarkStart w:id="428" w:name="_Toc93388620"/>
      <w:bookmarkStart w:id="429" w:name="_Toc113427057"/>
      <w:bookmarkStart w:id="430" w:name="_Toc113435698"/>
      <w:bookmarkStart w:id="431" w:name="_Toc114288862"/>
      <w:bookmarkStart w:id="432" w:name="_Toc114297479"/>
      <w:bookmarkStart w:id="433" w:name="_Toc118523029"/>
      <w:bookmarkStart w:id="434" w:name="_Toc122500286"/>
      <w:bookmarkStart w:id="435" w:name="_Toc122948064"/>
      <w:bookmarkStart w:id="436" w:name="_Toc131326349"/>
      <w:r>
        <w:rPr>
          <w:rStyle w:val="CharDivNo"/>
        </w:rPr>
        <w:t>Division</w:t>
      </w:r>
      <w:bookmarkStart w:id="437" w:name="_Hlt524150047"/>
      <w:bookmarkEnd w:id="437"/>
      <w:r>
        <w:rPr>
          <w:rStyle w:val="CharDivNo"/>
        </w:rPr>
        <w:t> 4</w:t>
      </w:r>
      <w:r>
        <w:t xml:space="preserve"> — </w:t>
      </w:r>
      <w:r>
        <w:rPr>
          <w:rStyle w:val="CharDivText"/>
        </w:rPr>
        <w:t>Role of EPA in respect of development schemes, etc.</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pStyle w:val="Heading5"/>
        <w:rPr>
          <w:snapToGrid w:val="0"/>
        </w:rPr>
      </w:pPr>
      <w:bookmarkStart w:id="438" w:name="_Hlt523738664"/>
      <w:bookmarkStart w:id="439" w:name="_Toc527886309"/>
      <w:bookmarkStart w:id="440" w:name="_Toc131326350"/>
      <w:bookmarkStart w:id="441" w:name="_Toc122948065"/>
      <w:bookmarkEnd w:id="438"/>
      <w:r>
        <w:rPr>
          <w:rStyle w:val="CharSectno"/>
        </w:rPr>
        <w:t>37</w:t>
      </w:r>
      <w:r>
        <w:rPr>
          <w:snapToGrid w:val="0"/>
        </w:rPr>
        <w:t>.</w:t>
      </w:r>
      <w:r>
        <w:rPr>
          <w:snapToGrid w:val="0"/>
        </w:rPr>
        <w:tab/>
        <w:t>Reference of proposed redevelopment schemes, and proposed amendments to redevelopment schemes, to EPA</w:t>
      </w:r>
      <w:bookmarkEnd w:id="439"/>
      <w:bookmarkEnd w:id="440"/>
      <w:bookmarkEnd w:id="441"/>
    </w:p>
    <w:p>
      <w:pPr>
        <w:pStyle w:val="Subsection"/>
        <w:spacing w:before="140"/>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442" w:name="_Toc527886310"/>
      <w:bookmarkStart w:id="443" w:name="_Toc131326351"/>
      <w:bookmarkStart w:id="444" w:name="_Toc122948066"/>
      <w:r>
        <w:rPr>
          <w:rStyle w:val="CharSectno"/>
        </w:rPr>
        <w:t>38</w:t>
      </w:r>
      <w:r>
        <w:rPr>
          <w:snapToGrid w:val="0"/>
        </w:rPr>
        <w:t>.</w:t>
      </w:r>
      <w:r>
        <w:rPr>
          <w:snapToGrid w:val="0"/>
        </w:rPr>
        <w:tab/>
      </w:r>
      <w:bookmarkStart w:id="445" w:name="_Toc459787743"/>
      <w:bookmarkStart w:id="446" w:name="_Toc471195679"/>
      <w:bookmarkStart w:id="447" w:name="_Toc471196639"/>
      <w:r>
        <w:rPr>
          <w:snapToGrid w:val="0"/>
        </w:rPr>
        <w:t>Prerequisite to submission of proposed redevelopment schemes, and proposed amendments to redevelopment schemes, to Minister for approval before public notification</w:t>
      </w:r>
      <w:bookmarkEnd w:id="442"/>
      <w:bookmarkEnd w:id="443"/>
      <w:bookmarkEnd w:id="445"/>
      <w:bookmarkEnd w:id="446"/>
      <w:bookmarkEnd w:id="447"/>
      <w:bookmarkEnd w:id="444"/>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448" w:name="_Hlt524157082"/>
      <w:r>
        <w:t>30</w:t>
      </w:r>
      <w:bookmarkEnd w:id="448"/>
      <w:r>
        <w:t>, or under section </w:t>
      </w:r>
      <w:bookmarkStart w:id="449" w:name="_Hlt523734605"/>
      <w:r>
        <w:t>35</w:t>
      </w:r>
      <w:bookmarkEnd w:id="449"/>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spacing w:before="60"/>
      </w:pPr>
      <w:r>
        <w:tab/>
        <w:t>(a)</w:t>
      </w:r>
      <w:r>
        <w:tab/>
        <w:t>comply with subsection (1) in respect of the redevelopment scheme or amendment concerned; or</w:t>
      </w:r>
    </w:p>
    <w:p>
      <w:pPr>
        <w:pStyle w:val="Indenta"/>
        <w:spacing w:before="60"/>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spacing w:before="60"/>
      </w:pPr>
      <w:r>
        <w:tab/>
        <w:t>(a)</w:t>
      </w:r>
      <w:r>
        <w:tab/>
        <w:t>agree on whether or not the review has been undertaken in accordance with the relevant instructions, their decision is final and without appeal; or</w:t>
      </w:r>
    </w:p>
    <w:p>
      <w:pPr>
        <w:pStyle w:val="Indenta"/>
        <w:spacing w:before="60"/>
      </w:pPr>
      <w:r>
        <w:tab/>
        <w:t>(b)</w:t>
      </w:r>
      <w:r>
        <w:tab/>
        <w:t>cannot so agree, section 48J of the EP Act applies.</w:t>
      </w:r>
    </w:p>
    <w:p>
      <w:pPr>
        <w:pStyle w:val="Heading5"/>
        <w:spacing w:before="180"/>
        <w:rPr>
          <w:snapToGrid w:val="0"/>
        </w:rPr>
      </w:pPr>
      <w:bookmarkStart w:id="450" w:name="_Hlt524152833"/>
      <w:bookmarkStart w:id="451" w:name="_Toc527886311"/>
      <w:bookmarkStart w:id="452" w:name="_Toc131326352"/>
      <w:bookmarkStart w:id="453" w:name="_Toc122948067"/>
      <w:bookmarkEnd w:id="450"/>
      <w:r>
        <w:rPr>
          <w:rStyle w:val="CharSectno"/>
        </w:rPr>
        <w:t>39</w:t>
      </w:r>
      <w:r>
        <w:rPr>
          <w:snapToGrid w:val="0"/>
        </w:rPr>
        <w:t>.</w:t>
      </w:r>
      <w:r>
        <w:rPr>
          <w:snapToGrid w:val="0"/>
        </w:rPr>
        <w:tab/>
      </w:r>
      <w:bookmarkStart w:id="454" w:name="_Toc459787744"/>
      <w:bookmarkStart w:id="455" w:name="_Toc471195680"/>
      <w:bookmarkStart w:id="456" w:name="_Toc471196640"/>
      <w:r>
        <w:rPr>
          <w:snapToGrid w:val="0"/>
        </w:rPr>
        <w:t>Role of Authority in relation to environmental submissions</w:t>
      </w:r>
      <w:bookmarkEnd w:id="451"/>
      <w:bookmarkEnd w:id="452"/>
      <w:bookmarkEnd w:id="454"/>
      <w:bookmarkEnd w:id="455"/>
      <w:bookmarkEnd w:id="456"/>
      <w:bookmarkEnd w:id="453"/>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spacing w:before="60"/>
      </w:pPr>
      <w:r>
        <w:tab/>
        <w:t>(a)</w:t>
      </w:r>
      <w:r>
        <w:tab/>
        <w:t>as soon as practicable, but in any event within 7 days after the expiry of the period referred to in section 32(1)(a), or in section </w:t>
      </w:r>
      <w:bookmarkStart w:id="457" w:name="_Hlt523734644"/>
      <w:r>
        <w:t>35</w:t>
      </w:r>
      <w:bookmarkEnd w:id="457"/>
      <w:r>
        <w:t xml:space="preserve"> as read with section 32(1)(a), as the case requires, transmit to the EPA a copy of each submission —</w:t>
      </w:r>
    </w:p>
    <w:p>
      <w:pPr>
        <w:pStyle w:val="Indenti"/>
        <w:spacing w:before="60"/>
      </w:pPr>
      <w:r>
        <w:tab/>
        <w:t>(i)</w:t>
      </w:r>
      <w:r>
        <w:tab/>
        <w:t>made under section 32, or under section 35 as read with section 32, as the case requires; and</w:t>
      </w:r>
    </w:p>
    <w:p>
      <w:pPr>
        <w:pStyle w:val="Indenti"/>
        <w:keepNext/>
      </w:pPr>
      <w:r>
        <w:tab/>
        <w:t>(ii)</w:t>
      </w:r>
      <w:r>
        <w:tab/>
        <w:t>relating wholly or in part to environmental issues raised by that redevelopment scheme or amendment;</w:t>
      </w:r>
    </w:p>
    <w:p>
      <w:pPr>
        <w:pStyle w:val="Indenta"/>
        <w:spacing w:before="60"/>
      </w:pPr>
      <w:r>
        <w:tab/>
      </w:r>
      <w:r>
        <w:tab/>
        <w:t>and</w:t>
      </w:r>
    </w:p>
    <w:p>
      <w:pPr>
        <w:pStyle w:val="Indenta"/>
      </w:pPr>
      <w:r>
        <w:tab/>
        <w:t>(b)</w:t>
      </w:r>
      <w:r>
        <w:tab/>
        <w:t>within 42 days, or such longer period as the Minister allows, after the expiry of the period referred to in section 32(1)(a), or in section </w:t>
      </w:r>
      <w:bookmarkStart w:id="458" w:name="_Hlt523717986"/>
      <w:r>
        <w:t>35</w:t>
      </w:r>
      <w:bookmarkEnd w:id="458"/>
      <w:r>
        <w:t xml:space="preserve"> as read with section 32(1)(a), as the case requires, inform the EPA of its views on and response to the environmental issues raised by submissions referred to in paragraph (a) and received within that period.</w:t>
      </w:r>
    </w:p>
    <w:p>
      <w:pPr>
        <w:pStyle w:val="Heading5"/>
        <w:spacing w:before="180"/>
        <w:rPr>
          <w:snapToGrid w:val="0"/>
        </w:rPr>
      </w:pPr>
      <w:bookmarkStart w:id="459" w:name="_Hlt524152838"/>
      <w:bookmarkStart w:id="460" w:name="_Toc527886312"/>
      <w:bookmarkStart w:id="461" w:name="_Toc131326353"/>
      <w:bookmarkStart w:id="462" w:name="_Toc122948068"/>
      <w:bookmarkEnd w:id="459"/>
      <w:r>
        <w:rPr>
          <w:rStyle w:val="CharSectno"/>
        </w:rPr>
        <w:t>40</w:t>
      </w:r>
      <w:r>
        <w:rPr>
          <w:snapToGrid w:val="0"/>
        </w:rPr>
        <w:t>.</w:t>
      </w:r>
      <w:r>
        <w:rPr>
          <w:snapToGrid w:val="0"/>
        </w:rPr>
        <w:tab/>
      </w:r>
      <w:bookmarkStart w:id="463" w:name="_Toc459787745"/>
      <w:bookmarkStart w:id="464" w:name="_Toc471195681"/>
      <w:bookmarkStart w:id="465" w:name="_Toc471196641"/>
      <w:r>
        <w:rPr>
          <w:snapToGrid w:val="0"/>
        </w:rPr>
        <w:t>Prerequisite to final approval by Minister of proposed redevelopment schemes and proposed amendments to redevelopment schemes</w:t>
      </w:r>
      <w:bookmarkEnd w:id="460"/>
      <w:bookmarkEnd w:id="461"/>
      <w:bookmarkEnd w:id="463"/>
      <w:bookmarkEnd w:id="464"/>
      <w:bookmarkEnd w:id="465"/>
      <w:bookmarkEnd w:id="462"/>
    </w:p>
    <w:p>
      <w:pPr>
        <w:pStyle w:val="Subsection"/>
        <w:spacing w:before="120"/>
      </w:pPr>
      <w:r>
        <w:tab/>
      </w:r>
      <w:r>
        <w:tab/>
        <w:t>The Minister must not approve under section </w:t>
      </w:r>
      <w:bookmarkStart w:id="466" w:name="_Hlt526043575"/>
      <w:r>
        <w:t>33</w:t>
      </w:r>
      <w:bookmarkEnd w:id="466"/>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467" w:name="_Toc90880736"/>
      <w:bookmarkStart w:id="468" w:name="_Toc92441645"/>
      <w:bookmarkStart w:id="469" w:name="_Toc92441757"/>
      <w:bookmarkStart w:id="470" w:name="_Toc93136574"/>
      <w:bookmarkStart w:id="471" w:name="_Toc93202550"/>
      <w:bookmarkStart w:id="472" w:name="_Toc93388625"/>
      <w:bookmarkStart w:id="473" w:name="_Toc113427062"/>
      <w:bookmarkStart w:id="474" w:name="_Toc113435703"/>
      <w:bookmarkStart w:id="475" w:name="_Toc114288867"/>
      <w:bookmarkStart w:id="476" w:name="_Toc114297484"/>
      <w:bookmarkStart w:id="477" w:name="_Toc118523034"/>
      <w:bookmarkStart w:id="478" w:name="_Toc122500291"/>
      <w:bookmarkStart w:id="479" w:name="_Toc122948069"/>
      <w:bookmarkStart w:id="480" w:name="_Toc131326354"/>
      <w:r>
        <w:rPr>
          <w:rStyle w:val="CharPartNo"/>
        </w:rPr>
        <w:t>Part 5</w:t>
      </w:r>
      <w:r>
        <w:rPr>
          <w:rStyle w:val="CharDivNo"/>
        </w:rPr>
        <w:t xml:space="preserve"> </w:t>
      </w:r>
      <w:r>
        <w:t>—</w:t>
      </w:r>
      <w:r>
        <w:rPr>
          <w:rStyle w:val="CharDivText"/>
        </w:rPr>
        <w:t xml:space="preserve"> </w:t>
      </w:r>
      <w:r>
        <w:rPr>
          <w:rStyle w:val="CharPartText"/>
        </w:rPr>
        <w:t>Development control</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Heading5"/>
        <w:rPr>
          <w:snapToGrid w:val="0"/>
        </w:rPr>
      </w:pPr>
      <w:bookmarkStart w:id="481" w:name="_Toc527886313"/>
      <w:bookmarkStart w:id="482" w:name="_Toc131326355"/>
      <w:bookmarkStart w:id="483" w:name="_Toc122948070"/>
      <w:r>
        <w:rPr>
          <w:rStyle w:val="CharSectno"/>
        </w:rPr>
        <w:t>41</w:t>
      </w:r>
      <w:r>
        <w:rPr>
          <w:snapToGrid w:val="0"/>
        </w:rPr>
        <w:t>.</w:t>
      </w:r>
      <w:r>
        <w:rPr>
          <w:snapToGrid w:val="0"/>
        </w:rPr>
        <w:tab/>
        <w:t>Definition</w:t>
      </w:r>
      <w:bookmarkEnd w:id="481"/>
      <w:bookmarkEnd w:id="482"/>
      <w:bookmarkEnd w:id="483"/>
    </w:p>
    <w:p>
      <w:pPr>
        <w:pStyle w:val="Subsection"/>
      </w:pPr>
      <w:r>
        <w:tab/>
      </w:r>
      <w:r>
        <w:tab/>
        <w:t>In this Part —</w:t>
      </w:r>
    </w:p>
    <w:p>
      <w:pPr>
        <w:pStyle w:val="Defstart"/>
      </w:pPr>
      <w:r>
        <w:tab/>
      </w:r>
      <w:r>
        <w:rPr>
          <w:b/>
        </w:rPr>
        <w:t>“</w:t>
      </w:r>
      <w:r>
        <w:rPr>
          <w:rStyle w:val="CharDefText"/>
        </w:rPr>
        <w:t>appointed day</w:t>
      </w:r>
      <w:r>
        <w:rPr>
          <w:b/>
        </w:rPr>
        <w:t>”</w:t>
      </w:r>
      <w:r>
        <w:t xml:space="preserve"> means the day on which a redevelopment scheme comes into operation under section 34(2).</w:t>
      </w:r>
    </w:p>
    <w:p>
      <w:pPr>
        <w:pStyle w:val="Heading5"/>
        <w:rPr>
          <w:snapToGrid w:val="0"/>
        </w:rPr>
      </w:pPr>
      <w:bookmarkStart w:id="484" w:name="_Toc527886314"/>
      <w:bookmarkStart w:id="485" w:name="_Toc131326356"/>
      <w:bookmarkStart w:id="486" w:name="_Toc122948071"/>
      <w:r>
        <w:rPr>
          <w:rStyle w:val="CharSectno"/>
        </w:rPr>
        <w:t>42</w:t>
      </w:r>
      <w:r>
        <w:rPr>
          <w:snapToGrid w:val="0"/>
        </w:rPr>
        <w:t>.</w:t>
      </w:r>
      <w:r>
        <w:rPr>
          <w:snapToGrid w:val="0"/>
        </w:rPr>
        <w:tab/>
      </w:r>
      <w:bookmarkStart w:id="487" w:name="_Toc459787747"/>
      <w:bookmarkStart w:id="488" w:name="_Toc471195683"/>
      <w:bookmarkStart w:id="489" w:name="_Toc471196643"/>
      <w:r>
        <w:rPr>
          <w:snapToGrid w:val="0"/>
        </w:rPr>
        <w:t>Crown bound</w:t>
      </w:r>
      <w:bookmarkEnd w:id="484"/>
      <w:bookmarkEnd w:id="485"/>
      <w:bookmarkEnd w:id="487"/>
      <w:bookmarkEnd w:id="488"/>
      <w:bookmarkEnd w:id="489"/>
      <w:bookmarkEnd w:id="486"/>
    </w:p>
    <w:p>
      <w:pPr>
        <w:pStyle w:val="Subsection"/>
      </w:pPr>
      <w:r>
        <w:tab/>
      </w:r>
      <w:r>
        <w:tab/>
        <w:t>This Part binds the Crown.</w:t>
      </w:r>
    </w:p>
    <w:p>
      <w:pPr>
        <w:pStyle w:val="Heading5"/>
        <w:rPr>
          <w:snapToGrid w:val="0"/>
        </w:rPr>
      </w:pPr>
      <w:bookmarkStart w:id="490" w:name="_Toc527886315"/>
      <w:bookmarkStart w:id="491" w:name="_Toc131326357"/>
      <w:bookmarkStart w:id="492" w:name="_Toc122948072"/>
      <w:r>
        <w:rPr>
          <w:rStyle w:val="CharSectno"/>
        </w:rPr>
        <w:t>43</w:t>
      </w:r>
      <w:r>
        <w:rPr>
          <w:snapToGrid w:val="0"/>
        </w:rPr>
        <w:t>.</w:t>
      </w:r>
      <w:r>
        <w:rPr>
          <w:snapToGrid w:val="0"/>
        </w:rPr>
        <w:tab/>
      </w:r>
      <w:bookmarkStart w:id="493" w:name="_Toc459787748"/>
      <w:bookmarkStart w:id="494" w:name="_Toc471195684"/>
      <w:bookmarkStart w:id="495" w:name="_Toc471196644"/>
      <w:r>
        <w:rPr>
          <w:snapToGrid w:val="0"/>
        </w:rPr>
        <w:t>Certain planning schemes cease to apply</w:t>
      </w:r>
      <w:bookmarkEnd w:id="490"/>
      <w:bookmarkEnd w:id="491"/>
      <w:bookmarkEnd w:id="493"/>
      <w:bookmarkEnd w:id="494"/>
      <w:bookmarkEnd w:id="495"/>
      <w:bookmarkEnd w:id="492"/>
    </w:p>
    <w:p>
      <w:pPr>
        <w:pStyle w:val="Subsection"/>
      </w:pPr>
      <w:r>
        <w:tab/>
        <w:t>(1)</w:t>
      </w:r>
      <w:r>
        <w:tab/>
        <w:t>In this section —</w:t>
      </w:r>
    </w:p>
    <w:p>
      <w:pPr>
        <w:pStyle w:val="Defstart"/>
      </w:pPr>
      <w:r>
        <w:tab/>
      </w:r>
      <w:r>
        <w:rPr>
          <w:b/>
        </w:rPr>
        <w:t>“</w:t>
      </w:r>
      <w:r>
        <w:rPr>
          <w:rStyle w:val="CharDefText"/>
        </w:rPr>
        <w:t>planning scheme</w:t>
      </w:r>
      <w:r>
        <w:rPr>
          <w:b/>
        </w:rPr>
        <w:t>”</w:t>
      </w:r>
      <w:r>
        <w:t xml:space="preserve"> means —</w:t>
      </w:r>
    </w:p>
    <w:p>
      <w:pPr>
        <w:pStyle w:val="Defpara"/>
      </w:pPr>
      <w:r>
        <w:tab/>
        <w:t>(a)</w:t>
      </w:r>
      <w:r>
        <w:tab/>
        <w:t xml:space="preserve">any town planning scheme under the </w:t>
      </w:r>
      <w:r>
        <w:rPr>
          <w:i/>
        </w:rPr>
        <w:t xml:space="preserve">Town Planning </w:t>
      </w:r>
      <w:ins w:id="496" w:author="svcMRProcess" w:date="2018-08-20T12:17:00Z">
        <w:r>
          <w:rPr>
            <w:i/>
          </w:rPr>
          <w:t xml:space="preserve">and Development </w:t>
        </w:r>
      </w:ins>
      <w:r>
        <w:rPr>
          <w:i/>
        </w:rPr>
        <w:t>Act</w:t>
      </w:r>
      <w:ins w:id="497" w:author="svcMRProcess" w:date="2018-08-20T12:17:00Z">
        <w:r>
          <w:rPr>
            <w:i/>
          </w:rPr>
          <w:t> 1928</w:t>
        </w:r>
      </w:ins>
      <w:r>
        <w:rPr>
          <w:i/>
        </w:rPr>
        <w:t xml:space="preserve"> </w:t>
      </w:r>
      <w:r>
        <w:t>that is in operation in the redevelopment area immediately before the appointed day;</w:t>
      </w:r>
      <w:del w:id="498" w:author="svcMRProcess" w:date="2018-08-20T12:17:00Z">
        <w:r>
          <w:delText xml:space="preserve"> and</w:delText>
        </w:r>
      </w:del>
    </w:p>
    <w:p>
      <w:pPr>
        <w:pStyle w:val="Defpara"/>
        <w:rPr>
          <w:ins w:id="499" w:author="svcMRProcess" w:date="2018-08-20T12:17:00Z"/>
        </w:rPr>
      </w:pPr>
      <w:ins w:id="500" w:author="svcMRProcess" w:date="2018-08-20T12:17:00Z">
        <w:r>
          <w:tab/>
          <w:t>(aa)</w:t>
        </w:r>
        <w:r>
          <w:tab/>
          <w:t xml:space="preserve">any local planning scheme under the </w:t>
        </w:r>
        <w:r>
          <w:rPr>
            <w:i/>
          </w:rPr>
          <w:t>Planning and Development Act 2005</w:t>
        </w:r>
        <w:r>
          <w:t xml:space="preserve"> that is in operation in the redevelopment area immediately before the appointed day; and</w:t>
        </w:r>
      </w:ins>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rPr>
          <w:ins w:id="501" w:author="svcMRProcess" w:date="2018-08-20T12:17:00Z"/>
        </w:rPr>
      </w:pPr>
      <w:ins w:id="502" w:author="svcMRProcess" w:date="2018-08-20T12:17:00Z">
        <w:r>
          <w:tab/>
          <w:t>[Section 43 amended by No. 38 of 2005 s. 15.]</w:t>
        </w:r>
      </w:ins>
    </w:p>
    <w:p>
      <w:pPr>
        <w:pStyle w:val="Heading5"/>
        <w:rPr>
          <w:snapToGrid w:val="0"/>
        </w:rPr>
      </w:pPr>
      <w:bookmarkStart w:id="503" w:name="_Toc527886316"/>
      <w:bookmarkStart w:id="504" w:name="_Toc131326358"/>
      <w:bookmarkStart w:id="505" w:name="_Toc122948073"/>
      <w:r>
        <w:rPr>
          <w:rStyle w:val="CharSectno"/>
        </w:rPr>
        <w:t>44</w:t>
      </w:r>
      <w:r>
        <w:rPr>
          <w:snapToGrid w:val="0"/>
        </w:rPr>
        <w:t>.</w:t>
      </w:r>
      <w:r>
        <w:rPr>
          <w:snapToGrid w:val="0"/>
        </w:rPr>
        <w:tab/>
      </w:r>
      <w:bookmarkStart w:id="506" w:name="_Toc459787749"/>
      <w:bookmarkStart w:id="507" w:name="_Toc471195685"/>
      <w:bookmarkStart w:id="508" w:name="_Toc471196645"/>
      <w:r>
        <w:rPr>
          <w:snapToGrid w:val="0"/>
        </w:rPr>
        <w:t>Saving</w:t>
      </w:r>
      <w:bookmarkEnd w:id="503"/>
      <w:bookmarkEnd w:id="504"/>
      <w:bookmarkEnd w:id="506"/>
      <w:bookmarkEnd w:id="507"/>
      <w:bookmarkEnd w:id="508"/>
      <w:bookmarkEnd w:id="505"/>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09" w:name="_Hlt524157685"/>
      <w:bookmarkStart w:id="510" w:name="_Toc527886317"/>
      <w:bookmarkStart w:id="511" w:name="_Toc131326359"/>
      <w:bookmarkStart w:id="512" w:name="_Toc122948074"/>
      <w:bookmarkEnd w:id="509"/>
      <w:r>
        <w:rPr>
          <w:rStyle w:val="CharSectno"/>
        </w:rPr>
        <w:t>45</w:t>
      </w:r>
      <w:r>
        <w:rPr>
          <w:snapToGrid w:val="0"/>
        </w:rPr>
        <w:t>.</w:t>
      </w:r>
      <w:r>
        <w:rPr>
          <w:snapToGrid w:val="0"/>
        </w:rPr>
        <w:tab/>
      </w:r>
      <w:bookmarkStart w:id="513" w:name="_Hlt523734978"/>
      <w:bookmarkStart w:id="514" w:name="_Toc459787750"/>
      <w:bookmarkStart w:id="515" w:name="_Toc471195686"/>
      <w:bookmarkStart w:id="516" w:name="_Toc471196646"/>
      <w:bookmarkEnd w:id="513"/>
      <w:r>
        <w:rPr>
          <w:snapToGrid w:val="0"/>
        </w:rPr>
        <w:t>Development to be approved</w:t>
      </w:r>
      <w:bookmarkEnd w:id="510"/>
      <w:bookmarkEnd w:id="511"/>
      <w:bookmarkEnd w:id="514"/>
      <w:bookmarkEnd w:id="515"/>
      <w:bookmarkEnd w:id="516"/>
      <w:bookmarkEnd w:id="512"/>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517" w:name="_Toc527886318"/>
      <w:bookmarkStart w:id="518" w:name="_Toc131326360"/>
      <w:bookmarkStart w:id="519" w:name="_Toc122948075"/>
      <w:r>
        <w:rPr>
          <w:rStyle w:val="CharSectno"/>
        </w:rPr>
        <w:t>46</w:t>
      </w:r>
      <w:r>
        <w:rPr>
          <w:snapToGrid w:val="0"/>
        </w:rPr>
        <w:t>.</w:t>
      </w:r>
      <w:r>
        <w:rPr>
          <w:snapToGrid w:val="0"/>
        </w:rPr>
        <w:tab/>
      </w:r>
      <w:bookmarkStart w:id="520" w:name="_Toc459787751"/>
      <w:bookmarkStart w:id="521" w:name="_Toc471195687"/>
      <w:bookmarkStart w:id="522" w:name="_Toc471196647"/>
      <w:r>
        <w:rPr>
          <w:snapToGrid w:val="0"/>
        </w:rPr>
        <w:t>Applications for approval</w:t>
      </w:r>
      <w:bookmarkEnd w:id="517"/>
      <w:bookmarkEnd w:id="518"/>
      <w:bookmarkEnd w:id="520"/>
      <w:bookmarkEnd w:id="521"/>
      <w:bookmarkEnd w:id="522"/>
      <w:bookmarkEnd w:id="519"/>
    </w:p>
    <w:p>
      <w:pPr>
        <w:pStyle w:val="Subsection"/>
        <w:spacing w:before="140"/>
      </w:pPr>
      <w:r>
        <w:tab/>
        <w:t>(1)</w:t>
      </w:r>
      <w:r>
        <w:tab/>
        <w:t>An application for approval under section </w:t>
      </w:r>
      <w:bookmarkStart w:id="523" w:name="_Hlt524157681"/>
      <w:r>
        <w:t>45</w:t>
      </w:r>
      <w:bookmarkEnd w:id="523"/>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524" w:name="_Toc527886319"/>
      <w:bookmarkStart w:id="525" w:name="_Toc131326361"/>
      <w:bookmarkStart w:id="526" w:name="_Toc122948076"/>
      <w:r>
        <w:rPr>
          <w:rStyle w:val="CharSectno"/>
        </w:rPr>
        <w:t>47</w:t>
      </w:r>
      <w:r>
        <w:rPr>
          <w:snapToGrid w:val="0"/>
        </w:rPr>
        <w:t>.</w:t>
      </w:r>
      <w:r>
        <w:rPr>
          <w:snapToGrid w:val="0"/>
        </w:rPr>
        <w:tab/>
      </w:r>
      <w:bookmarkStart w:id="527" w:name="_Hlt523734939"/>
      <w:bookmarkStart w:id="528" w:name="_Toc459787752"/>
      <w:bookmarkStart w:id="529" w:name="_Toc471195688"/>
      <w:bookmarkStart w:id="530" w:name="_Toc471196648"/>
      <w:bookmarkEnd w:id="527"/>
      <w:r>
        <w:rPr>
          <w:snapToGrid w:val="0"/>
        </w:rPr>
        <w:t>Consultation with other authorities</w:t>
      </w:r>
      <w:bookmarkEnd w:id="524"/>
      <w:bookmarkEnd w:id="525"/>
      <w:bookmarkEnd w:id="528"/>
      <w:bookmarkEnd w:id="529"/>
      <w:bookmarkEnd w:id="530"/>
      <w:bookmarkEnd w:id="526"/>
    </w:p>
    <w:p>
      <w:pPr>
        <w:pStyle w:val="Subsection"/>
        <w:keepNext/>
        <w:spacing w:before="140"/>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531" w:name="_Hlt524156988"/>
      <w:bookmarkStart w:id="532" w:name="_Toc527886320"/>
      <w:bookmarkStart w:id="533" w:name="_Toc131326362"/>
      <w:bookmarkStart w:id="534" w:name="_Toc122948077"/>
      <w:bookmarkEnd w:id="531"/>
      <w:r>
        <w:rPr>
          <w:rStyle w:val="CharSectno"/>
        </w:rPr>
        <w:t>48</w:t>
      </w:r>
      <w:r>
        <w:rPr>
          <w:snapToGrid w:val="0"/>
        </w:rPr>
        <w:t>.</w:t>
      </w:r>
      <w:r>
        <w:rPr>
          <w:snapToGrid w:val="0"/>
        </w:rPr>
        <w:tab/>
      </w:r>
      <w:bookmarkStart w:id="535" w:name="_Hlt523734960"/>
      <w:bookmarkStart w:id="536" w:name="_Toc459787753"/>
      <w:bookmarkStart w:id="537" w:name="_Toc471195689"/>
      <w:bookmarkStart w:id="538" w:name="_Toc471196649"/>
      <w:bookmarkEnd w:id="535"/>
      <w:r>
        <w:rPr>
          <w:snapToGrid w:val="0"/>
        </w:rPr>
        <w:t>Authority’s decision</w:t>
      </w:r>
      <w:bookmarkEnd w:id="532"/>
      <w:bookmarkEnd w:id="533"/>
      <w:bookmarkEnd w:id="536"/>
      <w:bookmarkEnd w:id="537"/>
      <w:bookmarkEnd w:id="538"/>
      <w:bookmarkEnd w:id="534"/>
    </w:p>
    <w:p>
      <w:pPr>
        <w:pStyle w:val="Subsection"/>
      </w:pPr>
      <w:r>
        <w:tab/>
      </w:r>
      <w:bookmarkStart w:id="539" w:name="_Hlt523738558"/>
      <w:bookmarkEnd w:id="539"/>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pPr>
      <w:r>
        <w:tab/>
        <w:t>(2)</w:t>
      </w:r>
      <w:r>
        <w:tab/>
        <w:t>The Authority may attach to an approval any condition that is within the objects of this Act.</w:t>
      </w:r>
    </w:p>
    <w:p>
      <w:pPr>
        <w:pStyle w:val="Subsection"/>
      </w:pPr>
      <w:r>
        <w:tab/>
        <w:t>(3)</w:t>
      </w:r>
      <w:r>
        <w:tab/>
        <w:t>The Authority may limit the time for which an approval remains in force.</w:t>
      </w:r>
    </w:p>
    <w:p>
      <w:pPr>
        <w:pStyle w:val="Subsection"/>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40" w:name="_Toc527886321"/>
      <w:bookmarkStart w:id="541" w:name="_Toc131326363"/>
      <w:bookmarkStart w:id="542" w:name="_Toc122948078"/>
      <w:r>
        <w:rPr>
          <w:rStyle w:val="CharSectno"/>
        </w:rPr>
        <w:t>49</w:t>
      </w:r>
      <w:r>
        <w:rPr>
          <w:snapToGrid w:val="0"/>
        </w:rPr>
        <w:t>.</w:t>
      </w:r>
      <w:r>
        <w:rPr>
          <w:snapToGrid w:val="0"/>
        </w:rPr>
        <w:tab/>
      </w:r>
      <w:bookmarkStart w:id="543" w:name="_Toc459787754"/>
      <w:bookmarkStart w:id="544" w:name="_Toc471195690"/>
      <w:bookmarkStart w:id="545" w:name="_Toc471196650"/>
      <w:r>
        <w:rPr>
          <w:snapToGrid w:val="0"/>
        </w:rPr>
        <w:t>Referral of certain applications to Minister</w:t>
      </w:r>
      <w:bookmarkEnd w:id="540"/>
      <w:bookmarkEnd w:id="541"/>
      <w:bookmarkEnd w:id="543"/>
      <w:bookmarkEnd w:id="544"/>
      <w:bookmarkEnd w:id="545"/>
      <w:bookmarkEnd w:id="542"/>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546" w:name="_Toc4491526"/>
      <w:bookmarkStart w:id="547" w:name="_Toc131326364"/>
      <w:bookmarkStart w:id="548" w:name="_Toc122948079"/>
      <w:bookmarkStart w:id="549" w:name="_Toc527886323"/>
      <w:r>
        <w:rPr>
          <w:rStyle w:val="CharSectno"/>
        </w:rPr>
        <w:t>50</w:t>
      </w:r>
      <w:r>
        <w:rPr>
          <w:snapToGrid w:val="0"/>
        </w:rPr>
        <w:t>.</w:t>
      </w:r>
      <w:r>
        <w:rPr>
          <w:snapToGrid w:val="0"/>
        </w:rPr>
        <w:tab/>
      </w:r>
      <w:bookmarkEnd w:id="546"/>
      <w:r>
        <w:rPr>
          <w:snapToGrid w:val="0"/>
        </w:rPr>
        <w:t>Review of certain decisions</w:t>
      </w:r>
      <w:bookmarkEnd w:id="547"/>
      <w:bookmarkEnd w:id="548"/>
    </w:p>
    <w:p>
      <w:pPr>
        <w:pStyle w:val="Subsection"/>
      </w:pPr>
      <w:r>
        <w:tab/>
      </w:r>
      <w:r>
        <w:tab/>
        <w:t xml:space="preserve">An applicant may apply to </w:t>
      </w:r>
      <w:r>
        <w:rPr>
          <w:snapToGrid w:val="0"/>
        </w:rPr>
        <w:t xml:space="preserve">the State Administrative Tribunal </w:t>
      </w:r>
      <w:r>
        <w:t>for a review, in accordance with Part</w:t>
      </w:r>
      <w:del w:id="550" w:author="svcMRProcess" w:date="2018-08-20T12:17:00Z">
        <w:r>
          <w:delText xml:space="preserve"> V</w:delText>
        </w:r>
      </w:del>
      <w:ins w:id="551" w:author="svcMRProcess" w:date="2018-08-20T12:17:00Z">
        <w:r>
          <w:t> 14</w:t>
        </w:r>
      </w:ins>
      <w:r>
        <w:t xml:space="preserve"> of the </w:t>
      </w:r>
      <w:del w:id="552" w:author="svcMRProcess" w:date="2018-08-20T12:17:00Z">
        <w:r>
          <w:delText xml:space="preserve">Town </w:delText>
        </w:r>
      </w:del>
      <w:r>
        <w:rPr>
          <w:i/>
        </w:rPr>
        <w:t xml:space="preserve">Planning </w:t>
      </w:r>
      <w:ins w:id="553" w:author="svcMRProcess" w:date="2018-08-20T12:17:00Z">
        <w:r>
          <w:rPr>
            <w:i/>
          </w:rPr>
          <w:t xml:space="preserve">and Development </w:t>
        </w:r>
      </w:ins>
      <w:r>
        <w:rPr>
          <w:i/>
        </w:rPr>
        <w:t>Act</w:t>
      </w:r>
      <w:ins w:id="554" w:author="svcMRProcess" w:date="2018-08-20T12:17:00Z">
        <w:r>
          <w:rPr>
            <w:i/>
          </w:rPr>
          <w:t> 2005</w:t>
        </w:r>
      </w:ins>
      <w:r>
        <w:t>, of a decision of the Authority under section 48 in respect of the applicant’s application.</w:t>
      </w:r>
    </w:p>
    <w:p>
      <w:pPr>
        <w:pStyle w:val="Footnotesection"/>
      </w:pPr>
      <w:r>
        <w:tab/>
        <w:t>[Section 50 inserted by No. 55 of 2004 s. </w:t>
      </w:r>
      <w:del w:id="555" w:author="svcMRProcess" w:date="2018-08-20T12:17:00Z">
        <w:r>
          <w:delText>54</w:delText>
        </w:r>
      </w:del>
      <w:ins w:id="556" w:author="svcMRProcess" w:date="2018-08-20T12:17:00Z">
        <w:r>
          <w:t>54; amended by No. 38 of 2005 s. 15</w:t>
        </w:r>
      </w:ins>
      <w:r>
        <w:t>.]</w:t>
      </w:r>
    </w:p>
    <w:p>
      <w:pPr>
        <w:pStyle w:val="Heading5"/>
        <w:rPr>
          <w:snapToGrid w:val="0"/>
        </w:rPr>
      </w:pPr>
      <w:bookmarkStart w:id="557" w:name="_Toc131326365"/>
      <w:bookmarkStart w:id="558" w:name="_Toc122948080"/>
      <w:r>
        <w:rPr>
          <w:rStyle w:val="CharSectno"/>
        </w:rPr>
        <w:t>51</w:t>
      </w:r>
      <w:r>
        <w:rPr>
          <w:snapToGrid w:val="0"/>
        </w:rPr>
        <w:t>.</w:t>
      </w:r>
      <w:r>
        <w:rPr>
          <w:snapToGrid w:val="0"/>
        </w:rPr>
        <w:tab/>
      </w:r>
      <w:bookmarkStart w:id="559" w:name="_Toc459787756"/>
      <w:bookmarkStart w:id="560" w:name="_Toc471195692"/>
      <w:bookmarkStart w:id="561" w:name="_Toc471196652"/>
      <w:r>
        <w:rPr>
          <w:snapToGrid w:val="0"/>
        </w:rPr>
        <w:t>Liability of officers for offence committed by body corporate</w:t>
      </w:r>
      <w:bookmarkEnd w:id="549"/>
      <w:bookmarkEnd w:id="557"/>
      <w:bookmarkEnd w:id="559"/>
      <w:bookmarkEnd w:id="560"/>
      <w:bookmarkEnd w:id="561"/>
      <w:bookmarkEnd w:id="558"/>
    </w:p>
    <w:p>
      <w:pPr>
        <w:pStyle w:val="Subsection"/>
        <w:keepNext/>
        <w:keepLines/>
      </w:pPr>
      <w:r>
        <w:tab/>
        <w:t>(1)</w:t>
      </w:r>
      <w:r>
        <w:tab/>
        <w:t>In this section —</w:t>
      </w:r>
    </w:p>
    <w:p>
      <w:pPr>
        <w:pStyle w:val="Defstart"/>
        <w:keepNext/>
        <w:keepLines/>
      </w:pPr>
      <w:r>
        <w:tab/>
      </w:r>
      <w:r>
        <w:rPr>
          <w:b/>
        </w:rPr>
        <w:t>“</w:t>
      </w:r>
      <w:r>
        <w:rPr>
          <w:rStyle w:val="CharDefText"/>
        </w:rPr>
        <w:t>officer</w:t>
      </w:r>
      <w:r>
        <w:rPr>
          <w:b/>
        </w:rPr>
        <w:t>”</w:t>
      </w:r>
      <w:r>
        <w:t>, in relation to a body corporate, means —</w:t>
      </w:r>
    </w:p>
    <w:p>
      <w:pPr>
        <w:pStyle w:val="Defpara"/>
        <w:keepNext/>
        <w:keepLines/>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562" w:name="_Hlt524158336"/>
      <w:r>
        <w:t>45</w:t>
      </w:r>
      <w:bookmarkEnd w:id="562"/>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563" w:name="_Toc459787757"/>
      <w:bookmarkStart w:id="564" w:name="_Toc471195693"/>
      <w:bookmarkStart w:id="565" w:name="_Toc471196653"/>
      <w:bookmarkStart w:id="566" w:name="_Toc527886324"/>
      <w:bookmarkStart w:id="567" w:name="_Toc131326366"/>
      <w:bookmarkStart w:id="568" w:name="_Toc122948081"/>
      <w:r>
        <w:rPr>
          <w:rStyle w:val="CharSectno"/>
        </w:rPr>
        <w:t>52</w:t>
      </w:r>
      <w:r>
        <w:rPr>
          <w:snapToGrid w:val="0"/>
        </w:rPr>
        <w:t>.</w:t>
      </w:r>
      <w:r>
        <w:rPr>
          <w:snapToGrid w:val="0"/>
        </w:rPr>
        <w:tab/>
        <w:t>Power to direct cessation or removal of unlawful development</w:t>
      </w:r>
      <w:bookmarkEnd w:id="563"/>
      <w:bookmarkEnd w:id="564"/>
      <w:bookmarkEnd w:id="565"/>
      <w:bookmarkEnd w:id="566"/>
      <w:bookmarkEnd w:id="567"/>
      <w:bookmarkEnd w:id="568"/>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for a review, in accordance with Part</w:t>
      </w:r>
      <w:del w:id="569" w:author="svcMRProcess" w:date="2018-08-20T12:17:00Z">
        <w:r>
          <w:delText xml:space="preserve"> V</w:delText>
        </w:r>
      </w:del>
      <w:ins w:id="570" w:author="svcMRProcess" w:date="2018-08-20T12:17:00Z">
        <w:r>
          <w:t> 14</w:t>
        </w:r>
      </w:ins>
      <w:r>
        <w:t xml:space="preserve"> of the </w:t>
      </w:r>
      <w:del w:id="571" w:author="svcMRProcess" w:date="2018-08-20T12:17:00Z">
        <w:r>
          <w:delText xml:space="preserve">Town </w:delText>
        </w:r>
      </w:del>
      <w:r>
        <w:rPr>
          <w:i/>
        </w:rPr>
        <w:t xml:space="preserve">Planning </w:t>
      </w:r>
      <w:ins w:id="572" w:author="svcMRProcess" w:date="2018-08-20T12:17:00Z">
        <w:r>
          <w:rPr>
            <w:i/>
          </w:rPr>
          <w:t xml:space="preserve">and Development </w:t>
        </w:r>
      </w:ins>
      <w:r>
        <w:rPr>
          <w:i/>
        </w:rPr>
        <w:t>Act</w:t>
      </w:r>
      <w:ins w:id="573" w:author="svcMRProcess" w:date="2018-08-20T12:17:00Z">
        <w:r>
          <w:rPr>
            <w:i/>
          </w:rPr>
          <w:t> 2005</w:t>
        </w:r>
      </w:ins>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w:t>
      </w:r>
      <w:del w:id="574" w:author="svcMRProcess" w:date="2018-08-20T12:17:00Z">
        <w:r>
          <w:delText>55</w:delText>
        </w:r>
      </w:del>
      <w:ins w:id="575" w:author="svcMRProcess" w:date="2018-08-20T12:17:00Z">
        <w:r>
          <w:t>55; No. 38 of 2005 s. 15</w:t>
        </w:r>
      </w:ins>
      <w:r>
        <w:t>.]</w:t>
      </w:r>
    </w:p>
    <w:p>
      <w:pPr>
        <w:pStyle w:val="Heading5"/>
        <w:rPr>
          <w:snapToGrid w:val="0"/>
        </w:rPr>
      </w:pPr>
      <w:bookmarkStart w:id="576" w:name="_Toc527886325"/>
      <w:bookmarkStart w:id="577" w:name="_Toc131326367"/>
      <w:bookmarkStart w:id="578" w:name="_Toc122948082"/>
      <w:r>
        <w:rPr>
          <w:rStyle w:val="CharSectno"/>
        </w:rPr>
        <w:t>53</w:t>
      </w:r>
      <w:r>
        <w:rPr>
          <w:snapToGrid w:val="0"/>
        </w:rPr>
        <w:t>.</w:t>
      </w:r>
      <w:r>
        <w:rPr>
          <w:snapToGrid w:val="0"/>
        </w:rPr>
        <w:tab/>
      </w:r>
      <w:bookmarkStart w:id="579" w:name="_Toc459787758"/>
      <w:bookmarkStart w:id="580" w:name="_Toc471195694"/>
      <w:bookmarkStart w:id="581" w:name="_Toc471196654"/>
      <w:r>
        <w:rPr>
          <w:snapToGrid w:val="0"/>
        </w:rPr>
        <w:t>Powers of Minister to ensure that environmental conditions are met</w:t>
      </w:r>
      <w:bookmarkEnd w:id="576"/>
      <w:bookmarkEnd w:id="577"/>
      <w:bookmarkEnd w:id="579"/>
      <w:bookmarkEnd w:id="580"/>
      <w:bookmarkEnd w:id="581"/>
      <w:bookmarkEnd w:id="578"/>
    </w:p>
    <w:p>
      <w:pPr>
        <w:pStyle w:val="Subsection"/>
      </w:pPr>
      <w:r>
        <w:tab/>
        <w:t>(1)</w:t>
      </w:r>
      <w:r>
        <w:tab/>
        <w:t>In this section —</w:t>
      </w:r>
    </w:p>
    <w:p>
      <w:pPr>
        <w:pStyle w:val="Defstart"/>
      </w:pPr>
      <w:r>
        <w:tab/>
      </w:r>
      <w:r>
        <w:rPr>
          <w:b/>
        </w:rPr>
        <w:t>“</w:t>
      </w:r>
      <w:r>
        <w:rPr>
          <w:rStyle w:val="CharDefText"/>
        </w:rPr>
        <w:t>assessed scheme</w:t>
      </w:r>
      <w:r>
        <w:rPr>
          <w:b/>
        </w:rPr>
        <w:t>”</w:t>
      </w:r>
      <w:r>
        <w:t xml:space="preserve"> means a redevelopment scheme, or an amendment to a redevelopment scheme, that is an assessed scheme within the meaning of the EP Act;</w:t>
      </w:r>
    </w:p>
    <w:p>
      <w:pPr>
        <w:pStyle w:val="Defstart"/>
      </w:pPr>
      <w:r>
        <w:tab/>
      </w:r>
      <w:r>
        <w:rPr>
          <w:b/>
        </w:rPr>
        <w:t>“</w:t>
      </w:r>
      <w:r>
        <w:rPr>
          <w:rStyle w:val="CharDefText"/>
        </w:rPr>
        <w:t>environmental condition</w:t>
      </w:r>
      <w:r>
        <w:rPr>
          <w:b/>
        </w:rPr>
        <w:t>”</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keepNext/>
      </w:pPr>
      <w:r>
        <w:tab/>
        <w:t>(c)</w:t>
      </w:r>
      <w:r>
        <w:tab/>
        <w:t>advise the Authority to cause such steps to be taken as are necessary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keepNext/>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582" w:name="_Toc527886326"/>
      <w:bookmarkStart w:id="583" w:name="_Toc131326368"/>
      <w:bookmarkStart w:id="584" w:name="_Toc122948083"/>
      <w:r>
        <w:rPr>
          <w:rStyle w:val="CharSectno"/>
        </w:rPr>
        <w:t>54</w:t>
      </w:r>
      <w:r>
        <w:rPr>
          <w:snapToGrid w:val="0"/>
        </w:rPr>
        <w:t>.</w:t>
      </w:r>
      <w:r>
        <w:rPr>
          <w:snapToGrid w:val="0"/>
        </w:rPr>
        <w:tab/>
      </w:r>
      <w:bookmarkStart w:id="585" w:name="_Toc459787759"/>
      <w:bookmarkStart w:id="586" w:name="_Toc471195695"/>
      <w:bookmarkStart w:id="587" w:name="_Toc471196655"/>
      <w:r>
        <w:rPr>
          <w:snapToGrid w:val="0"/>
        </w:rPr>
        <w:t>Compensation</w:t>
      </w:r>
      <w:bookmarkEnd w:id="582"/>
      <w:bookmarkEnd w:id="583"/>
      <w:bookmarkEnd w:id="585"/>
      <w:bookmarkEnd w:id="586"/>
      <w:bookmarkEnd w:id="587"/>
      <w:bookmarkEnd w:id="584"/>
    </w:p>
    <w:p>
      <w:pPr>
        <w:pStyle w:val="Subsection"/>
      </w:pPr>
      <w:r>
        <w:tab/>
        <w:t>(1)</w:t>
      </w:r>
      <w:r>
        <w:tab/>
      </w:r>
      <w:del w:id="588" w:author="svcMRProcess" w:date="2018-08-20T12:17:00Z">
        <w:r>
          <w:delText>Sections</w:delText>
        </w:r>
      </w:del>
      <w:ins w:id="589" w:author="svcMRProcess" w:date="2018-08-20T12:17:00Z">
        <w:r>
          <w:t>Part</w:t>
        </w:r>
      </w:ins>
      <w:r>
        <w:t> 11</w:t>
      </w:r>
      <w:del w:id="590" w:author="svcMRProcess" w:date="2018-08-20T12:17:00Z">
        <w:r>
          <w:delText>(</w:delText>
        </w:r>
      </w:del>
      <w:ins w:id="591" w:author="svcMRProcess" w:date="2018-08-20T12:17:00Z">
        <w:r>
          <w:t xml:space="preserve"> Divisions </w:t>
        </w:r>
      </w:ins>
      <w:r>
        <w:t>1</w:t>
      </w:r>
      <w:del w:id="592" w:author="svcMRProcess" w:date="2018-08-20T12:17:00Z">
        <w:r>
          <w:delText>), (3)</w:delText>
        </w:r>
      </w:del>
      <w:r>
        <w:t xml:space="preserve"> and </w:t>
      </w:r>
      <w:del w:id="593" w:author="svcMRProcess" w:date="2018-08-20T12:17:00Z">
        <w:r>
          <w:delText>(4) and 12</w:delText>
        </w:r>
      </w:del>
      <w:ins w:id="594" w:author="svcMRProcess" w:date="2018-08-20T12:17:00Z">
        <w:r>
          <w:t>2</w:t>
        </w:r>
      </w:ins>
      <w:r>
        <w:t xml:space="preserve"> of the </w:t>
      </w:r>
      <w:del w:id="595" w:author="svcMRProcess" w:date="2018-08-20T12:17:00Z">
        <w:r>
          <w:delText xml:space="preserve">Town </w:delText>
        </w:r>
      </w:del>
      <w:r>
        <w:rPr>
          <w:i/>
        </w:rPr>
        <w:t xml:space="preserve">Planning </w:t>
      </w:r>
      <w:ins w:id="596" w:author="svcMRProcess" w:date="2018-08-20T12:17:00Z">
        <w:r>
          <w:rPr>
            <w:i/>
          </w:rPr>
          <w:t xml:space="preserve">and Development </w:t>
        </w:r>
      </w:ins>
      <w:r>
        <w:rPr>
          <w:i/>
        </w:rPr>
        <w:t>Act</w:t>
      </w:r>
      <w:del w:id="597" w:author="svcMRProcess" w:date="2018-08-20T12:17:00Z">
        <w:r>
          <w:delText xml:space="preserve"> apply </w:delText>
        </w:r>
      </w:del>
      <w:ins w:id="598" w:author="svcMRProcess" w:date="2018-08-20T12:17:00Z">
        <w:r>
          <w:rPr>
            <w:i/>
          </w:rPr>
          <w:t> 2005</w:t>
        </w:r>
        <w:r>
          <w:t xml:space="preserve">, and sections 184(3) and (4), 187 and 188 of that Act, apply </w:t>
        </w:r>
      </w:ins>
      <w:r>
        <w:t>with all necessary changes to land in the redevelopment area as if —</w:t>
      </w:r>
      <w:ins w:id="599" w:author="svcMRProcess" w:date="2018-08-20T12:17:00Z">
        <w:r>
          <w:t xml:space="preserve"> </w:t>
        </w:r>
      </w:ins>
    </w:p>
    <w:p>
      <w:pPr>
        <w:pStyle w:val="Indenta"/>
      </w:pPr>
      <w:r>
        <w:tab/>
        <w:t>(a)</w:t>
      </w:r>
      <w:r>
        <w:tab/>
        <w:t xml:space="preserve">the redevelopment scheme were a </w:t>
      </w:r>
      <w:del w:id="600" w:author="svcMRProcess" w:date="2018-08-20T12:17:00Z">
        <w:r>
          <w:delText xml:space="preserve">town </w:delText>
        </w:r>
      </w:del>
      <w:r>
        <w:t>planning scheme under that Act;</w:t>
      </w:r>
    </w:p>
    <w:p>
      <w:pPr>
        <w:pStyle w:val="Indenta"/>
      </w:pPr>
      <w:r>
        <w:tab/>
        <w:t>(b)</w:t>
      </w:r>
      <w:r>
        <w:tab/>
        <w:t xml:space="preserve">the Authority were a </w:t>
      </w:r>
      <w:del w:id="601" w:author="svcMRProcess" w:date="2018-08-20T12:17:00Z">
        <w:r>
          <w:delText xml:space="preserve">local government or a </w:delText>
        </w:r>
      </w:del>
      <w:r>
        <w:t>responsible authority under that Act; and</w:t>
      </w:r>
    </w:p>
    <w:p>
      <w:pPr>
        <w:pStyle w:val="Indenta"/>
        <w:rPr>
          <w:del w:id="602" w:author="svcMRProcess" w:date="2018-08-20T12:17:00Z"/>
        </w:rPr>
      </w:pPr>
      <w:r>
        <w:tab/>
        <w:t>(c)</w:t>
      </w:r>
      <w:r>
        <w:tab/>
        <w:t xml:space="preserve">in </w:t>
      </w:r>
      <w:del w:id="603" w:author="svcMRProcess" w:date="2018-08-20T12:17:00Z">
        <w:r>
          <w:delText xml:space="preserve">section 11(3) of that Act, </w:delText>
        </w:r>
      </w:del>
      <w:r>
        <w:t xml:space="preserve">the </w:t>
      </w:r>
      <w:del w:id="604" w:author="svcMRProcess" w:date="2018-08-20T12:17:00Z">
        <w:r>
          <w:delText>word “amended” were substituted for “altered or revoked by an order</w:delText>
        </w:r>
      </w:del>
      <w:ins w:id="605" w:author="svcMRProcess" w:date="2018-08-20T12:17:00Z">
        <w:r>
          <w:t>case</w:t>
        </w:r>
      </w:ins>
      <w:r>
        <w:t xml:space="preserve"> of </w:t>
      </w:r>
      <w:del w:id="606" w:author="svcMRProcess" w:date="2018-08-20T12:17:00Z">
        <w:r>
          <w:delText>the Minister under this Act”.</w:delText>
        </w:r>
      </w:del>
    </w:p>
    <w:p>
      <w:pPr>
        <w:pStyle w:val="Subsection"/>
        <w:rPr>
          <w:del w:id="607" w:author="svcMRProcess" w:date="2018-08-20T12:17:00Z"/>
        </w:rPr>
      </w:pPr>
      <w:del w:id="608" w:author="svcMRProcess" w:date="2018-08-20T12:17:00Z">
        <w:r>
          <w:tab/>
          <w:delText>(2)</w:delText>
        </w:r>
        <w:r>
          <w:tab/>
          <w:delText xml:space="preserve">If under the redevelopment scheme any </w:delText>
        </w:r>
      </w:del>
      <w:r>
        <w:t xml:space="preserve">land </w:t>
      </w:r>
      <w:del w:id="609" w:author="svcMRProcess" w:date="2018-08-20T12:17:00Z">
        <w:r>
          <w:delText xml:space="preserve">is </w:delText>
        </w:r>
      </w:del>
      <w:r>
        <w:t xml:space="preserve">reserved, zoned or classified </w:t>
      </w:r>
      <w:ins w:id="610" w:author="svcMRProcess" w:date="2018-08-20T12:17:00Z">
        <w:r>
          <w:t xml:space="preserve">under the redevelopment scheme </w:t>
        </w:r>
      </w:ins>
      <w:r>
        <w:t xml:space="preserve">for a public purpose, </w:t>
      </w:r>
      <w:del w:id="611" w:author="svcMRProcess" w:date="2018-08-20T12:17:00Z">
        <w:r>
          <w:delText>Part V (other than sections 36A, 37 and 37A) of the Metropolitan Scheme Act applies with all necessary changes as if —</w:delText>
        </w:r>
      </w:del>
    </w:p>
    <w:p>
      <w:pPr>
        <w:pStyle w:val="Indenta"/>
        <w:rPr>
          <w:del w:id="612" w:author="svcMRProcess" w:date="2018-08-20T12:17:00Z"/>
        </w:rPr>
      </w:pPr>
      <w:del w:id="613" w:author="svcMRProcess" w:date="2018-08-20T12:17:00Z">
        <w:r>
          <w:tab/>
          <w:delText>(a)</w:delText>
        </w:r>
        <w:r>
          <w:tab/>
        </w:r>
      </w:del>
      <w:r>
        <w:t xml:space="preserve">the land were reserved for a public purpose under </w:t>
      </w:r>
      <w:del w:id="614" w:author="svcMRProcess" w:date="2018-08-20T12:17:00Z">
        <w:r>
          <w:delText>the Metropolitan Region Scheme;</w:delText>
        </w:r>
      </w:del>
    </w:p>
    <w:p>
      <w:pPr>
        <w:pStyle w:val="Indenta"/>
      </w:pPr>
      <w:del w:id="615" w:author="svcMRProcess" w:date="2018-08-20T12:17:00Z">
        <w:r>
          <w:tab/>
          <w:delText>(b)</w:delText>
        </w:r>
        <w:r>
          <w:tab/>
          <w:delText>references in that Part to the Commission and the Scheme were references to the Authority and to the redevelopment</w:delText>
        </w:r>
      </w:del>
      <w:ins w:id="616" w:author="svcMRProcess" w:date="2018-08-20T12:17:00Z">
        <w:r>
          <w:t>a planning</w:t>
        </w:r>
      </w:ins>
      <w:r>
        <w:t xml:space="preserve"> scheme</w:t>
      </w:r>
      <w:del w:id="617" w:author="svcMRProcess" w:date="2018-08-20T12:17:00Z">
        <w:r>
          <w:delText xml:space="preserve"> respectively; and</w:delText>
        </w:r>
      </w:del>
      <w:ins w:id="618" w:author="svcMRProcess" w:date="2018-08-20T12:17:00Z">
        <w:r>
          <w:t>.</w:t>
        </w:r>
      </w:ins>
    </w:p>
    <w:p>
      <w:pPr>
        <w:pStyle w:val="Indenta"/>
        <w:rPr>
          <w:del w:id="619" w:author="svcMRProcess" w:date="2018-08-20T12:17:00Z"/>
        </w:rPr>
      </w:pPr>
      <w:del w:id="620" w:author="svcMRProcess" w:date="2018-08-20T12:17:00Z">
        <w:r>
          <w:tab/>
          <w:delText>(c)</w:delText>
        </w:r>
        <w:r>
          <w:tab/>
          <w:delText>in section 36(1)(b) of that Act, “amended” were substituted for “varied, amplified or revoked by the Commission”.</w:delText>
        </w:r>
      </w:del>
    </w:p>
    <w:p>
      <w:pPr>
        <w:pStyle w:val="Ednotesubsection"/>
        <w:rPr>
          <w:ins w:id="621" w:author="svcMRProcess" w:date="2018-08-20T12:17:00Z"/>
        </w:rPr>
      </w:pPr>
      <w:ins w:id="622" w:author="svcMRProcess" w:date="2018-08-20T12:17:00Z">
        <w:r>
          <w:tab/>
          <w:t>[(2)</w:t>
        </w:r>
        <w:r>
          <w:tab/>
          <w:t>repealed]</w:t>
        </w:r>
      </w:ins>
    </w:p>
    <w:p>
      <w:pPr>
        <w:pStyle w:val="Subsection"/>
      </w:pPr>
      <w:r>
        <w:tab/>
        <w:t>(3)</w:t>
      </w:r>
      <w:r>
        <w:tab/>
        <w:t xml:space="preserve">Compensation is not payable under </w:t>
      </w:r>
      <w:del w:id="623" w:author="svcMRProcess" w:date="2018-08-20T12:17:00Z">
        <w:r>
          <w:delText>an Act</w:delText>
        </w:r>
      </w:del>
      <w:ins w:id="624" w:author="svcMRProcess" w:date="2018-08-20T12:17:00Z">
        <w:r>
          <w:t xml:space="preserve">the </w:t>
        </w:r>
        <w:r>
          <w:rPr>
            <w:i/>
          </w:rPr>
          <w:t>Planning and Development Act 2005</w:t>
        </w:r>
      </w:ins>
      <w:r>
        <w:t xml:space="preserve"> as applied by subsection (1</w:t>
      </w:r>
      <w:del w:id="625" w:author="svcMRProcess" w:date="2018-08-20T12:17:00Z">
        <w:r>
          <w:delText>) or (2</w:delText>
        </w:r>
      </w:del>
      <w:r>
        <w:t>)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rPr>
          <w:ins w:id="626" w:author="svcMRProcess" w:date="2018-08-20T12:17:00Z"/>
        </w:rPr>
      </w:pPr>
      <w:ins w:id="627" w:author="svcMRProcess" w:date="2018-08-20T12:17:00Z">
        <w:r>
          <w:tab/>
          <w:t>[Section 54 amended by No. 38 of 2005 s. 15.]</w:t>
        </w:r>
      </w:ins>
    </w:p>
    <w:p>
      <w:pPr>
        <w:pStyle w:val="Heading2"/>
      </w:pPr>
      <w:bookmarkStart w:id="628" w:name="_Toc90880752"/>
      <w:bookmarkStart w:id="629" w:name="_Toc92441660"/>
      <w:bookmarkStart w:id="630" w:name="_Toc92441772"/>
      <w:bookmarkStart w:id="631" w:name="_Toc93136589"/>
      <w:bookmarkStart w:id="632" w:name="_Toc93202565"/>
      <w:bookmarkStart w:id="633" w:name="_Toc93388640"/>
      <w:bookmarkStart w:id="634" w:name="_Toc113427077"/>
      <w:bookmarkStart w:id="635" w:name="_Toc113435718"/>
      <w:bookmarkStart w:id="636" w:name="_Toc114288882"/>
      <w:bookmarkStart w:id="637" w:name="_Toc114297499"/>
      <w:bookmarkStart w:id="638" w:name="_Toc118523049"/>
      <w:bookmarkStart w:id="639" w:name="_Toc122500306"/>
      <w:bookmarkStart w:id="640" w:name="_Toc122948084"/>
      <w:bookmarkStart w:id="641" w:name="_Toc131326369"/>
      <w:r>
        <w:rPr>
          <w:rStyle w:val="CharPartNo"/>
        </w:rPr>
        <w:t>Part 6</w:t>
      </w:r>
      <w:r>
        <w:rPr>
          <w:rStyle w:val="CharDivNo"/>
        </w:rPr>
        <w:t xml:space="preserve"> </w:t>
      </w:r>
      <w:r>
        <w:t>—</w:t>
      </w:r>
      <w:r>
        <w:rPr>
          <w:rStyle w:val="CharDivText"/>
        </w:rPr>
        <w:t xml:space="preserve"> </w:t>
      </w:r>
      <w:r>
        <w:rPr>
          <w:rStyle w:val="CharPartText"/>
        </w:rPr>
        <w:t>Financial provisions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pStyle w:val="Heading5"/>
        <w:rPr>
          <w:snapToGrid w:val="0"/>
        </w:rPr>
      </w:pPr>
      <w:bookmarkStart w:id="642" w:name="_Hlt523729866"/>
      <w:bookmarkStart w:id="643" w:name="_Toc527886327"/>
      <w:bookmarkStart w:id="644" w:name="_Toc131326370"/>
      <w:bookmarkStart w:id="645" w:name="_Toc122948085"/>
      <w:bookmarkEnd w:id="642"/>
      <w:r>
        <w:rPr>
          <w:rStyle w:val="CharSectno"/>
        </w:rPr>
        <w:t>55</w:t>
      </w:r>
      <w:r>
        <w:rPr>
          <w:snapToGrid w:val="0"/>
        </w:rPr>
        <w:t>.</w:t>
      </w:r>
      <w:r>
        <w:rPr>
          <w:snapToGrid w:val="0"/>
        </w:rPr>
        <w:tab/>
        <w:t>Funds of Authority</w:t>
      </w:r>
      <w:bookmarkEnd w:id="643"/>
      <w:bookmarkEnd w:id="644"/>
      <w:bookmarkEnd w:id="645"/>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46" w:name="_Hlt526043741"/>
      <w:r>
        <w:t>57</w:t>
      </w:r>
      <w:bookmarkEnd w:id="646"/>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47" w:name="_Toc527886328"/>
      <w:bookmarkStart w:id="648" w:name="_Toc131326371"/>
      <w:bookmarkStart w:id="649" w:name="_Toc122948086"/>
      <w:r>
        <w:rPr>
          <w:rStyle w:val="CharSectno"/>
        </w:rPr>
        <w:t>56</w:t>
      </w:r>
      <w:r>
        <w:rPr>
          <w:snapToGrid w:val="0"/>
        </w:rPr>
        <w:t>.</w:t>
      </w:r>
      <w:r>
        <w:rPr>
          <w:snapToGrid w:val="0"/>
        </w:rPr>
        <w:tab/>
      </w:r>
      <w:bookmarkStart w:id="650" w:name="_Hlt523735242"/>
      <w:bookmarkStart w:id="651" w:name="_Toc459787761"/>
      <w:bookmarkStart w:id="652" w:name="_Toc471195697"/>
      <w:bookmarkStart w:id="653" w:name="_Toc471196657"/>
      <w:bookmarkEnd w:id="650"/>
      <w:r>
        <w:rPr>
          <w:snapToGrid w:val="0"/>
        </w:rPr>
        <w:t>Investment</w:t>
      </w:r>
      <w:bookmarkEnd w:id="647"/>
      <w:bookmarkEnd w:id="648"/>
      <w:bookmarkEnd w:id="651"/>
      <w:bookmarkEnd w:id="652"/>
      <w:bookmarkEnd w:id="653"/>
      <w:bookmarkEnd w:id="649"/>
    </w:p>
    <w:p>
      <w:pPr>
        <w:pStyle w:val="Subsection"/>
      </w:pPr>
      <w:r>
        <w:tab/>
        <w:t>(1)</w:t>
      </w:r>
      <w:r>
        <w:tab/>
        <w:t xml:space="preserve">Moneys standing to the credit of the Account may, until required for the purposes of this Act, be temporarily invested as the Treasurer directs in any securities in which moneys standing to the credit of the Public Bank Account, as constituted under the </w:t>
      </w:r>
      <w:r>
        <w:rPr>
          <w:i/>
        </w:rPr>
        <w:t>Financial Administration and Audit Act 1985</w:t>
      </w:r>
      <w:r>
        <w:t>, may lawfully be invested.</w:t>
      </w:r>
    </w:p>
    <w:p>
      <w:pPr>
        <w:pStyle w:val="Subsection"/>
      </w:pPr>
      <w:r>
        <w:tab/>
        <w:t>(2)</w:t>
      </w:r>
      <w:r>
        <w:tab/>
        <w:t>Income derived from any such investment must be credited to the Account.</w:t>
      </w:r>
    </w:p>
    <w:p>
      <w:pPr>
        <w:pStyle w:val="Heading5"/>
        <w:rPr>
          <w:snapToGrid w:val="0"/>
        </w:rPr>
      </w:pPr>
      <w:bookmarkStart w:id="654" w:name="_Hlt523735224"/>
      <w:bookmarkStart w:id="655" w:name="_Toc459787762"/>
      <w:bookmarkStart w:id="656" w:name="_Toc471195698"/>
      <w:bookmarkStart w:id="657" w:name="_Toc471196658"/>
      <w:bookmarkStart w:id="658" w:name="_Toc527886329"/>
      <w:bookmarkStart w:id="659" w:name="_Toc131326372"/>
      <w:bookmarkStart w:id="660" w:name="_Toc122948087"/>
      <w:bookmarkEnd w:id="654"/>
      <w:r>
        <w:rPr>
          <w:rStyle w:val="CharSectno"/>
        </w:rPr>
        <w:t>57</w:t>
      </w:r>
      <w:r>
        <w:rPr>
          <w:snapToGrid w:val="0"/>
        </w:rPr>
        <w:t>.</w:t>
      </w:r>
      <w:r>
        <w:rPr>
          <w:snapToGrid w:val="0"/>
        </w:rPr>
        <w:tab/>
        <w:t>Borrowing by Authority from Treasurer</w:t>
      </w:r>
      <w:bookmarkEnd w:id="655"/>
      <w:bookmarkEnd w:id="656"/>
      <w:bookmarkEnd w:id="657"/>
      <w:bookmarkEnd w:id="658"/>
      <w:bookmarkEnd w:id="659"/>
      <w:bookmarkEnd w:id="660"/>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61" w:name="_Toc527886330"/>
      <w:bookmarkStart w:id="662" w:name="_Toc131326373"/>
      <w:bookmarkStart w:id="663" w:name="_Toc122948088"/>
      <w:r>
        <w:rPr>
          <w:rStyle w:val="CharSectno"/>
        </w:rPr>
        <w:t>58</w:t>
      </w:r>
      <w:r>
        <w:rPr>
          <w:snapToGrid w:val="0"/>
        </w:rPr>
        <w:t>.</w:t>
      </w:r>
      <w:r>
        <w:rPr>
          <w:snapToGrid w:val="0"/>
        </w:rPr>
        <w:tab/>
      </w:r>
      <w:bookmarkStart w:id="664" w:name="_Hlt523735370"/>
      <w:bookmarkStart w:id="665" w:name="_Toc459787763"/>
      <w:bookmarkStart w:id="666" w:name="_Toc471195699"/>
      <w:bookmarkStart w:id="667" w:name="_Toc471196659"/>
      <w:bookmarkEnd w:id="664"/>
      <w:r>
        <w:rPr>
          <w:snapToGrid w:val="0"/>
        </w:rPr>
        <w:t>Borrowing by Authority generally</w:t>
      </w:r>
      <w:bookmarkEnd w:id="661"/>
      <w:bookmarkEnd w:id="662"/>
      <w:bookmarkEnd w:id="665"/>
      <w:bookmarkEnd w:id="666"/>
      <w:bookmarkEnd w:id="667"/>
      <w:bookmarkEnd w:id="663"/>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668" w:name="_Hlt524159528"/>
      <w:r>
        <w:t>59</w:t>
      </w:r>
      <w:bookmarkEnd w:id="668"/>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669" w:name="_Hlt524159532"/>
      <w:bookmarkStart w:id="670" w:name="_Toc527886331"/>
      <w:bookmarkStart w:id="671" w:name="_Toc131326374"/>
      <w:bookmarkStart w:id="672" w:name="_Toc122948089"/>
      <w:bookmarkEnd w:id="669"/>
      <w:r>
        <w:rPr>
          <w:rStyle w:val="CharSectno"/>
        </w:rPr>
        <w:t>59</w:t>
      </w:r>
      <w:r>
        <w:rPr>
          <w:snapToGrid w:val="0"/>
        </w:rPr>
        <w:t>.</w:t>
      </w:r>
      <w:r>
        <w:rPr>
          <w:snapToGrid w:val="0"/>
        </w:rPr>
        <w:tab/>
      </w:r>
      <w:bookmarkStart w:id="673" w:name="_Hlt523735396"/>
      <w:bookmarkStart w:id="674" w:name="_Toc459787764"/>
      <w:bookmarkStart w:id="675" w:name="_Toc471195700"/>
      <w:bookmarkStart w:id="676" w:name="_Toc471196660"/>
      <w:bookmarkEnd w:id="673"/>
      <w:r>
        <w:rPr>
          <w:snapToGrid w:val="0"/>
        </w:rPr>
        <w:t>Guarantee by Treasurer</w:t>
      </w:r>
      <w:bookmarkEnd w:id="670"/>
      <w:bookmarkEnd w:id="671"/>
      <w:bookmarkEnd w:id="674"/>
      <w:bookmarkEnd w:id="675"/>
      <w:bookmarkEnd w:id="676"/>
      <w:bookmarkEnd w:id="672"/>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Fund and this subsection appropriates that Fund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Fund.</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Heading5"/>
        <w:rPr>
          <w:snapToGrid w:val="0"/>
        </w:rPr>
      </w:pPr>
      <w:bookmarkStart w:id="677" w:name="_Toc527886332"/>
      <w:bookmarkStart w:id="678" w:name="_Toc131326375"/>
      <w:bookmarkStart w:id="679" w:name="_Toc122948090"/>
      <w:r>
        <w:rPr>
          <w:rStyle w:val="CharSectno"/>
        </w:rPr>
        <w:t>60</w:t>
      </w:r>
      <w:r>
        <w:rPr>
          <w:snapToGrid w:val="0"/>
        </w:rPr>
        <w:t>.</w:t>
      </w:r>
      <w:r>
        <w:rPr>
          <w:snapToGrid w:val="0"/>
        </w:rPr>
        <w:tab/>
      </w:r>
      <w:bookmarkStart w:id="680" w:name="_Toc459787765"/>
      <w:bookmarkStart w:id="681" w:name="_Toc471195701"/>
      <w:bookmarkStart w:id="682" w:name="_Toc471196661"/>
      <w:r>
        <w:rPr>
          <w:snapToGrid w:val="0"/>
        </w:rPr>
        <w:t>Charges for guarantees</w:t>
      </w:r>
      <w:bookmarkEnd w:id="677"/>
      <w:bookmarkEnd w:id="678"/>
      <w:bookmarkEnd w:id="680"/>
      <w:bookmarkEnd w:id="681"/>
      <w:bookmarkEnd w:id="682"/>
      <w:bookmarkEnd w:id="679"/>
    </w:p>
    <w:p>
      <w:pPr>
        <w:pStyle w:val="Subsection"/>
      </w:pPr>
      <w:r>
        <w:tab/>
        <w:t>(1)</w:t>
      </w:r>
      <w:r>
        <w:tab/>
        <w:t>The Treasurer may, after consulting the Authority, fix charges to be paid by the Authority to the Treasurer for the benefit of the Consolidated Fund in respect of a guarantee given under section 59.</w:t>
      </w:r>
    </w:p>
    <w:p>
      <w:pPr>
        <w:pStyle w:val="Subsection"/>
      </w:pPr>
      <w:r>
        <w:tab/>
        <w:t>(2)</w:t>
      </w:r>
      <w:r>
        <w:tab/>
        <w:t>Payment of any charges fixed under subsection (1) must be made at such time or times as the Treasurer determines.</w:t>
      </w:r>
    </w:p>
    <w:p>
      <w:pPr>
        <w:pStyle w:val="Heading5"/>
        <w:rPr>
          <w:snapToGrid w:val="0"/>
        </w:rPr>
      </w:pPr>
      <w:bookmarkStart w:id="683" w:name="_Toc527886333"/>
      <w:bookmarkStart w:id="684" w:name="_Toc131326376"/>
      <w:bookmarkStart w:id="685" w:name="_Toc122948091"/>
      <w:r>
        <w:rPr>
          <w:rStyle w:val="CharSectno"/>
        </w:rPr>
        <w:t>61</w:t>
      </w:r>
      <w:r>
        <w:rPr>
          <w:snapToGrid w:val="0"/>
        </w:rPr>
        <w:t>.</w:t>
      </w:r>
      <w:r>
        <w:rPr>
          <w:snapToGrid w:val="0"/>
        </w:rPr>
        <w:tab/>
      </w:r>
      <w:bookmarkStart w:id="686" w:name="_Toc459787766"/>
      <w:bookmarkStart w:id="687" w:name="_Toc471195702"/>
      <w:bookmarkStart w:id="688" w:name="_Toc471196662"/>
      <w:r>
        <w:rPr>
          <w:snapToGrid w:val="0"/>
        </w:rPr>
        <w:t xml:space="preserve">Application of </w:t>
      </w:r>
      <w:r>
        <w:rPr>
          <w:i/>
          <w:snapToGrid w:val="0"/>
        </w:rPr>
        <w:t>Financial Administration and Audit Act 1985</w:t>
      </w:r>
      <w:bookmarkEnd w:id="683"/>
      <w:bookmarkEnd w:id="684"/>
      <w:bookmarkEnd w:id="686"/>
      <w:bookmarkEnd w:id="687"/>
      <w:bookmarkEnd w:id="688"/>
      <w:bookmarkEnd w:id="685"/>
    </w:p>
    <w:p>
      <w:pPr>
        <w:pStyle w:val="Subsection"/>
      </w:pPr>
      <w:r>
        <w:tab/>
      </w:r>
      <w:r>
        <w:tab/>
        <w:t xml:space="preserve">The provisions of the </w:t>
      </w:r>
      <w:r>
        <w:rPr>
          <w:i/>
        </w:rPr>
        <w:t xml:space="preserve">Financial Administration and Audit Act 1985 </w:t>
      </w:r>
      <w:r>
        <w:t>regulating the financial administration, audit and reporting of statutory authorities apply to and in respect of the Authority and its operations.</w:t>
      </w:r>
    </w:p>
    <w:p>
      <w:pPr>
        <w:pStyle w:val="Heading5"/>
        <w:rPr>
          <w:snapToGrid w:val="0"/>
        </w:rPr>
      </w:pPr>
      <w:bookmarkStart w:id="689" w:name="_Toc527886334"/>
      <w:bookmarkStart w:id="690" w:name="_Toc131326377"/>
      <w:bookmarkStart w:id="691" w:name="_Toc122948092"/>
      <w:r>
        <w:rPr>
          <w:rStyle w:val="CharSectno"/>
        </w:rPr>
        <w:t>62</w:t>
      </w:r>
      <w:r>
        <w:rPr>
          <w:snapToGrid w:val="0"/>
        </w:rPr>
        <w:t>.</w:t>
      </w:r>
      <w:r>
        <w:rPr>
          <w:snapToGrid w:val="0"/>
        </w:rPr>
        <w:tab/>
      </w:r>
      <w:bookmarkStart w:id="692" w:name="_Toc459787767"/>
      <w:bookmarkStart w:id="693" w:name="_Toc471195703"/>
      <w:bookmarkStart w:id="694" w:name="_Toc471196663"/>
      <w:r>
        <w:rPr>
          <w:snapToGrid w:val="0"/>
        </w:rPr>
        <w:t>Surplus</w:t>
      </w:r>
      <w:bookmarkEnd w:id="689"/>
      <w:bookmarkEnd w:id="690"/>
      <w:bookmarkEnd w:id="692"/>
      <w:bookmarkEnd w:id="693"/>
      <w:bookmarkEnd w:id="694"/>
      <w:bookmarkEnd w:id="691"/>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Fund.</w:t>
      </w:r>
    </w:p>
    <w:p>
      <w:pPr>
        <w:pStyle w:val="Heading2"/>
      </w:pPr>
      <w:bookmarkStart w:id="695" w:name="_Toc90880761"/>
      <w:bookmarkStart w:id="696" w:name="_Toc92441669"/>
      <w:bookmarkStart w:id="697" w:name="_Toc92441781"/>
      <w:bookmarkStart w:id="698" w:name="_Toc93136598"/>
      <w:bookmarkStart w:id="699" w:name="_Toc93202574"/>
      <w:bookmarkStart w:id="700" w:name="_Toc93388649"/>
      <w:bookmarkStart w:id="701" w:name="_Toc113427086"/>
      <w:bookmarkStart w:id="702" w:name="_Toc113435727"/>
      <w:bookmarkStart w:id="703" w:name="_Toc114288891"/>
      <w:bookmarkStart w:id="704" w:name="_Toc114297508"/>
      <w:bookmarkStart w:id="705" w:name="_Toc118523058"/>
      <w:bookmarkStart w:id="706" w:name="_Toc122500315"/>
      <w:bookmarkStart w:id="707" w:name="_Toc122948093"/>
      <w:bookmarkStart w:id="708" w:name="_Toc131326378"/>
      <w:r>
        <w:rPr>
          <w:rStyle w:val="CharPartNo"/>
        </w:rPr>
        <w:t>Part 7</w:t>
      </w:r>
      <w:r>
        <w:rPr>
          <w:rStyle w:val="CharDivNo"/>
        </w:rPr>
        <w:t xml:space="preserve"> </w:t>
      </w:r>
      <w:r>
        <w:t>—</w:t>
      </w:r>
      <w:r>
        <w:rPr>
          <w:rStyle w:val="CharDivText"/>
        </w:rPr>
        <w:t xml:space="preserve"> </w:t>
      </w:r>
      <w:r>
        <w:rPr>
          <w:rStyle w:val="CharPartText"/>
        </w:rPr>
        <w:t>General</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pPr>
        <w:pStyle w:val="Heading5"/>
        <w:rPr>
          <w:snapToGrid w:val="0"/>
        </w:rPr>
      </w:pPr>
      <w:bookmarkStart w:id="709" w:name="_Hlt523888875"/>
      <w:bookmarkStart w:id="710" w:name="_Toc527886335"/>
      <w:bookmarkStart w:id="711" w:name="_Toc131326379"/>
      <w:bookmarkStart w:id="712" w:name="_Toc122948094"/>
      <w:bookmarkStart w:id="713" w:name="_Toc459787768"/>
      <w:bookmarkStart w:id="714" w:name="_Toc471195704"/>
      <w:bookmarkStart w:id="715" w:name="_Toc471196664"/>
      <w:bookmarkEnd w:id="709"/>
      <w:r>
        <w:rPr>
          <w:rStyle w:val="CharSectno"/>
        </w:rPr>
        <w:t>63</w:t>
      </w:r>
      <w:r>
        <w:rPr>
          <w:snapToGrid w:val="0"/>
        </w:rPr>
        <w:t>.</w:t>
      </w:r>
      <w:r>
        <w:rPr>
          <w:snapToGrid w:val="0"/>
        </w:rPr>
        <w:tab/>
        <w:t>Community reference groups</w:t>
      </w:r>
      <w:bookmarkEnd w:id="710"/>
      <w:bookmarkEnd w:id="711"/>
      <w:bookmarkEnd w:id="712"/>
    </w:p>
    <w:p>
      <w:pPr>
        <w:pStyle w:val="Subsection"/>
      </w:pPr>
      <w:r>
        <w:tab/>
        <w:t>(1)</w:t>
      </w:r>
      <w:r>
        <w:tab/>
        <w:t>The Minister may establish one or more committees (</w:t>
      </w:r>
      <w:r>
        <w:rPr>
          <w:b/>
        </w:rPr>
        <w:t>“</w:t>
      </w:r>
      <w:r>
        <w:rPr>
          <w:rStyle w:val="CharDefText"/>
        </w:rPr>
        <w:t>community reference groups</w:t>
      </w:r>
      <w:r>
        <w:rPr>
          <w:b/>
        </w:rPr>
        <w:t>”</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16" w:name="_Toc527886336"/>
      <w:bookmarkStart w:id="717" w:name="_Toc131326380"/>
      <w:bookmarkStart w:id="718" w:name="_Toc122948095"/>
      <w:r>
        <w:rPr>
          <w:rStyle w:val="CharSectno"/>
        </w:rPr>
        <w:t>64</w:t>
      </w:r>
      <w:r>
        <w:rPr>
          <w:snapToGrid w:val="0"/>
        </w:rPr>
        <w:t>.</w:t>
      </w:r>
      <w:r>
        <w:rPr>
          <w:snapToGrid w:val="0"/>
        </w:rPr>
        <w:tab/>
        <w:t>Modification of other laws</w:t>
      </w:r>
      <w:bookmarkEnd w:id="713"/>
      <w:bookmarkEnd w:id="714"/>
      <w:bookmarkEnd w:id="715"/>
      <w:bookmarkEnd w:id="716"/>
      <w:bookmarkEnd w:id="717"/>
      <w:bookmarkEnd w:id="718"/>
    </w:p>
    <w:p>
      <w:pPr>
        <w:pStyle w:val="Subsection"/>
      </w:pPr>
      <w:r>
        <w:tab/>
      </w:r>
      <w:r>
        <w:tab/>
        <w:t>Section </w:t>
      </w:r>
      <w:del w:id="719" w:author="svcMRProcess" w:date="2018-08-20T12:17:00Z">
        <w:r>
          <w:delText>33</w:delText>
        </w:r>
      </w:del>
      <w:ins w:id="720" w:author="svcMRProcess" w:date="2018-08-20T12:17:00Z">
        <w:r>
          <w:t>132</w:t>
        </w:r>
      </w:ins>
      <w:r>
        <w:t xml:space="preserve"> of the </w:t>
      </w:r>
      <w:del w:id="721" w:author="svcMRProcess" w:date="2018-08-20T12:17:00Z">
        <w:r>
          <w:delText xml:space="preserve">Town </w:delText>
        </w:r>
      </w:del>
      <w:r>
        <w:rPr>
          <w:i/>
        </w:rPr>
        <w:t>Planning</w:t>
      </w:r>
      <w:del w:id="722" w:author="svcMRProcess" w:date="2018-08-20T12:17:00Z">
        <w:r>
          <w:delText> </w:delText>
        </w:r>
      </w:del>
      <w:ins w:id="723" w:author="svcMRProcess" w:date="2018-08-20T12:17:00Z">
        <w:r>
          <w:rPr>
            <w:i/>
          </w:rPr>
          <w:t xml:space="preserve"> and Development </w:t>
        </w:r>
      </w:ins>
      <w:r>
        <w:rPr>
          <w:i/>
        </w:rPr>
        <w:t>Act</w:t>
      </w:r>
      <w:ins w:id="724" w:author="svcMRProcess" w:date="2018-08-20T12:17:00Z">
        <w:r>
          <w:rPr>
            <w:i/>
          </w:rPr>
          <w:t> 2005</w:t>
        </w:r>
      </w:ins>
      <w:r>
        <w:rPr>
          <w:iCs/>
        </w:rPr>
        <w:t xml:space="preserve"> applies</w:t>
      </w:r>
      <w:r>
        <w:t xml:space="preserve"> with all necessary modifications for the purposes of carrying out a redevelopment scheme as if the reference in that section —</w:t>
      </w:r>
    </w:p>
    <w:p>
      <w:pPr>
        <w:pStyle w:val="Indenta"/>
      </w:pPr>
      <w:r>
        <w:tab/>
        <w:t>(a)</w:t>
      </w:r>
      <w:r>
        <w:tab/>
        <w:t xml:space="preserve">to </w:t>
      </w:r>
      <w:del w:id="725" w:author="svcMRProcess" w:date="2018-08-20T12:17:00Z">
        <w:r>
          <w:delText>an approved</w:delText>
        </w:r>
      </w:del>
      <w:ins w:id="726" w:author="svcMRProcess" w:date="2018-08-20T12:17:00Z">
        <w:r>
          <w:t>a planning</w:t>
        </w:r>
      </w:ins>
      <w:r>
        <w:t xml:space="preserve">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rPr>
          <w:ins w:id="727" w:author="svcMRProcess" w:date="2018-08-20T12:17:00Z"/>
        </w:rPr>
      </w:pPr>
      <w:ins w:id="728" w:author="svcMRProcess" w:date="2018-08-20T12:17:00Z">
        <w:r>
          <w:tab/>
          <w:t>[Section 64 amended by No. 38 of 2005 s. 15.]</w:t>
        </w:r>
      </w:ins>
    </w:p>
    <w:p>
      <w:pPr>
        <w:pStyle w:val="Heading5"/>
        <w:rPr>
          <w:snapToGrid w:val="0"/>
        </w:rPr>
      </w:pPr>
      <w:bookmarkStart w:id="729" w:name="_Toc527886337"/>
      <w:bookmarkStart w:id="730" w:name="_Toc131326381"/>
      <w:bookmarkStart w:id="731" w:name="_Toc122948096"/>
      <w:bookmarkStart w:id="732" w:name="_Toc459787769"/>
      <w:bookmarkStart w:id="733" w:name="_Toc471195705"/>
      <w:bookmarkStart w:id="734" w:name="_Toc471196665"/>
      <w:r>
        <w:rPr>
          <w:rStyle w:val="CharSectno"/>
        </w:rPr>
        <w:t>65</w:t>
      </w:r>
      <w:r>
        <w:rPr>
          <w:snapToGrid w:val="0"/>
        </w:rPr>
        <w:t>.</w:t>
      </w:r>
      <w:r>
        <w:rPr>
          <w:snapToGrid w:val="0"/>
        </w:rPr>
        <w:tab/>
        <w:t>Protection from liability</w:t>
      </w:r>
      <w:bookmarkEnd w:id="729"/>
      <w:bookmarkEnd w:id="730"/>
      <w:bookmarkEnd w:id="731"/>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35" w:name="_Toc527886338"/>
      <w:bookmarkStart w:id="736" w:name="_Toc131326382"/>
      <w:bookmarkStart w:id="737" w:name="_Toc122948097"/>
      <w:r>
        <w:rPr>
          <w:rStyle w:val="CharSectno"/>
        </w:rPr>
        <w:t>66</w:t>
      </w:r>
      <w:r>
        <w:rPr>
          <w:snapToGrid w:val="0"/>
        </w:rPr>
        <w:t>.</w:t>
      </w:r>
      <w:r>
        <w:rPr>
          <w:snapToGrid w:val="0"/>
        </w:rPr>
        <w:tab/>
        <w:t>Confidentiality</w:t>
      </w:r>
      <w:bookmarkEnd w:id="735"/>
      <w:bookmarkEnd w:id="736"/>
      <w:bookmarkEnd w:id="737"/>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38" w:name="_Toc527886339"/>
      <w:bookmarkStart w:id="739" w:name="_Toc131326383"/>
      <w:bookmarkStart w:id="740" w:name="_Toc122948098"/>
      <w:r>
        <w:rPr>
          <w:rStyle w:val="CharSectno"/>
        </w:rPr>
        <w:t>67</w:t>
      </w:r>
      <w:r>
        <w:rPr>
          <w:snapToGrid w:val="0"/>
        </w:rPr>
        <w:t>.</w:t>
      </w:r>
      <w:r>
        <w:rPr>
          <w:snapToGrid w:val="0"/>
        </w:rPr>
        <w:tab/>
        <w:t>Execution of documents by the Authority</w:t>
      </w:r>
      <w:bookmarkEnd w:id="732"/>
      <w:bookmarkEnd w:id="733"/>
      <w:bookmarkEnd w:id="734"/>
      <w:bookmarkEnd w:id="738"/>
      <w:bookmarkEnd w:id="739"/>
      <w:bookmarkEnd w:id="740"/>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41" w:name="_Hlt524140611"/>
      <w:bookmarkStart w:id="742" w:name="_Toc527886340"/>
      <w:bookmarkStart w:id="743" w:name="_Toc131326384"/>
      <w:bookmarkStart w:id="744" w:name="_Toc122948099"/>
      <w:bookmarkEnd w:id="741"/>
      <w:r>
        <w:rPr>
          <w:rStyle w:val="CharSectno"/>
        </w:rPr>
        <w:t>68</w:t>
      </w:r>
      <w:r>
        <w:rPr>
          <w:snapToGrid w:val="0"/>
        </w:rPr>
        <w:t>.</w:t>
      </w:r>
      <w:r>
        <w:rPr>
          <w:snapToGrid w:val="0"/>
        </w:rPr>
        <w:tab/>
      </w:r>
      <w:bookmarkStart w:id="745" w:name="_Hlt523732902"/>
      <w:bookmarkStart w:id="746" w:name="_Toc459787770"/>
      <w:bookmarkStart w:id="747" w:name="_Toc471195706"/>
      <w:bookmarkStart w:id="748" w:name="_Toc471196666"/>
      <w:bookmarkEnd w:id="745"/>
      <w:r>
        <w:rPr>
          <w:snapToGrid w:val="0"/>
        </w:rPr>
        <w:t>Regulations</w:t>
      </w:r>
      <w:bookmarkEnd w:id="742"/>
      <w:bookmarkEnd w:id="743"/>
      <w:bookmarkEnd w:id="746"/>
      <w:bookmarkEnd w:id="747"/>
      <w:bookmarkEnd w:id="748"/>
      <w:bookmarkEnd w:id="744"/>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49" w:name="_Hlt523890298"/>
      <w:bookmarkEnd w:id="749"/>
      <w:r>
        <w:t>[</w:t>
      </w:r>
      <w:r>
        <w:rPr>
          <w:b/>
          <w:bCs/>
        </w:rPr>
        <w:t>69.</w:t>
      </w:r>
      <w:r>
        <w:tab/>
        <w:t>Omitted under the Reprints Act 1984 s. 7(4)(e).]</w:t>
      </w:r>
    </w:p>
    <w:p>
      <w:pPr>
        <w:pStyle w:val="Heading5"/>
        <w:rPr>
          <w:snapToGrid w:val="0"/>
        </w:rPr>
      </w:pPr>
      <w:bookmarkStart w:id="750" w:name="_Toc527886342"/>
      <w:bookmarkStart w:id="751" w:name="_Toc131326385"/>
      <w:bookmarkStart w:id="752" w:name="_Toc122948100"/>
      <w:r>
        <w:rPr>
          <w:rStyle w:val="CharSectno"/>
        </w:rPr>
        <w:t>70</w:t>
      </w:r>
      <w:r>
        <w:rPr>
          <w:snapToGrid w:val="0"/>
        </w:rPr>
        <w:t>.</w:t>
      </w:r>
      <w:r>
        <w:rPr>
          <w:snapToGrid w:val="0"/>
        </w:rPr>
        <w:tab/>
      </w:r>
      <w:bookmarkStart w:id="753" w:name="_Toc459787771"/>
      <w:bookmarkStart w:id="754" w:name="_Toc471195707"/>
      <w:bookmarkStart w:id="755" w:name="_Toc471196667"/>
      <w:r>
        <w:rPr>
          <w:snapToGrid w:val="0"/>
        </w:rPr>
        <w:t>Review of Act</w:t>
      </w:r>
      <w:bookmarkEnd w:id="750"/>
      <w:bookmarkEnd w:id="751"/>
      <w:bookmarkEnd w:id="753"/>
      <w:bookmarkEnd w:id="754"/>
      <w:bookmarkEnd w:id="755"/>
      <w:bookmarkEnd w:id="752"/>
    </w:p>
    <w:p>
      <w:pPr>
        <w:pStyle w:val="Subsection"/>
      </w:pPr>
      <w:r>
        <w:tab/>
      </w:r>
      <w:bookmarkStart w:id="756" w:name="_Hlt526043947"/>
      <w:bookmarkEnd w:id="756"/>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57" w:name="_Toc527886343"/>
      <w:bookmarkStart w:id="758" w:name="_Toc131326386"/>
      <w:bookmarkStart w:id="759" w:name="_Toc122948101"/>
      <w:r>
        <w:rPr>
          <w:rStyle w:val="CharSectno"/>
        </w:rPr>
        <w:t>71</w:t>
      </w:r>
      <w:r>
        <w:rPr>
          <w:snapToGrid w:val="0"/>
        </w:rPr>
        <w:t>.</w:t>
      </w:r>
      <w:r>
        <w:rPr>
          <w:snapToGrid w:val="0"/>
        </w:rPr>
        <w:tab/>
      </w:r>
      <w:bookmarkStart w:id="760" w:name="_Toc459787772"/>
      <w:bookmarkStart w:id="761" w:name="_Toc471195708"/>
      <w:bookmarkStart w:id="762" w:name="_Toc471196668"/>
      <w:r>
        <w:rPr>
          <w:snapToGrid w:val="0"/>
        </w:rPr>
        <w:t>Expiry of Act</w:t>
      </w:r>
      <w:bookmarkEnd w:id="760"/>
      <w:bookmarkEnd w:id="761"/>
      <w:bookmarkEnd w:id="762"/>
      <w:r>
        <w:rPr>
          <w:snapToGrid w:val="0"/>
        </w:rPr>
        <w:t xml:space="preserve"> and related provisions</w:t>
      </w:r>
      <w:bookmarkEnd w:id="757"/>
      <w:bookmarkEnd w:id="758"/>
      <w:bookmarkEnd w:id="759"/>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63" w:name="_Hlt524159776"/>
      <w:r>
        <w:t>59</w:t>
      </w:r>
      <w:bookmarkEnd w:id="763"/>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64" w:name="_Toc113427096"/>
      <w:bookmarkStart w:id="765" w:name="_Toc113435737"/>
      <w:bookmarkStart w:id="766" w:name="_Toc114288900"/>
      <w:bookmarkStart w:id="767" w:name="_Toc114297517"/>
      <w:bookmarkStart w:id="768" w:name="_Toc118523067"/>
      <w:bookmarkStart w:id="769" w:name="_Toc122500324"/>
      <w:bookmarkStart w:id="770" w:name="_Toc122948102"/>
      <w:bookmarkStart w:id="771" w:name="_Toc131326387"/>
      <w:r>
        <w:rPr>
          <w:rStyle w:val="CharSchNo"/>
        </w:rPr>
        <w:t>Schedule 1</w:t>
      </w:r>
      <w:r>
        <w:t xml:space="preserve"> — </w:t>
      </w:r>
      <w:r>
        <w:rPr>
          <w:rStyle w:val="CharSchText"/>
        </w:rPr>
        <w:t>Redevelopment area</w:t>
      </w:r>
      <w:bookmarkEnd w:id="764"/>
      <w:bookmarkEnd w:id="765"/>
      <w:bookmarkEnd w:id="766"/>
      <w:bookmarkEnd w:id="767"/>
      <w:bookmarkEnd w:id="768"/>
      <w:bookmarkEnd w:id="769"/>
      <w:bookmarkEnd w:id="770"/>
      <w:bookmarkEnd w:id="771"/>
    </w:p>
    <w:p>
      <w:pPr>
        <w:pStyle w:val="yShoulderClause"/>
      </w:pPr>
      <w:r>
        <w:t xml:space="preserve">[s. </w:t>
      </w:r>
      <w:bookmarkStart w:id="772" w:name="_Hlt523735796"/>
      <w:r>
        <w:t>4</w:t>
      </w:r>
      <w:bookmarkEnd w:id="772"/>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rPr>
          <w:del w:id="773" w:author="svcMRProcess" w:date="2018-08-20T12:17:00Z"/>
        </w:rPr>
      </w:pPr>
      <w:del w:id="774" w:author="svcMRProcess" w:date="2018-08-20T12:17:00Z">
        <w:r>
          <w:rPr>
            <w:noProof/>
            <w:lang w:eastAsia="en-AU"/>
          </w:rPr>
          <w:drawing>
            <wp:inline distT="0" distB="0" distL="0" distR="0">
              <wp:extent cx="4486275" cy="5962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del>
    </w:p>
    <w:p>
      <w:pPr>
        <w:rPr>
          <w:del w:id="775" w:author="svcMRProcess" w:date="2018-08-20T12:17:00Z"/>
        </w:rPr>
      </w:pPr>
      <w:del w:id="776" w:author="svcMRProcess" w:date="2018-08-20T12:17:00Z">
        <w:r>
          <w:rPr>
            <w:noProof/>
            <w:lang w:eastAsia="en-AU"/>
          </w:rPr>
          <w:drawing>
            <wp:inline distT="0" distB="0" distL="0" distR="0">
              <wp:extent cx="4495800" cy="5962650"/>
              <wp:effectExtent l="0" t="0" r="0" b="0"/>
              <wp:docPr id="4" name="Picture 4" descr="dtma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ap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5962650"/>
                      </a:xfrm>
                      <a:prstGeom prst="rect">
                        <a:avLst/>
                      </a:prstGeom>
                      <a:noFill/>
                      <a:ln>
                        <a:noFill/>
                      </a:ln>
                    </pic:spPr>
                  </pic:pic>
                </a:graphicData>
              </a:graphic>
            </wp:inline>
          </w:drawing>
        </w:r>
      </w:del>
    </w:p>
    <w:p>
      <w:pPr>
        <w:rPr>
          <w:ins w:id="777" w:author="svcMRProcess" w:date="2018-08-20T12:17:00Z"/>
        </w:rPr>
      </w:pPr>
      <w:ins w:id="778" w:author="svcMRProcess" w:date="2018-08-20T12:17:00Z">
        <w:r>
          <w:rPr>
            <w:noProof/>
            <w:lang w:eastAsia="en-AU"/>
          </w:rPr>
          <w:drawing>
            <wp:inline distT="0" distB="0" distL="0" distR="0">
              <wp:extent cx="4484370" cy="5963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4370" cy="5963285"/>
                      </a:xfrm>
                      <a:prstGeom prst="rect">
                        <a:avLst/>
                      </a:prstGeom>
                      <a:noFill/>
                      <a:ln>
                        <a:noFill/>
                      </a:ln>
                    </pic:spPr>
                  </pic:pic>
                </a:graphicData>
              </a:graphic>
            </wp:inline>
          </w:drawing>
        </w:r>
      </w:ins>
    </w:p>
    <w:p>
      <w:pPr>
        <w:rPr>
          <w:ins w:id="779" w:author="svcMRProcess" w:date="2018-08-20T12:17:00Z"/>
        </w:rPr>
      </w:pPr>
      <w:ins w:id="780" w:author="svcMRProcess" w:date="2018-08-20T12:17:00Z">
        <w:r>
          <w:rPr>
            <w:noProof/>
            <w:lang w:eastAsia="en-AU"/>
          </w:rPr>
          <w:drawing>
            <wp:inline distT="0" distB="0" distL="0" distR="0">
              <wp:extent cx="4492625" cy="5963285"/>
              <wp:effectExtent l="0" t="0" r="3175" b="0"/>
              <wp:docPr id="2" name="Picture 2" descr="dtma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ap1.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2625" cy="5963285"/>
                      </a:xfrm>
                      <a:prstGeom prst="rect">
                        <a:avLst/>
                      </a:prstGeom>
                      <a:noFill/>
                      <a:ln>
                        <a:noFill/>
                      </a:ln>
                    </pic:spPr>
                  </pic:pic>
                </a:graphicData>
              </a:graphic>
            </wp:inline>
          </w:drawing>
        </w:r>
      </w:ins>
    </w:p>
    <w:p>
      <w:pPr>
        <w:pStyle w:val="yFootnotesection"/>
        <w:tabs>
          <w:tab w:val="clear" w:pos="893"/>
        </w:tabs>
        <w:ind w:left="0" w:firstLine="0"/>
        <w:rPr>
          <w:b/>
        </w:rPr>
      </w:pPr>
      <w:r>
        <w:t>[Schedule 1 amended in Gazette 5 Dec 2003 p. 4956-7; 7 Jan 2005 p. 56; 14 Jan 2005 p. 165-6.]</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781" w:name="_Toc113427097"/>
    </w:p>
    <w:p>
      <w:pPr>
        <w:pStyle w:val="yScheduleHeading"/>
      </w:pPr>
      <w:bookmarkStart w:id="782" w:name="_Toc113435738"/>
      <w:bookmarkStart w:id="783" w:name="_Toc114288901"/>
      <w:bookmarkStart w:id="784" w:name="_Toc114297518"/>
      <w:bookmarkStart w:id="785" w:name="_Toc118523068"/>
      <w:bookmarkStart w:id="786" w:name="_Toc122500325"/>
      <w:bookmarkStart w:id="787" w:name="_Toc122948103"/>
      <w:bookmarkStart w:id="788" w:name="_Toc131326388"/>
      <w:r>
        <w:rPr>
          <w:rStyle w:val="CharSchNo"/>
        </w:rPr>
        <w:t>Schedule 2</w:t>
      </w:r>
      <w:r>
        <w:t xml:space="preserve"> — </w:t>
      </w:r>
      <w:r>
        <w:rPr>
          <w:rStyle w:val="CharSchText"/>
        </w:rPr>
        <w:t>Constitution and proceedings of the board</w:t>
      </w:r>
      <w:bookmarkEnd w:id="781"/>
      <w:bookmarkEnd w:id="782"/>
      <w:bookmarkEnd w:id="783"/>
      <w:bookmarkEnd w:id="784"/>
      <w:bookmarkEnd w:id="785"/>
      <w:bookmarkEnd w:id="786"/>
      <w:bookmarkEnd w:id="787"/>
      <w:bookmarkEnd w:id="788"/>
    </w:p>
    <w:p>
      <w:pPr>
        <w:pStyle w:val="yShoulderClause"/>
      </w:pPr>
      <w:r>
        <w:t>[s. 9]</w:t>
      </w:r>
    </w:p>
    <w:p>
      <w:pPr>
        <w:pStyle w:val="yHeading3"/>
      </w:pPr>
      <w:bookmarkStart w:id="789" w:name="_Toc113427098"/>
      <w:bookmarkStart w:id="790" w:name="_Toc113435739"/>
      <w:bookmarkStart w:id="791" w:name="_Toc114288902"/>
      <w:bookmarkStart w:id="792" w:name="_Toc114297519"/>
      <w:bookmarkStart w:id="793" w:name="_Toc118523069"/>
      <w:bookmarkStart w:id="794" w:name="_Toc122500326"/>
      <w:bookmarkStart w:id="795" w:name="_Toc122948104"/>
      <w:bookmarkStart w:id="796" w:name="_Toc131326389"/>
      <w:bookmarkStart w:id="797" w:name="_Toc459787782"/>
      <w:bookmarkStart w:id="798" w:name="_Toc471195718"/>
      <w:bookmarkStart w:id="799" w:name="_Toc471196678"/>
      <w:r>
        <w:rPr>
          <w:rStyle w:val="CharSDivNo"/>
        </w:rPr>
        <w:t>Division 1</w:t>
      </w:r>
      <w:r>
        <w:t xml:space="preserve"> — </w:t>
      </w:r>
      <w:r>
        <w:rPr>
          <w:rStyle w:val="CharSDivText"/>
        </w:rPr>
        <w:t>General provisions</w:t>
      </w:r>
      <w:bookmarkEnd w:id="789"/>
      <w:bookmarkEnd w:id="790"/>
      <w:bookmarkEnd w:id="791"/>
      <w:bookmarkEnd w:id="792"/>
      <w:bookmarkEnd w:id="793"/>
      <w:bookmarkEnd w:id="794"/>
      <w:bookmarkEnd w:id="795"/>
      <w:bookmarkEnd w:id="796"/>
    </w:p>
    <w:p>
      <w:pPr>
        <w:pStyle w:val="yHeading5"/>
        <w:outlineLvl w:val="9"/>
      </w:pPr>
      <w:bookmarkStart w:id="800" w:name="_Hlt524140792"/>
      <w:bookmarkStart w:id="801" w:name="_Toc527886344"/>
      <w:bookmarkStart w:id="802" w:name="_Toc131326390"/>
      <w:bookmarkStart w:id="803" w:name="_Toc122948105"/>
      <w:bookmarkEnd w:id="800"/>
      <w:r>
        <w:rPr>
          <w:rStyle w:val="CharSClsNo"/>
        </w:rPr>
        <w:t>1</w:t>
      </w:r>
      <w:r>
        <w:t>.</w:t>
      </w:r>
      <w:r>
        <w:tab/>
        <w:t>Term of office</w:t>
      </w:r>
      <w:bookmarkEnd w:id="797"/>
      <w:bookmarkEnd w:id="798"/>
      <w:bookmarkEnd w:id="799"/>
      <w:bookmarkEnd w:id="801"/>
      <w:bookmarkEnd w:id="802"/>
      <w:bookmarkEnd w:id="803"/>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04" w:name="_Hlt524140797"/>
      <w:bookmarkStart w:id="805" w:name="_Toc459787783"/>
      <w:bookmarkStart w:id="806" w:name="_Toc471195719"/>
      <w:bookmarkStart w:id="807" w:name="_Toc471196679"/>
      <w:bookmarkStart w:id="808" w:name="_Toc527886345"/>
      <w:bookmarkStart w:id="809" w:name="_Toc131326391"/>
      <w:bookmarkStart w:id="810" w:name="_Toc122948106"/>
      <w:bookmarkEnd w:id="804"/>
      <w:r>
        <w:rPr>
          <w:rStyle w:val="CharSClsNo"/>
        </w:rPr>
        <w:t>2</w:t>
      </w:r>
      <w:r>
        <w:t>.</w:t>
      </w:r>
      <w:r>
        <w:tab/>
        <w:t>Resignation, removal, etc.</w:t>
      </w:r>
      <w:bookmarkEnd w:id="805"/>
      <w:bookmarkEnd w:id="806"/>
      <w:bookmarkEnd w:id="807"/>
      <w:bookmarkEnd w:id="808"/>
      <w:bookmarkEnd w:id="809"/>
      <w:bookmarkEnd w:id="810"/>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11" w:name="_Toc459787786"/>
      <w:bookmarkStart w:id="812" w:name="_Toc471195722"/>
      <w:bookmarkStart w:id="813" w:name="_Toc471196682"/>
      <w:bookmarkStart w:id="814" w:name="_Toc527886346"/>
      <w:bookmarkStart w:id="815" w:name="_Toc131326392"/>
      <w:bookmarkStart w:id="816" w:name="_Toc122948107"/>
      <w:r>
        <w:rPr>
          <w:rStyle w:val="CharSClsNo"/>
        </w:rPr>
        <w:t>3</w:t>
      </w:r>
      <w:r>
        <w:t>.</w:t>
      </w:r>
      <w:r>
        <w:tab/>
        <w:t>Chairperson and deputy chairperson</w:t>
      </w:r>
      <w:bookmarkEnd w:id="811"/>
      <w:bookmarkEnd w:id="812"/>
      <w:bookmarkEnd w:id="813"/>
      <w:bookmarkEnd w:id="814"/>
      <w:bookmarkEnd w:id="815"/>
      <w:bookmarkEnd w:id="816"/>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817" w:name="_Hlt524140801"/>
      <w:bookmarkStart w:id="818" w:name="_Toc459787784"/>
      <w:bookmarkStart w:id="819" w:name="_Toc471195720"/>
      <w:bookmarkStart w:id="820" w:name="_Toc471196680"/>
      <w:bookmarkStart w:id="821" w:name="_Toc527886347"/>
      <w:bookmarkStart w:id="822" w:name="_Toc131326393"/>
      <w:bookmarkStart w:id="823" w:name="_Toc122948108"/>
      <w:bookmarkEnd w:id="817"/>
      <w:r>
        <w:rPr>
          <w:rStyle w:val="CharSClsNo"/>
        </w:rPr>
        <w:t>4</w:t>
      </w:r>
      <w:r>
        <w:t>.</w:t>
      </w:r>
      <w:r>
        <w:tab/>
        <w:t>Alternate members</w:t>
      </w:r>
      <w:bookmarkEnd w:id="818"/>
      <w:bookmarkEnd w:id="819"/>
      <w:bookmarkEnd w:id="820"/>
      <w:bookmarkEnd w:id="821"/>
      <w:bookmarkEnd w:id="822"/>
      <w:bookmarkEnd w:id="823"/>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24" w:name="_Toc459787787"/>
      <w:bookmarkStart w:id="825" w:name="_Toc471195723"/>
      <w:bookmarkStart w:id="826" w:name="_Toc471196683"/>
      <w:bookmarkStart w:id="827" w:name="_Toc527886348"/>
      <w:bookmarkStart w:id="828" w:name="_Toc131326394"/>
      <w:bookmarkStart w:id="829" w:name="_Toc122948109"/>
      <w:r>
        <w:rPr>
          <w:rStyle w:val="CharSClsNo"/>
        </w:rPr>
        <w:t>5</w:t>
      </w:r>
      <w:r>
        <w:t>.</w:t>
      </w:r>
      <w:r>
        <w:tab/>
        <w:t>Meetings</w:t>
      </w:r>
      <w:bookmarkEnd w:id="824"/>
      <w:bookmarkEnd w:id="825"/>
      <w:bookmarkEnd w:id="826"/>
      <w:bookmarkEnd w:id="827"/>
      <w:bookmarkEnd w:id="828"/>
      <w:bookmarkEnd w:id="829"/>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30" w:name="_Hlt523890169"/>
      <w:bookmarkEnd w:id="830"/>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31" w:name="_Hlt523729929"/>
      <w:bookmarkStart w:id="832" w:name="_Toc459787789"/>
      <w:bookmarkStart w:id="833" w:name="_Toc471195725"/>
      <w:bookmarkStart w:id="834" w:name="_Toc471196685"/>
      <w:bookmarkStart w:id="835" w:name="_Toc527886349"/>
      <w:bookmarkStart w:id="836" w:name="_Toc131326395"/>
      <w:bookmarkStart w:id="837" w:name="_Toc122948110"/>
      <w:bookmarkEnd w:id="831"/>
      <w:r>
        <w:rPr>
          <w:rStyle w:val="CharSClsNo"/>
        </w:rPr>
        <w:t>6</w:t>
      </w:r>
      <w:r>
        <w:t>.</w:t>
      </w:r>
      <w:r>
        <w:tab/>
        <w:t>Resolution without meeting</w:t>
      </w:r>
      <w:bookmarkEnd w:id="832"/>
      <w:bookmarkEnd w:id="833"/>
      <w:bookmarkEnd w:id="834"/>
      <w:bookmarkEnd w:id="835"/>
      <w:bookmarkEnd w:id="836"/>
      <w:bookmarkEnd w:id="837"/>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838" w:name="_Toc527886350"/>
      <w:bookmarkStart w:id="839" w:name="_Toc131326396"/>
      <w:bookmarkStart w:id="840" w:name="_Toc122948111"/>
      <w:bookmarkStart w:id="841" w:name="_Toc459787790"/>
      <w:bookmarkStart w:id="842" w:name="_Toc471195726"/>
      <w:bookmarkStart w:id="843" w:name="_Toc471196686"/>
      <w:r>
        <w:rPr>
          <w:rStyle w:val="CharSClsNo"/>
        </w:rPr>
        <w:t>7</w:t>
      </w:r>
      <w:r>
        <w:t>.</w:t>
      </w:r>
      <w:r>
        <w:tab/>
        <w:t>Holding meetings remotely</w:t>
      </w:r>
      <w:bookmarkEnd w:id="838"/>
      <w:bookmarkEnd w:id="839"/>
      <w:bookmarkEnd w:id="840"/>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844" w:name="_Toc527886351"/>
      <w:bookmarkStart w:id="845" w:name="_Toc131326397"/>
      <w:bookmarkStart w:id="846" w:name="_Toc122948112"/>
      <w:r>
        <w:rPr>
          <w:rStyle w:val="CharSClsNo"/>
        </w:rPr>
        <w:t>8</w:t>
      </w:r>
      <w:r>
        <w:t>.</w:t>
      </w:r>
      <w:r>
        <w:tab/>
        <w:t>Leave of absence</w:t>
      </w:r>
      <w:bookmarkEnd w:id="841"/>
      <w:bookmarkEnd w:id="842"/>
      <w:bookmarkEnd w:id="843"/>
      <w:bookmarkEnd w:id="844"/>
      <w:bookmarkEnd w:id="845"/>
      <w:bookmarkEnd w:id="846"/>
    </w:p>
    <w:p>
      <w:pPr>
        <w:pStyle w:val="ySubsection"/>
      </w:pPr>
      <w:r>
        <w:tab/>
      </w:r>
      <w:r>
        <w:tab/>
        <w:t>The board may grant leave of absence to a member on the terms and conditions that it thinks fit.</w:t>
      </w:r>
    </w:p>
    <w:p>
      <w:pPr>
        <w:pStyle w:val="yHeading5"/>
        <w:outlineLvl w:val="9"/>
      </w:pPr>
      <w:bookmarkStart w:id="847" w:name="_Toc459787788"/>
      <w:bookmarkStart w:id="848" w:name="_Toc471195724"/>
      <w:bookmarkStart w:id="849" w:name="_Toc471196684"/>
      <w:bookmarkStart w:id="850" w:name="_Toc527886352"/>
      <w:bookmarkStart w:id="851" w:name="_Toc131326398"/>
      <w:bookmarkStart w:id="852" w:name="_Toc122948113"/>
      <w:r>
        <w:rPr>
          <w:rStyle w:val="CharSClsNo"/>
        </w:rPr>
        <w:t>9</w:t>
      </w:r>
      <w:r>
        <w:t>.</w:t>
      </w:r>
      <w:r>
        <w:tab/>
        <w:t>Committees</w:t>
      </w:r>
      <w:bookmarkEnd w:id="847"/>
      <w:bookmarkEnd w:id="848"/>
      <w:bookmarkEnd w:id="849"/>
      <w:bookmarkEnd w:id="850"/>
      <w:bookmarkEnd w:id="851"/>
      <w:bookmarkEnd w:id="852"/>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853" w:name="_Toc459787791"/>
      <w:bookmarkStart w:id="854" w:name="_Toc471195727"/>
      <w:bookmarkStart w:id="855" w:name="_Toc471196687"/>
      <w:bookmarkStart w:id="856" w:name="_Toc527886353"/>
      <w:bookmarkStart w:id="857" w:name="_Toc131326399"/>
      <w:bookmarkStart w:id="858" w:name="_Toc122948114"/>
      <w:r>
        <w:rPr>
          <w:rStyle w:val="CharSClsNo"/>
        </w:rPr>
        <w:t>10</w:t>
      </w:r>
      <w:r>
        <w:t>.</w:t>
      </w:r>
      <w:r>
        <w:tab/>
        <w:t>Board to determine own procedures</w:t>
      </w:r>
      <w:bookmarkEnd w:id="853"/>
      <w:bookmarkEnd w:id="854"/>
      <w:bookmarkEnd w:id="855"/>
      <w:bookmarkEnd w:id="856"/>
      <w:bookmarkEnd w:id="857"/>
      <w:bookmarkEnd w:id="858"/>
    </w:p>
    <w:p>
      <w:pPr>
        <w:pStyle w:val="ySubsection"/>
      </w:pPr>
      <w:r>
        <w:tab/>
      </w:r>
      <w:r>
        <w:tab/>
        <w:t>Subject to this Act, the board may determine its own procedures.</w:t>
      </w:r>
    </w:p>
    <w:p>
      <w:pPr>
        <w:pStyle w:val="yHeading3"/>
      </w:pPr>
      <w:bookmarkStart w:id="859" w:name="_Toc113427109"/>
      <w:bookmarkStart w:id="860" w:name="_Toc113435750"/>
      <w:bookmarkStart w:id="861" w:name="_Toc114288913"/>
      <w:bookmarkStart w:id="862" w:name="_Toc114297530"/>
      <w:bookmarkStart w:id="863" w:name="_Toc118523080"/>
      <w:bookmarkStart w:id="864" w:name="_Toc122500337"/>
      <w:bookmarkStart w:id="865" w:name="_Toc122948115"/>
      <w:bookmarkStart w:id="866" w:name="_Toc131326400"/>
      <w:r>
        <w:rPr>
          <w:rStyle w:val="CharSDivNo"/>
        </w:rPr>
        <w:t>Division 2</w:t>
      </w:r>
      <w:r>
        <w:t xml:space="preserve"> — </w:t>
      </w:r>
      <w:r>
        <w:rPr>
          <w:rStyle w:val="CharSDivText"/>
        </w:rPr>
        <w:t>Disclosure of interests, etc.</w:t>
      </w:r>
      <w:bookmarkEnd w:id="859"/>
      <w:bookmarkEnd w:id="860"/>
      <w:bookmarkEnd w:id="861"/>
      <w:bookmarkEnd w:id="862"/>
      <w:bookmarkEnd w:id="863"/>
      <w:bookmarkEnd w:id="864"/>
      <w:bookmarkEnd w:id="865"/>
      <w:bookmarkEnd w:id="866"/>
    </w:p>
    <w:p>
      <w:pPr>
        <w:pStyle w:val="yHeading5"/>
        <w:outlineLvl w:val="9"/>
      </w:pPr>
      <w:bookmarkStart w:id="867" w:name="_Toc527886354"/>
      <w:bookmarkStart w:id="868" w:name="_Toc131326401"/>
      <w:bookmarkStart w:id="869" w:name="_Toc122948116"/>
      <w:r>
        <w:rPr>
          <w:rStyle w:val="CharSClsNo"/>
        </w:rPr>
        <w:t>11</w:t>
      </w:r>
      <w:r>
        <w:t>.</w:t>
      </w:r>
      <w:r>
        <w:tab/>
        <w:t>Disclosure of interests</w:t>
      </w:r>
      <w:bookmarkEnd w:id="867"/>
      <w:bookmarkEnd w:id="868"/>
      <w:bookmarkEnd w:id="869"/>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870" w:name="_Hlt523890155"/>
      <w:bookmarkStart w:id="871" w:name="_Toc527886355"/>
      <w:bookmarkStart w:id="872" w:name="_Toc131326402"/>
      <w:bookmarkStart w:id="873" w:name="_Toc122948117"/>
      <w:bookmarkEnd w:id="870"/>
      <w:r>
        <w:rPr>
          <w:rStyle w:val="CharSClsNo"/>
        </w:rPr>
        <w:t>12</w:t>
      </w:r>
      <w:r>
        <w:t>.</w:t>
      </w:r>
      <w:r>
        <w:tab/>
        <w:t>Voting by interested members</w:t>
      </w:r>
      <w:bookmarkEnd w:id="871"/>
      <w:bookmarkEnd w:id="872"/>
      <w:bookmarkEnd w:id="873"/>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874" w:name="_Hlt523890096"/>
      <w:bookmarkStart w:id="875" w:name="_Toc527886356"/>
      <w:bookmarkStart w:id="876" w:name="_Toc131326403"/>
      <w:bookmarkStart w:id="877" w:name="_Toc122948118"/>
      <w:bookmarkEnd w:id="874"/>
      <w:r>
        <w:rPr>
          <w:rStyle w:val="CharSClsNo"/>
        </w:rPr>
        <w:t>13</w:t>
      </w:r>
      <w:r>
        <w:t>.</w:t>
      </w:r>
      <w:r>
        <w:tab/>
        <w:t>Clause 12 may be declared inapplicable</w:t>
      </w:r>
      <w:bookmarkEnd w:id="875"/>
      <w:bookmarkEnd w:id="876"/>
      <w:bookmarkEnd w:id="877"/>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878" w:name="_Hlt523890271"/>
      <w:bookmarkStart w:id="879" w:name="_Toc527886357"/>
      <w:bookmarkStart w:id="880" w:name="_Toc131326404"/>
      <w:bookmarkStart w:id="881" w:name="_Toc122948119"/>
      <w:bookmarkEnd w:id="878"/>
      <w:r>
        <w:rPr>
          <w:rStyle w:val="CharSClsNo"/>
        </w:rPr>
        <w:t>14</w:t>
      </w:r>
      <w:r>
        <w:t>.</w:t>
      </w:r>
      <w:r>
        <w:tab/>
        <w:t>Quorum where clause 12 applies</w:t>
      </w:r>
      <w:bookmarkEnd w:id="879"/>
      <w:bookmarkEnd w:id="880"/>
      <w:bookmarkEnd w:id="881"/>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882" w:name="_Toc527886358"/>
      <w:bookmarkStart w:id="883" w:name="_Toc131326405"/>
      <w:bookmarkStart w:id="884" w:name="_Toc122948120"/>
      <w:r>
        <w:rPr>
          <w:rStyle w:val="CharSClsNo"/>
        </w:rPr>
        <w:t>15</w:t>
      </w:r>
      <w:r>
        <w:t>.</w:t>
      </w:r>
      <w:r>
        <w:tab/>
        <w:t>Minister may declare clauses </w:t>
      </w:r>
      <w:bookmarkStart w:id="885" w:name="_Hlt523890256"/>
      <w:r>
        <w:t>12</w:t>
      </w:r>
      <w:bookmarkEnd w:id="885"/>
      <w:r>
        <w:t xml:space="preserve"> and </w:t>
      </w:r>
      <w:bookmarkStart w:id="886" w:name="_Hlt523890269"/>
      <w:r>
        <w:t>14</w:t>
      </w:r>
      <w:bookmarkEnd w:id="886"/>
      <w:r>
        <w:t xml:space="preserve"> inapplicable</w:t>
      </w:r>
      <w:bookmarkEnd w:id="882"/>
      <w:bookmarkEnd w:id="883"/>
      <w:bookmarkEnd w:id="884"/>
    </w:p>
    <w:p>
      <w:pPr>
        <w:pStyle w:val="ySubsection"/>
      </w:pPr>
      <w:r>
        <w:tab/>
        <w:t>(1)</w:t>
      </w:r>
      <w:r>
        <w:tab/>
        <w:t>The Minister may, in writing, declare that clause </w:t>
      </w:r>
      <w:bookmarkStart w:id="887" w:name="_Hlt526139350"/>
      <w:r>
        <w:t>12</w:t>
      </w:r>
      <w:bookmarkEnd w:id="887"/>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888" w:name="_Toc90880797"/>
      <w:bookmarkStart w:id="889" w:name="_Toc92441705"/>
      <w:bookmarkStart w:id="890" w:name="_Toc92441817"/>
      <w:bookmarkStart w:id="891" w:name="_Toc93136634"/>
      <w:bookmarkStart w:id="892" w:name="_Toc93202610"/>
      <w:bookmarkStart w:id="893" w:name="_Toc93388685"/>
      <w:bookmarkStart w:id="894" w:name="_Toc113427122"/>
      <w:bookmarkStart w:id="895" w:name="_Toc113435763"/>
      <w:bookmarkStart w:id="896" w:name="_Toc114288919"/>
      <w:bookmarkStart w:id="897" w:name="_Toc114297536"/>
      <w:bookmarkStart w:id="898" w:name="_Toc118523086"/>
      <w:bookmarkStart w:id="899" w:name="_Toc122500343"/>
      <w:bookmarkStart w:id="900" w:name="_Toc122948121"/>
      <w:bookmarkStart w:id="901" w:name="_Toc131326406"/>
      <w:r>
        <w:t>Notes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pStyle w:val="nSubsection"/>
        <w:rPr>
          <w:snapToGrid w:val="0"/>
        </w:rPr>
      </w:pPr>
      <w:bookmarkStart w:id="902" w:name="_Toc512403484"/>
      <w:bookmarkStart w:id="903"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del w:id="904" w:author="svcMRProcess" w:date="2018-08-20T12:17:00Z">
        <w:r>
          <w:rPr>
            <w:snapToGrid w:val="0"/>
          </w:rPr>
          <w:delText> </w:delText>
        </w:r>
        <w:r>
          <w:rPr>
            <w:snapToGrid w:val="0"/>
            <w:vertAlign w:val="superscript"/>
          </w:rPr>
          <w:delText>1a</w:delText>
        </w:r>
      </w:del>
      <w:r>
        <w:rPr>
          <w:snapToGrid w:val="0"/>
        </w:rPr>
        <w:t>.  The table also contains information about any reprint.</w:t>
      </w:r>
    </w:p>
    <w:p>
      <w:pPr>
        <w:pStyle w:val="nHeading3"/>
        <w:rPr>
          <w:snapToGrid w:val="0"/>
        </w:rPr>
      </w:pPr>
      <w:bookmarkStart w:id="905" w:name="_Toc131326407"/>
      <w:bookmarkStart w:id="906" w:name="_Toc122948122"/>
      <w:bookmarkEnd w:id="902"/>
      <w:bookmarkEnd w:id="903"/>
      <w:r>
        <w:rPr>
          <w:snapToGrid w:val="0"/>
        </w:rPr>
        <w:t>Compilation table</w:t>
      </w:r>
      <w:bookmarkEnd w:id="905"/>
      <w:bookmarkEnd w:id="906"/>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sz w:val="19"/>
              </w:rPr>
            </w:pPr>
            <w:r>
              <w:rPr>
                <w:i/>
                <w:snapToGrid w:val="0"/>
                <w:sz w:val="19"/>
              </w:rPr>
              <w:t>Armadale Redevelopment Act 2001</w:t>
            </w:r>
          </w:p>
        </w:tc>
        <w:tc>
          <w:tcPr>
            <w:tcW w:w="1134" w:type="dxa"/>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 xml:space="preserve">23 Mar 2002 (see s. 2 and </w:t>
            </w:r>
            <w:r>
              <w:rPr>
                <w:i/>
                <w:sz w:val="19"/>
              </w:rPr>
              <w:t>Gazette</w:t>
            </w:r>
            <w:r>
              <w:rPr>
                <w:sz w:val="19"/>
              </w:rPr>
              <w:t xml:space="preserve"> 22 Mar 2002 p. 1651)</w:t>
            </w:r>
          </w:p>
        </w:tc>
      </w:tr>
      <w:tr>
        <w:tc>
          <w:tcPr>
            <w:tcW w:w="2268" w:type="dxa"/>
          </w:tcPr>
          <w:p>
            <w:pPr>
              <w:pStyle w:val="nTable"/>
              <w:spacing w:after="40"/>
              <w:rPr>
                <w:i/>
                <w:snapToGrid w:val="0"/>
                <w:sz w:val="19"/>
              </w:rPr>
            </w:pPr>
            <w:r>
              <w:rPr>
                <w:i/>
                <w:sz w:val="19"/>
              </w:rPr>
              <w:t>Public Transport Authority Act 2003</w:t>
            </w:r>
            <w:r>
              <w:rPr>
                <w:sz w:val="19"/>
              </w:rPr>
              <w:t xml:space="preserve"> s. 143</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68" w:type="dxa"/>
          </w:tcPr>
          <w:p>
            <w:pPr>
              <w:pStyle w:val="nTable"/>
              <w:spacing w:after="40"/>
              <w:rPr>
                <w:i/>
                <w:sz w:val="19"/>
              </w:rPr>
            </w:pPr>
            <w:r>
              <w:rPr>
                <w:i/>
                <w:sz w:val="19"/>
              </w:rPr>
              <w:t>Environmental Protection Amendment Act 2003</w:t>
            </w:r>
            <w:r>
              <w:rPr>
                <w:sz w:val="19"/>
              </w:rPr>
              <w:t xml:space="preserve"> s. 68(1)</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36" w:type="dxa"/>
            <w:gridSpan w:val="3"/>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4955-7</w:t>
            </w:r>
          </w:p>
        </w:tc>
        <w:tc>
          <w:tcPr>
            <w:tcW w:w="2552" w:type="dxa"/>
          </w:tcPr>
          <w:p>
            <w:pPr>
              <w:pStyle w:val="nTable"/>
              <w:spacing w:after="40"/>
              <w:rPr>
                <w:sz w:val="19"/>
              </w:rPr>
            </w:pPr>
            <w:r>
              <w:rPr>
                <w:sz w:val="19"/>
              </w:rPr>
              <w:t>5 Dec 2003</w:t>
            </w:r>
          </w:p>
        </w:tc>
      </w:tr>
      <w:tr>
        <w:tc>
          <w:tcPr>
            <w:tcW w:w="2268"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2</w:t>
            </w:r>
          </w:p>
        </w:tc>
        <w:tc>
          <w:tcPr>
            <w:tcW w:w="1134" w:type="dxa"/>
          </w:tcPr>
          <w:p>
            <w:pPr>
              <w:pStyle w:val="nTable"/>
              <w:spacing w:after="40"/>
              <w:rPr>
                <w:sz w:val="19"/>
              </w:rPr>
            </w:pPr>
            <w:r>
              <w:rPr>
                <w:sz w:val="19"/>
              </w:rPr>
              <w:t>55</w:t>
            </w:r>
            <w:del w:id="907" w:author="svcMRProcess" w:date="2018-08-20T12:17:00Z">
              <w:r>
                <w:rPr>
                  <w:sz w:val="19"/>
                </w:rPr>
                <w:delText xml:space="preserve"> </w:delText>
              </w:r>
            </w:del>
            <w:ins w:id="908" w:author="svcMRProcess" w:date="2018-08-20T12:17:00Z">
              <w:r>
                <w:rPr>
                  <w:sz w:val="19"/>
                </w:rPr>
                <w:t> </w:t>
              </w:r>
            </w:ins>
            <w:r>
              <w:rPr>
                <w:sz w:val="19"/>
              </w:rPr>
              <w:t>of</w:t>
            </w:r>
            <w:del w:id="909" w:author="svcMRProcess" w:date="2018-08-20T12:17:00Z">
              <w:r>
                <w:rPr>
                  <w:sz w:val="19"/>
                </w:rPr>
                <w:delText xml:space="preserve"> </w:delText>
              </w:r>
            </w:del>
            <w:ins w:id="910" w:author="svcMRProcess" w:date="2018-08-20T12:17:00Z">
              <w:r>
                <w:rPr>
                  <w:sz w:val="19"/>
                </w:rPr>
                <w:t> </w:t>
              </w:r>
            </w:ins>
            <w:r>
              <w:rPr>
                <w:sz w:val="19"/>
              </w:rPr>
              <w:t>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36" w:type="dxa"/>
            <w:gridSpan w:val="3"/>
          </w:tcPr>
          <w:p>
            <w:pPr>
              <w:pStyle w:val="nTable"/>
              <w:spacing w:after="40"/>
              <w:rPr>
                <w:i/>
                <w:sz w:val="19"/>
              </w:rPr>
            </w:pPr>
            <w:r>
              <w:rPr>
                <w:i/>
                <w:sz w:val="19"/>
              </w:rPr>
              <w:t>Armadale Redevelopment (Extension of Redevelopment Area) Regulations</w:t>
            </w:r>
            <w:del w:id="911" w:author="svcMRProcess" w:date="2018-08-20T12:17:00Z">
              <w:r>
                <w:rPr>
                  <w:i/>
                  <w:sz w:val="19"/>
                </w:rPr>
                <w:delText xml:space="preserve"> </w:delText>
              </w:r>
            </w:del>
            <w:ins w:id="912" w:author="svcMRProcess" w:date="2018-08-20T12:17:00Z">
              <w:r>
                <w:rPr>
                  <w:i/>
                  <w:sz w:val="19"/>
                </w:rPr>
                <w:t> </w:t>
              </w:r>
            </w:ins>
            <w:r>
              <w:rPr>
                <w:i/>
                <w:sz w:val="19"/>
              </w:rPr>
              <w:t>2005</w:t>
            </w:r>
            <w:r>
              <w:rPr>
                <w:sz w:val="19"/>
              </w:rPr>
              <w:t xml:space="preserve"> published in </w:t>
            </w:r>
            <w:r>
              <w:rPr>
                <w:i/>
                <w:sz w:val="19"/>
              </w:rPr>
              <w:t>Gazette</w:t>
            </w:r>
            <w:r>
              <w:rPr>
                <w:sz w:val="19"/>
              </w:rPr>
              <w:t xml:space="preserve"> 14 Jan 2005 p. 165-6</w:t>
            </w:r>
          </w:p>
        </w:tc>
        <w:tc>
          <w:tcPr>
            <w:tcW w:w="2552" w:type="dxa"/>
          </w:tcPr>
          <w:p>
            <w:pPr>
              <w:pStyle w:val="nTable"/>
              <w:spacing w:after="40"/>
              <w:rPr>
                <w:sz w:val="19"/>
              </w:rPr>
            </w:pPr>
            <w:r>
              <w:rPr>
                <w:sz w:val="19"/>
              </w:rPr>
              <w:t>14 Jan 2005</w:t>
            </w:r>
          </w:p>
        </w:tc>
      </w:tr>
      <w:tr>
        <w:trPr>
          <w:cantSplit/>
        </w:trPr>
        <w:tc>
          <w:tcPr>
            <w:tcW w:w="7088" w:type="dxa"/>
            <w:gridSpan w:val="4"/>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bl>
    <w:p>
      <w:pPr>
        <w:pStyle w:val="nSubsection"/>
        <w:rPr>
          <w:del w:id="913" w:author="svcMRProcess" w:date="2018-08-20T12:17:00Z"/>
          <w:snapToGrid w:val="0"/>
        </w:rPr>
      </w:pPr>
      <w:del w:id="914" w:author="svcMRProcess" w:date="2018-08-20T12:17: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915" w:author="svcMRProcess" w:date="2018-08-20T12:17:00Z"/>
          <w:snapToGrid w:val="0"/>
        </w:rPr>
      </w:pPr>
      <w:bookmarkStart w:id="916" w:name="_Toc534778309"/>
      <w:bookmarkStart w:id="917" w:name="_Toc7405063"/>
      <w:bookmarkStart w:id="918" w:name="_Toc117408453"/>
      <w:bookmarkStart w:id="919" w:name="_Toc122948123"/>
      <w:del w:id="920" w:author="svcMRProcess" w:date="2018-08-20T12:17:00Z">
        <w:r>
          <w:rPr>
            <w:snapToGrid w:val="0"/>
          </w:rPr>
          <w:delText>Provisions that have not come into operation</w:delText>
        </w:r>
        <w:bookmarkEnd w:id="916"/>
        <w:bookmarkEnd w:id="917"/>
        <w:bookmarkEnd w:id="918"/>
        <w:bookmarkEnd w:id="919"/>
      </w:del>
    </w:p>
    <w:tbl>
      <w:tblPr>
        <w:tblW w:w="0" w:type="auto"/>
        <w:tblInd w:w="80"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23"/>
        <w:gridCol w:w="1118"/>
        <w:gridCol w:w="1134"/>
        <w:gridCol w:w="1134"/>
        <w:gridCol w:w="2552"/>
      </w:tblGrid>
      <w:tr>
        <w:trPr>
          <w:del w:id="921" w:author="svcMRProcess" w:date="2018-08-20T12:17:00Z"/>
        </w:trPr>
        <w:tc>
          <w:tcPr>
            <w:tcW w:w="2223" w:type="dxa"/>
          </w:tcPr>
          <w:p>
            <w:pPr>
              <w:pStyle w:val="nTable"/>
              <w:rPr>
                <w:del w:id="922" w:author="svcMRProcess" w:date="2018-08-20T12:17:00Z"/>
                <w:b/>
                <w:snapToGrid w:val="0"/>
                <w:lang w:val="en-US"/>
              </w:rPr>
            </w:pPr>
            <w:del w:id="923" w:author="svcMRProcess" w:date="2018-08-20T12:17:00Z">
              <w:r>
                <w:rPr>
                  <w:b/>
                  <w:snapToGrid w:val="0"/>
                  <w:lang w:val="en-US"/>
                </w:rPr>
                <w:delText>Short title</w:delText>
              </w:r>
            </w:del>
          </w:p>
        </w:tc>
        <w:tc>
          <w:tcPr>
            <w:tcW w:w="1118" w:type="dxa"/>
          </w:tcPr>
          <w:p>
            <w:pPr>
              <w:pStyle w:val="nTable"/>
              <w:rPr>
                <w:del w:id="924" w:author="svcMRProcess" w:date="2018-08-20T12:17:00Z"/>
                <w:b/>
                <w:snapToGrid w:val="0"/>
                <w:lang w:val="en-US"/>
              </w:rPr>
            </w:pPr>
            <w:del w:id="925" w:author="svcMRProcess" w:date="2018-08-20T12:17:00Z">
              <w:r>
                <w:rPr>
                  <w:b/>
                  <w:snapToGrid w:val="0"/>
                  <w:lang w:val="en-US"/>
                </w:rPr>
                <w:delText>Number and year</w:delText>
              </w:r>
            </w:del>
          </w:p>
        </w:tc>
        <w:tc>
          <w:tcPr>
            <w:tcW w:w="1195" w:type="dxa"/>
            <w:gridSpan w:val="2"/>
          </w:tcPr>
          <w:p>
            <w:pPr>
              <w:pStyle w:val="nTable"/>
              <w:rPr>
                <w:del w:id="926" w:author="svcMRProcess" w:date="2018-08-20T12:17:00Z"/>
                <w:b/>
                <w:snapToGrid w:val="0"/>
                <w:lang w:val="en-US"/>
              </w:rPr>
            </w:pPr>
            <w:del w:id="927" w:author="svcMRProcess" w:date="2018-08-20T12:17:00Z">
              <w:r>
                <w:rPr>
                  <w:b/>
                  <w:snapToGrid w:val="0"/>
                  <w:lang w:val="en-US"/>
                </w:rPr>
                <w:delText>Assent</w:delText>
              </w:r>
            </w:del>
          </w:p>
        </w:tc>
        <w:tc>
          <w:tcPr>
            <w:tcW w:w="2552" w:type="dxa"/>
          </w:tcPr>
          <w:p>
            <w:pPr>
              <w:pStyle w:val="nTable"/>
              <w:rPr>
                <w:del w:id="928" w:author="svcMRProcess" w:date="2018-08-20T12:17:00Z"/>
                <w:b/>
                <w:snapToGrid w:val="0"/>
                <w:lang w:val="en-US"/>
              </w:rPr>
            </w:pPr>
            <w:del w:id="929" w:author="svcMRProcess" w:date="2018-08-20T12:17:00Z">
              <w:r>
                <w:rPr>
                  <w:b/>
                  <w:snapToGrid w:val="0"/>
                  <w:lang w:val="en-US"/>
                </w:rPr>
                <w:delText>Commencement</w:delText>
              </w:r>
            </w:del>
          </w:p>
        </w:tc>
      </w:tr>
      <w:tr>
        <w:tblPrEx>
          <w:tblBorders>
            <w:top w:val="none" w:sz="0" w:space="0" w:color="auto"/>
            <w:bottom w:val="none" w:sz="0" w:space="0" w:color="auto"/>
            <w:insideH w:val="none" w:sz="0" w:space="0" w:color="auto"/>
          </w:tblBorders>
          <w:tblCellMar>
            <w:left w:w="56" w:type="dxa"/>
            <w:right w:w="56" w:type="dxa"/>
          </w:tblCellMar>
        </w:tblPrEx>
        <w:tc>
          <w:tcPr>
            <w:tcW w:w="2268" w:type="dxa"/>
            <w:gridSpan w:val="2"/>
            <w:tcBorders>
              <w:bottom w:val="single" w:sz="8" w:space="0" w:color="auto"/>
            </w:tcBorders>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del w:id="930" w:author="svcMRProcess" w:date="2018-08-20T12:17:00Z">
              <w:r>
                <w:rPr>
                  <w:iCs/>
                  <w:sz w:val="19"/>
                </w:rPr>
                <w:delText> </w:delText>
              </w:r>
              <w:r>
                <w:rPr>
                  <w:iCs/>
                  <w:sz w:val="19"/>
                  <w:vertAlign w:val="superscript"/>
                </w:rPr>
                <w:delText>3</w:delText>
              </w:r>
            </w:del>
          </w:p>
        </w:tc>
        <w:tc>
          <w:tcPr>
            <w:tcW w:w="1134" w:type="dxa"/>
            <w:tcBorders>
              <w:bottom w:val="single" w:sz="8" w:space="0" w:color="auto"/>
            </w:tcBorders>
          </w:tcPr>
          <w:p>
            <w:pPr>
              <w:pStyle w:val="nTable"/>
              <w:spacing w:after="40"/>
              <w:rPr>
                <w:sz w:val="19"/>
              </w:rPr>
            </w:pPr>
            <w:r>
              <w:rPr>
                <w:snapToGrid w:val="0"/>
                <w:sz w:val="19"/>
                <w:lang w:val="en-US"/>
              </w:rPr>
              <w:t>38 of 2005</w:t>
            </w:r>
          </w:p>
        </w:tc>
        <w:tc>
          <w:tcPr>
            <w:tcW w:w="1134" w:type="dxa"/>
            <w:tcBorders>
              <w:bottom w:val="single" w:sz="8" w:space="0" w:color="auto"/>
            </w:tcBorders>
          </w:tcPr>
          <w:p>
            <w:pPr>
              <w:pStyle w:val="nTable"/>
              <w:spacing w:after="40"/>
              <w:rPr>
                <w:sz w:val="19"/>
              </w:rPr>
            </w:pPr>
            <w:r>
              <w:rPr>
                <w:sz w:val="19"/>
              </w:rPr>
              <w:t>12 Dec 2005</w:t>
            </w:r>
          </w:p>
        </w:tc>
        <w:tc>
          <w:tcPr>
            <w:tcW w:w="2552" w:type="dxa"/>
            <w:tcBorders>
              <w:bottom w:val="single" w:sz="8" w:space="0" w:color="auto"/>
            </w:tcBorders>
          </w:tcPr>
          <w:p>
            <w:pPr>
              <w:pStyle w:val="nTable"/>
              <w:spacing w:after="40"/>
              <w:rPr>
                <w:sz w:val="19"/>
              </w:rPr>
            </w:pPr>
            <w:del w:id="931" w:author="svcMRProcess" w:date="2018-08-20T12:17:00Z">
              <w:r>
                <w:rPr>
                  <w:sz w:val="19"/>
                </w:rPr>
                <w:delText>To be proclaimed</w:delText>
              </w:r>
            </w:del>
            <w:ins w:id="932" w:author="svcMRProcess" w:date="2018-08-20T12:17:00Z">
              <w:r>
                <w:rPr>
                  <w:sz w:val="19"/>
                </w:rPr>
                <w:t>9 Apr 2006</w:t>
              </w:r>
            </w:ins>
            <w:r>
              <w:rPr>
                <w:sz w:val="19"/>
              </w:rPr>
              <w:t xml:space="preserve"> (see s. 2</w:t>
            </w:r>
            <w:ins w:id="933" w:author="svcMRProcess" w:date="2018-08-20T12:17:00Z">
              <w:r>
                <w:rPr>
                  <w:sz w:val="19"/>
                </w:rPr>
                <w:t xml:space="preserve"> and </w:t>
              </w:r>
              <w:r>
                <w:rPr>
                  <w:i/>
                  <w:iCs/>
                  <w:sz w:val="19"/>
                </w:rPr>
                <w:t>Gazette</w:t>
              </w:r>
              <w:r>
                <w:rPr>
                  <w:sz w:val="19"/>
                </w:rPr>
                <w:t xml:space="preserve"> 21 Mar 2006 p. 1078</w:t>
              </w:r>
            </w:ins>
            <w:r>
              <w:rPr>
                <w:sz w:val="19"/>
              </w:rPr>
              <w:t>)</w:t>
            </w:r>
          </w:p>
        </w:tc>
      </w:tr>
    </w:tbl>
    <w:p>
      <w:pPr>
        <w:pStyle w:val="nSubsection"/>
        <w:rPr>
          <w:iCs/>
        </w:rPr>
      </w:pPr>
      <w:r>
        <w:rPr>
          <w:vertAlign w:val="superscript"/>
        </w:rPr>
        <w:t>2</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del w:id="934" w:author="svcMRProcess" w:date="2018-08-20T12:17:00Z"/>
          <w:snapToGrid w:val="0"/>
        </w:rPr>
      </w:pPr>
      <w:del w:id="935" w:author="svcMRProcess" w:date="2018-08-20T12:17:00Z">
        <w:r>
          <w:rPr>
            <w:vertAlign w:val="superscript"/>
          </w:rPr>
          <w:delText>3</w:delText>
        </w:r>
        <w:r>
          <w:tab/>
        </w:r>
        <w:r>
          <w:rPr>
            <w:snapToGrid w:val="0"/>
          </w:rPr>
          <w:delText xml:space="preserve">On the date as at which this compilation was prepared, the </w:delText>
        </w:r>
        <w:r>
          <w:rPr>
            <w:i/>
            <w:snapToGrid w:val="0"/>
            <w:sz w:val="19"/>
            <w:lang w:val="en-US"/>
          </w:rPr>
          <w:delText>Planning and Development (Consequential and Transitional Provisions) Act 2005</w:delText>
        </w:r>
        <w:r>
          <w:rPr>
            <w:iCs/>
            <w:snapToGrid w:val="0"/>
            <w:sz w:val="19"/>
            <w:lang w:val="en-US"/>
          </w:rPr>
          <w:delText xml:space="preserve"> s. 15, which gives effect to Sch. 2,</w:delText>
        </w:r>
        <w:r>
          <w:rPr>
            <w:snapToGrid w:val="0"/>
          </w:rPr>
          <w:delText xml:space="preserve"> had not come into operation.  It reads as follows:</w:delText>
        </w:r>
      </w:del>
    </w:p>
    <w:p>
      <w:pPr>
        <w:pStyle w:val="MiscOpen"/>
        <w:rPr>
          <w:del w:id="936" w:author="svcMRProcess" w:date="2018-08-20T12:17:00Z"/>
          <w:snapToGrid w:val="0"/>
        </w:rPr>
      </w:pPr>
      <w:del w:id="937" w:author="svcMRProcess" w:date="2018-08-20T12:17:00Z">
        <w:r>
          <w:rPr>
            <w:snapToGrid w:val="0"/>
          </w:rPr>
          <w:delText>“</w:delText>
        </w:r>
      </w:del>
    </w:p>
    <w:p>
      <w:pPr>
        <w:pStyle w:val="nzHeading5"/>
        <w:rPr>
          <w:del w:id="938" w:author="svcMRProcess" w:date="2018-08-20T12:17:00Z"/>
        </w:rPr>
      </w:pPr>
      <w:bookmarkStart w:id="939" w:name="_Toc476631191"/>
      <w:bookmarkStart w:id="940" w:name="_Toc477066412"/>
      <w:bookmarkStart w:id="941" w:name="_Toc497301942"/>
      <w:bookmarkStart w:id="942" w:name="_Toc83657956"/>
      <w:bookmarkStart w:id="943" w:name="_Toc122243710"/>
      <w:bookmarkStart w:id="944" w:name="_Toc122425166"/>
      <w:del w:id="945" w:author="svcMRProcess" w:date="2018-08-20T12:17:00Z">
        <w:r>
          <w:rPr>
            <w:rStyle w:val="CharSectno"/>
          </w:rPr>
          <w:delText>15</w:delText>
        </w:r>
        <w:r>
          <w:delText>.</w:delText>
        </w:r>
        <w:r>
          <w:tab/>
          <w:delText>Acts in Schedule 2 amended</w:delText>
        </w:r>
        <w:bookmarkEnd w:id="939"/>
        <w:bookmarkEnd w:id="940"/>
        <w:bookmarkEnd w:id="941"/>
        <w:bookmarkEnd w:id="942"/>
        <w:bookmarkEnd w:id="943"/>
        <w:bookmarkEnd w:id="944"/>
      </w:del>
    </w:p>
    <w:p>
      <w:pPr>
        <w:pStyle w:val="nzSubsection"/>
        <w:rPr>
          <w:del w:id="946" w:author="svcMRProcess" w:date="2018-08-20T12:17:00Z"/>
        </w:rPr>
      </w:pPr>
      <w:del w:id="947" w:author="svcMRProcess" w:date="2018-08-20T12:17:00Z">
        <w:r>
          <w:tab/>
        </w:r>
        <w:r>
          <w:tab/>
          <w:delText>The Acts mentioned in Schedule 2 are amended as set out in that Schedule.</w:delText>
        </w:r>
      </w:del>
    </w:p>
    <w:p>
      <w:pPr>
        <w:pStyle w:val="MiscClose"/>
        <w:rPr>
          <w:del w:id="948" w:author="svcMRProcess" w:date="2018-08-20T12:17:00Z"/>
          <w:snapToGrid w:val="0"/>
        </w:rPr>
      </w:pPr>
      <w:del w:id="949" w:author="svcMRProcess" w:date="2018-08-20T12:17:00Z">
        <w:r>
          <w:rPr>
            <w:snapToGrid w:val="0"/>
          </w:rPr>
          <w:delText>”.</w:delText>
        </w:r>
      </w:del>
    </w:p>
    <w:p>
      <w:pPr>
        <w:pStyle w:val="nSubsection"/>
        <w:rPr>
          <w:del w:id="950" w:author="svcMRProcess" w:date="2018-08-20T12:17:00Z"/>
        </w:rPr>
      </w:pPr>
      <w:del w:id="951" w:author="svcMRProcess" w:date="2018-08-20T12:17:00Z">
        <w:r>
          <w:tab/>
          <w:delText>Schedule 2, cl. 3 reads as follows:</w:delText>
        </w:r>
      </w:del>
    </w:p>
    <w:p>
      <w:pPr>
        <w:pStyle w:val="MiscOpen"/>
        <w:rPr>
          <w:del w:id="952" w:author="svcMRProcess" w:date="2018-08-20T12:17:00Z"/>
        </w:rPr>
      </w:pPr>
      <w:del w:id="953" w:author="svcMRProcess" w:date="2018-08-20T12:17:00Z">
        <w:r>
          <w:delText>“</w:delText>
        </w:r>
      </w:del>
    </w:p>
    <w:p>
      <w:pPr>
        <w:pStyle w:val="nzHeading2"/>
        <w:rPr>
          <w:del w:id="954" w:author="svcMRProcess" w:date="2018-08-20T12:17:00Z"/>
        </w:rPr>
      </w:pPr>
      <w:bookmarkStart w:id="955" w:name="_Toc122243734"/>
      <w:bookmarkStart w:id="956" w:name="_Toc122425190"/>
      <w:del w:id="957" w:author="svcMRProcess" w:date="2018-08-20T12:17:00Z">
        <w:r>
          <w:rPr>
            <w:rStyle w:val="CharSchNo"/>
          </w:rPr>
          <w:delText>Schedule 2</w:delText>
        </w:r>
        <w:r>
          <w:rPr>
            <w:rStyle w:val="CharSDivNo"/>
          </w:rPr>
          <w:delText> </w:delText>
        </w:r>
        <w:r>
          <w:delText>—</w:delText>
        </w:r>
        <w:r>
          <w:rPr>
            <w:rStyle w:val="CharSDivText"/>
          </w:rPr>
          <w:delText> </w:delText>
        </w:r>
        <w:r>
          <w:rPr>
            <w:rStyle w:val="CharSchText"/>
          </w:rPr>
          <w:delText>Consequential amendments</w:delText>
        </w:r>
        <w:bookmarkEnd w:id="955"/>
        <w:bookmarkEnd w:id="956"/>
      </w:del>
    </w:p>
    <w:p>
      <w:pPr>
        <w:pStyle w:val="nzMiscellaneousBody"/>
        <w:jc w:val="right"/>
        <w:rPr>
          <w:del w:id="958" w:author="svcMRProcess" w:date="2018-08-20T12:17:00Z"/>
        </w:rPr>
      </w:pPr>
      <w:del w:id="959" w:author="svcMRProcess" w:date="2018-08-20T12:17:00Z">
        <w:r>
          <w:delText>[s.</w:delText>
        </w:r>
        <w:bookmarkStart w:id="960" w:name="_Hlt485012328"/>
        <w:r>
          <w:delText> 15</w:delText>
        </w:r>
        <w:bookmarkEnd w:id="960"/>
        <w:r>
          <w:delText>]</w:delText>
        </w:r>
      </w:del>
    </w:p>
    <w:p>
      <w:pPr>
        <w:pStyle w:val="nzHeading5"/>
        <w:rPr>
          <w:del w:id="961" w:author="svcMRProcess" w:date="2018-08-20T12:17:00Z"/>
        </w:rPr>
      </w:pPr>
      <w:bookmarkStart w:id="962" w:name="_Toc83658017"/>
      <w:bookmarkStart w:id="963" w:name="_Toc122243737"/>
      <w:bookmarkStart w:id="964" w:name="_Toc122425193"/>
      <w:del w:id="965" w:author="svcMRProcess" w:date="2018-08-20T12:17:00Z">
        <w:r>
          <w:rPr>
            <w:rStyle w:val="CharSClsNo"/>
          </w:rPr>
          <w:delText>3</w:delText>
        </w:r>
        <w:r>
          <w:delText>.</w:delText>
        </w:r>
        <w:r>
          <w:tab/>
        </w:r>
        <w:r>
          <w:rPr>
            <w:i/>
          </w:rPr>
          <w:delText>Armadale Redevelopment Act 2001</w:delText>
        </w:r>
        <w:bookmarkEnd w:id="962"/>
        <w:bookmarkEnd w:id="963"/>
        <w:bookmarkEnd w:id="964"/>
      </w:del>
    </w:p>
    <w:p>
      <w:pPr>
        <w:pStyle w:val="nzSubsection"/>
        <w:rPr>
          <w:del w:id="966" w:author="svcMRProcess" w:date="2018-08-20T12:17:00Z"/>
        </w:rPr>
      </w:pPr>
      <w:del w:id="967" w:author="svcMRProcess" w:date="2018-08-20T12:17:00Z">
        <w:r>
          <w:tab/>
          <w:delText>(1)</w:delText>
        </w:r>
        <w:r>
          <w:tab/>
          <w:delText>Section 3 is amended as follows:</w:delText>
        </w:r>
      </w:del>
    </w:p>
    <w:p>
      <w:pPr>
        <w:pStyle w:val="nzIndenta"/>
        <w:rPr>
          <w:del w:id="968" w:author="svcMRProcess" w:date="2018-08-20T12:17:00Z"/>
        </w:rPr>
      </w:pPr>
      <w:del w:id="969" w:author="svcMRProcess" w:date="2018-08-20T12:17:00Z">
        <w:r>
          <w:tab/>
          <w:delText>(a)</w:delText>
        </w:r>
        <w:r>
          <w:tab/>
          <w:delText xml:space="preserve">in the definition of “development” by deleting “Town Planning Act” and inserting instead — </w:delText>
        </w:r>
      </w:del>
    </w:p>
    <w:p>
      <w:pPr>
        <w:pStyle w:val="nzIndenta"/>
        <w:rPr>
          <w:del w:id="970" w:author="svcMRProcess" w:date="2018-08-20T12:17:00Z"/>
        </w:rPr>
      </w:pPr>
      <w:del w:id="971" w:author="svcMRProcess" w:date="2018-08-20T12:17:00Z">
        <w:r>
          <w:tab/>
        </w:r>
        <w:r>
          <w:tab/>
          <w:delText xml:space="preserve">“    </w:delText>
        </w:r>
        <w:r>
          <w:rPr>
            <w:i/>
          </w:rPr>
          <w:delText>Planning and Development Act 2005</w:delText>
        </w:r>
        <w:r>
          <w:delText xml:space="preserve">    ”;</w:delText>
        </w:r>
      </w:del>
    </w:p>
    <w:p>
      <w:pPr>
        <w:pStyle w:val="nzIndenta"/>
        <w:rPr>
          <w:del w:id="972" w:author="svcMRProcess" w:date="2018-08-20T12:17:00Z"/>
        </w:rPr>
      </w:pPr>
      <w:del w:id="973" w:author="svcMRProcess" w:date="2018-08-20T12:17:00Z">
        <w:r>
          <w:tab/>
          <w:delText>(b)</w:delText>
        </w:r>
        <w:r>
          <w:tab/>
          <w:delText xml:space="preserve">by deleting the definition of “Metropolitan Region Scheme” and inserting instead — </w:delText>
        </w:r>
      </w:del>
    </w:p>
    <w:p>
      <w:pPr>
        <w:pStyle w:val="MiscOpen"/>
        <w:ind w:left="879"/>
        <w:rPr>
          <w:del w:id="974" w:author="svcMRProcess" w:date="2018-08-20T12:17:00Z"/>
          <w:sz w:val="22"/>
        </w:rPr>
      </w:pPr>
      <w:del w:id="975" w:author="svcMRProcess" w:date="2018-08-20T12:17:00Z">
        <w:r>
          <w:rPr>
            <w:sz w:val="22"/>
          </w:rPr>
          <w:delText xml:space="preserve">“    </w:delText>
        </w:r>
      </w:del>
    </w:p>
    <w:p>
      <w:pPr>
        <w:pStyle w:val="nzDefstart"/>
        <w:rPr>
          <w:del w:id="976" w:author="svcMRProcess" w:date="2018-08-20T12:17:00Z"/>
        </w:rPr>
      </w:pPr>
      <w:del w:id="977" w:author="svcMRProcess" w:date="2018-08-20T12:17:00Z">
        <w:r>
          <w:tab/>
        </w:r>
        <w:r>
          <w:rPr>
            <w:b/>
          </w:rPr>
          <w:delText>“</w:delText>
        </w:r>
        <w:r>
          <w:rPr>
            <w:rStyle w:val="CharDefText"/>
          </w:rPr>
          <w:delText>Metropolitan Region Scheme</w:delText>
        </w:r>
        <w:r>
          <w:rPr>
            <w:b/>
          </w:rPr>
          <w:delText>”</w:delText>
        </w:r>
        <w:r>
          <w:delText xml:space="preserve"> has the meaning given to that term in the </w:delText>
        </w:r>
        <w:r>
          <w:rPr>
            <w:i/>
          </w:rPr>
          <w:delText>Planning and Development Act 2005</w:delText>
        </w:r>
        <w:r>
          <w:rPr>
            <w:iCs/>
          </w:rPr>
          <w:delText xml:space="preserve"> section 4</w:delText>
        </w:r>
        <w:r>
          <w:delText>;</w:delText>
        </w:r>
      </w:del>
    </w:p>
    <w:p>
      <w:pPr>
        <w:pStyle w:val="MiscClose"/>
        <w:rPr>
          <w:del w:id="978" w:author="svcMRProcess" w:date="2018-08-20T12:17:00Z"/>
          <w:sz w:val="22"/>
        </w:rPr>
      </w:pPr>
      <w:del w:id="979" w:author="svcMRProcess" w:date="2018-08-20T12:17:00Z">
        <w:r>
          <w:rPr>
            <w:sz w:val="22"/>
          </w:rPr>
          <w:delText xml:space="preserve">    ”;</w:delText>
        </w:r>
      </w:del>
    </w:p>
    <w:p>
      <w:pPr>
        <w:pStyle w:val="nzIndenta"/>
        <w:rPr>
          <w:del w:id="980" w:author="svcMRProcess" w:date="2018-08-20T12:17:00Z"/>
        </w:rPr>
      </w:pPr>
      <w:del w:id="981" w:author="svcMRProcess" w:date="2018-08-20T12:17:00Z">
        <w:r>
          <w:tab/>
          <w:delText>(c)</w:delText>
        </w:r>
        <w:r>
          <w:tab/>
          <w:delText>by deleting the definitions of “Metropolitan Scheme Act” and “Town Planning Act”;</w:delText>
        </w:r>
      </w:del>
    </w:p>
    <w:p>
      <w:pPr>
        <w:pStyle w:val="nzIndenta"/>
        <w:rPr>
          <w:del w:id="982" w:author="svcMRProcess" w:date="2018-08-20T12:17:00Z"/>
        </w:rPr>
      </w:pPr>
      <w:del w:id="983" w:author="svcMRProcess" w:date="2018-08-20T12:17:00Z">
        <w:r>
          <w:tab/>
          <w:delText>(d)</w:delText>
        </w:r>
        <w:r>
          <w:tab/>
          <w:delText xml:space="preserve">in the definition of “Planning Commission” by deleting “section 4 of the </w:delText>
        </w:r>
        <w:r>
          <w:rPr>
            <w:i/>
          </w:rPr>
          <w:delText>Western Australian Planning Commission Act 1985</w:delText>
        </w:r>
        <w:r>
          <w:delText xml:space="preserve">” and inserting instead — </w:delText>
        </w:r>
      </w:del>
    </w:p>
    <w:p>
      <w:pPr>
        <w:pStyle w:val="MiscOpen"/>
        <w:ind w:left="1620"/>
        <w:rPr>
          <w:del w:id="984" w:author="svcMRProcess" w:date="2018-08-20T12:17:00Z"/>
          <w:sz w:val="22"/>
        </w:rPr>
      </w:pPr>
      <w:del w:id="985" w:author="svcMRProcess" w:date="2018-08-20T12:17:00Z">
        <w:r>
          <w:rPr>
            <w:sz w:val="22"/>
          </w:rPr>
          <w:delText xml:space="preserve">“    </w:delText>
        </w:r>
      </w:del>
    </w:p>
    <w:p>
      <w:pPr>
        <w:pStyle w:val="nzDefstart"/>
        <w:rPr>
          <w:del w:id="986" w:author="svcMRProcess" w:date="2018-08-20T12:17:00Z"/>
        </w:rPr>
      </w:pPr>
      <w:del w:id="987" w:author="svcMRProcess" w:date="2018-08-20T12:17:00Z">
        <w:r>
          <w:tab/>
        </w:r>
        <w:r>
          <w:tab/>
          <w:delText xml:space="preserve">section 7 of the </w:delText>
        </w:r>
        <w:r>
          <w:rPr>
            <w:i/>
          </w:rPr>
          <w:delText>Planning and Development Act 2005</w:delText>
        </w:r>
      </w:del>
    </w:p>
    <w:p>
      <w:pPr>
        <w:pStyle w:val="MiscClose"/>
        <w:rPr>
          <w:del w:id="988" w:author="svcMRProcess" w:date="2018-08-20T12:17:00Z"/>
          <w:sz w:val="22"/>
        </w:rPr>
      </w:pPr>
      <w:del w:id="989" w:author="svcMRProcess" w:date="2018-08-20T12:17:00Z">
        <w:r>
          <w:rPr>
            <w:sz w:val="22"/>
          </w:rPr>
          <w:delText xml:space="preserve">    ”;</w:delText>
        </w:r>
      </w:del>
    </w:p>
    <w:p>
      <w:pPr>
        <w:pStyle w:val="nzIndenta"/>
        <w:rPr>
          <w:del w:id="990" w:author="svcMRProcess" w:date="2018-08-20T12:17:00Z"/>
        </w:rPr>
      </w:pPr>
      <w:del w:id="991" w:author="svcMRProcess" w:date="2018-08-20T12:17:00Z">
        <w:r>
          <w:tab/>
          <w:delText>(e)</w:delText>
        </w:r>
        <w:r>
          <w:tab/>
          <w:delText>by deleting the semicolon at the end of the definition of “staff member” and inserting a full stop.</w:delText>
        </w:r>
      </w:del>
    </w:p>
    <w:p>
      <w:pPr>
        <w:pStyle w:val="nzSubsection"/>
        <w:rPr>
          <w:del w:id="992" w:author="svcMRProcess" w:date="2018-08-20T12:17:00Z"/>
        </w:rPr>
      </w:pPr>
      <w:del w:id="993" w:author="svcMRProcess" w:date="2018-08-20T12:17:00Z">
        <w:r>
          <w:tab/>
          <w:delText>(2)</w:delText>
        </w:r>
        <w:r>
          <w:tab/>
          <w:delText xml:space="preserve">Section 5(4)(a) is amended by deleting “town” and inserting instead — </w:delText>
        </w:r>
      </w:del>
    </w:p>
    <w:p>
      <w:pPr>
        <w:pStyle w:val="nzSubsection"/>
        <w:rPr>
          <w:del w:id="994" w:author="svcMRProcess" w:date="2018-08-20T12:17:00Z"/>
        </w:rPr>
      </w:pPr>
      <w:del w:id="995" w:author="svcMRProcess" w:date="2018-08-20T12:17:00Z">
        <w:r>
          <w:tab/>
        </w:r>
        <w:r>
          <w:tab/>
          <w:delText>“    local    ”.</w:delText>
        </w:r>
      </w:del>
    </w:p>
    <w:p>
      <w:pPr>
        <w:pStyle w:val="nzSubsection"/>
        <w:rPr>
          <w:del w:id="996" w:author="svcMRProcess" w:date="2018-08-20T12:17:00Z"/>
        </w:rPr>
      </w:pPr>
      <w:del w:id="997" w:author="svcMRProcess" w:date="2018-08-20T12:17:00Z">
        <w:r>
          <w:tab/>
          <w:delText>(3)</w:delText>
        </w:r>
        <w:r>
          <w:tab/>
          <w:delText>Section 17(8) is amended as follows:</w:delText>
        </w:r>
      </w:del>
    </w:p>
    <w:p>
      <w:pPr>
        <w:pStyle w:val="nzIndenta"/>
        <w:rPr>
          <w:del w:id="998" w:author="svcMRProcess" w:date="2018-08-20T12:17:00Z"/>
        </w:rPr>
      </w:pPr>
      <w:del w:id="999" w:author="svcMRProcess" w:date="2018-08-20T12:17:00Z">
        <w:r>
          <w:tab/>
          <w:delText>(a)</w:delText>
        </w:r>
        <w:r>
          <w:tab/>
          <w:delText>by deleting “section 20 of the Town Planning</w:delText>
        </w:r>
        <w:r>
          <w:rPr>
            <w:i/>
          </w:rPr>
          <w:delText xml:space="preserve"> </w:delText>
        </w:r>
        <w:r>
          <w:delText xml:space="preserve">Act” and inserting instead — </w:delText>
        </w:r>
      </w:del>
    </w:p>
    <w:p>
      <w:pPr>
        <w:pStyle w:val="MiscOpen"/>
        <w:ind w:left="879"/>
        <w:rPr>
          <w:del w:id="1000" w:author="svcMRProcess" w:date="2018-08-20T12:17:00Z"/>
          <w:sz w:val="22"/>
        </w:rPr>
      </w:pPr>
      <w:del w:id="1001" w:author="svcMRProcess" w:date="2018-08-20T12:17:00Z">
        <w:r>
          <w:rPr>
            <w:sz w:val="22"/>
          </w:rPr>
          <w:delText xml:space="preserve">“    </w:delText>
        </w:r>
      </w:del>
    </w:p>
    <w:p>
      <w:pPr>
        <w:pStyle w:val="nzSubsection"/>
        <w:rPr>
          <w:del w:id="1002" w:author="svcMRProcess" w:date="2018-08-20T12:17:00Z"/>
        </w:rPr>
      </w:pPr>
      <w:del w:id="1003" w:author="svcMRProcess" w:date="2018-08-20T12:17:00Z">
        <w:r>
          <w:rPr>
            <w:sz w:val="22"/>
          </w:rPr>
          <w:tab/>
        </w:r>
        <w:r>
          <w:rPr>
            <w:sz w:val="22"/>
          </w:rPr>
          <w:tab/>
        </w:r>
        <w:r>
          <w:delText xml:space="preserve">sections 135 and 136 of the </w:delText>
        </w:r>
        <w:r>
          <w:rPr>
            <w:i/>
          </w:rPr>
          <w:delText>Planning and Development Act 2005</w:delText>
        </w:r>
      </w:del>
    </w:p>
    <w:p>
      <w:pPr>
        <w:pStyle w:val="MiscClose"/>
        <w:rPr>
          <w:del w:id="1004" w:author="svcMRProcess" w:date="2018-08-20T12:17:00Z"/>
          <w:sz w:val="22"/>
        </w:rPr>
      </w:pPr>
      <w:del w:id="1005" w:author="svcMRProcess" w:date="2018-08-20T12:17:00Z">
        <w:r>
          <w:rPr>
            <w:sz w:val="22"/>
          </w:rPr>
          <w:delText xml:space="preserve">    ”;</w:delText>
        </w:r>
      </w:del>
    </w:p>
    <w:p>
      <w:pPr>
        <w:pStyle w:val="nzIndenta"/>
        <w:rPr>
          <w:del w:id="1006" w:author="svcMRProcess" w:date="2018-08-20T12:17:00Z"/>
        </w:rPr>
      </w:pPr>
      <w:del w:id="1007" w:author="svcMRProcess" w:date="2018-08-20T12:17:00Z">
        <w:r>
          <w:tab/>
          <w:delText>(b)</w:delText>
        </w:r>
        <w:r>
          <w:tab/>
          <w:delText xml:space="preserve">in paragraph (c) by deleting “section 21 of the Town Planning Act” and inserting instead — </w:delText>
        </w:r>
      </w:del>
    </w:p>
    <w:p>
      <w:pPr>
        <w:pStyle w:val="MiscOpen"/>
        <w:ind w:left="1616"/>
        <w:rPr>
          <w:del w:id="1008" w:author="svcMRProcess" w:date="2018-08-20T12:17:00Z"/>
          <w:sz w:val="22"/>
        </w:rPr>
      </w:pPr>
      <w:del w:id="1009" w:author="svcMRProcess" w:date="2018-08-20T12:17:00Z">
        <w:r>
          <w:rPr>
            <w:sz w:val="22"/>
          </w:rPr>
          <w:delText xml:space="preserve">“    </w:delText>
        </w:r>
      </w:del>
    </w:p>
    <w:p>
      <w:pPr>
        <w:pStyle w:val="nzIndenta"/>
        <w:rPr>
          <w:del w:id="1010" w:author="svcMRProcess" w:date="2018-08-20T12:17:00Z"/>
        </w:rPr>
      </w:pPr>
      <w:del w:id="1011" w:author="svcMRProcess" w:date="2018-08-20T12:17:00Z">
        <w:r>
          <w:rPr>
            <w:sz w:val="22"/>
          </w:rPr>
          <w:tab/>
        </w:r>
        <w:r>
          <w:rPr>
            <w:sz w:val="22"/>
          </w:rPr>
          <w:tab/>
        </w:r>
        <w:r>
          <w:delText xml:space="preserve">section 147 of the </w:delText>
        </w:r>
        <w:r>
          <w:rPr>
            <w:i/>
          </w:rPr>
          <w:delText>Planning and Development Act 2005</w:delText>
        </w:r>
      </w:del>
    </w:p>
    <w:p>
      <w:pPr>
        <w:pStyle w:val="MiscClose"/>
        <w:rPr>
          <w:del w:id="1012" w:author="svcMRProcess" w:date="2018-08-20T12:17:00Z"/>
          <w:sz w:val="22"/>
        </w:rPr>
      </w:pPr>
      <w:del w:id="1013" w:author="svcMRProcess" w:date="2018-08-20T12:17:00Z">
        <w:r>
          <w:rPr>
            <w:sz w:val="22"/>
          </w:rPr>
          <w:delText xml:space="preserve">    ”.</w:delText>
        </w:r>
      </w:del>
    </w:p>
    <w:p>
      <w:pPr>
        <w:pStyle w:val="nzSubsection"/>
        <w:rPr>
          <w:del w:id="1014" w:author="svcMRProcess" w:date="2018-08-20T12:17:00Z"/>
        </w:rPr>
      </w:pPr>
      <w:del w:id="1015" w:author="svcMRProcess" w:date="2018-08-20T12:17:00Z">
        <w:r>
          <w:tab/>
          <w:delText>(4)</w:delText>
        </w:r>
        <w:r>
          <w:tab/>
          <w:delText xml:space="preserve">Section 29 is amended by deleting “a town planning scheme under the Town Planning Act.” and inserting instead — </w:delText>
        </w:r>
      </w:del>
    </w:p>
    <w:p>
      <w:pPr>
        <w:pStyle w:val="MiscOpen"/>
        <w:ind w:left="879"/>
        <w:rPr>
          <w:del w:id="1016" w:author="svcMRProcess" w:date="2018-08-20T12:17:00Z"/>
          <w:sz w:val="22"/>
        </w:rPr>
      </w:pPr>
      <w:del w:id="1017" w:author="svcMRProcess" w:date="2018-08-20T12:17:00Z">
        <w:r>
          <w:rPr>
            <w:sz w:val="22"/>
          </w:rPr>
          <w:delText xml:space="preserve">“    </w:delText>
        </w:r>
      </w:del>
    </w:p>
    <w:p>
      <w:pPr>
        <w:pStyle w:val="nzSubsection"/>
        <w:rPr>
          <w:del w:id="1018" w:author="svcMRProcess" w:date="2018-08-20T12:17:00Z"/>
        </w:rPr>
      </w:pPr>
      <w:del w:id="1019" w:author="svcMRProcess" w:date="2018-08-20T12:17:00Z">
        <w:r>
          <w:tab/>
        </w:r>
        <w:r>
          <w:tab/>
          <w:delText xml:space="preserve">a local planning scheme under the </w:delText>
        </w:r>
        <w:r>
          <w:rPr>
            <w:i/>
          </w:rPr>
          <w:delText>Planning and Development Act 2005</w:delText>
        </w:r>
        <w:r>
          <w:delText>.</w:delText>
        </w:r>
      </w:del>
    </w:p>
    <w:p>
      <w:pPr>
        <w:pStyle w:val="MiscClose"/>
        <w:keepLines w:val="0"/>
        <w:rPr>
          <w:del w:id="1020" w:author="svcMRProcess" w:date="2018-08-20T12:17:00Z"/>
          <w:sz w:val="22"/>
        </w:rPr>
      </w:pPr>
      <w:del w:id="1021" w:author="svcMRProcess" w:date="2018-08-20T12:17:00Z">
        <w:r>
          <w:rPr>
            <w:sz w:val="22"/>
          </w:rPr>
          <w:delText xml:space="preserve">    ”.</w:delText>
        </w:r>
      </w:del>
    </w:p>
    <w:p>
      <w:pPr>
        <w:pStyle w:val="nzSubsection"/>
        <w:rPr>
          <w:del w:id="1022" w:author="svcMRProcess" w:date="2018-08-20T12:17:00Z"/>
        </w:rPr>
      </w:pPr>
      <w:del w:id="1023" w:author="svcMRProcess" w:date="2018-08-20T12:17:00Z">
        <w:r>
          <w:tab/>
          <w:delText>(5)</w:delText>
        </w:r>
        <w:r>
          <w:tab/>
          <w:delText>Section 43(1) is amended in the definition of “planning scheme” as follows:</w:delText>
        </w:r>
      </w:del>
    </w:p>
    <w:p>
      <w:pPr>
        <w:pStyle w:val="nzIndenta"/>
        <w:rPr>
          <w:del w:id="1024" w:author="svcMRProcess" w:date="2018-08-20T12:17:00Z"/>
        </w:rPr>
      </w:pPr>
      <w:del w:id="1025" w:author="svcMRProcess" w:date="2018-08-20T12:17:00Z">
        <w:r>
          <w:tab/>
          <w:delText>(a)</w:delText>
        </w:r>
        <w:r>
          <w:tab/>
          <w:delText xml:space="preserve">by deleting “Town Planning Act” and inserting instead — </w:delText>
        </w:r>
      </w:del>
    </w:p>
    <w:p>
      <w:pPr>
        <w:pStyle w:val="nzIndenta"/>
        <w:rPr>
          <w:del w:id="1026" w:author="svcMRProcess" w:date="2018-08-20T12:17:00Z"/>
        </w:rPr>
      </w:pPr>
      <w:del w:id="1027" w:author="svcMRProcess" w:date="2018-08-20T12:17:00Z">
        <w:r>
          <w:tab/>
        </w:r>
        <w:r>
          <w:tab/>
          <w:delText xml:space="preserve">“    </w:delText>
        </w:r>
        <w:r>
          <w:rPr>
            <w:i/>
          </w:rPr>
          <w:delText>Town Planning and Development Act 1928</w:delText>
        </w:r>
        <w:r>
          <w:delText xml:space="preserve">    ”;</w:delText>
        </w:r>
      </w:del>
    </w:p>
    <w:p>
      <w:pPr>
        <w:pStyle w:val="nzIndenta"/>
        <w:rPr>
          <w:del w:id="1028" w:author="svcMRProcess" w:date="2018-08-20T12:17:00Z"/>
        </w:rPr>
      </w:pPr>
      <w:del w:id="1029" w:author="svcMRProcess" w:date="2018-08-20T12:17:00Z">
        <w:r>
          <w:tab/>
          <w:delText>(b)</w:delText>
        </w:r>
        <w:r>
          <w:tab/>
          <w:delText>by deleting “and” after paragraph (a);</w:delText>
        </w:r>
      </w:del>
    </w:p>
    <w:p>
      <w:pPr>
        <w:pStyle w:val="nzIndenta"/>
        <w:rPr>
          <w:del w:id="1030" w:author="svcMRProcess" w:date="2018-08-20T12:17:00Z"/>
        </w:rPr>
      </w:pPr>
      <w:del w:id="1031" w:author="svcMRProcess" w:date="2018-08-20T12:17:00Z">
        <w:r>
          <w:tab/>
          <w:delText>(c)</w:delText>
        </w:r>
        <w:r>
          <w:tab/>
          <w:delText xml:space="preserve">by inserting after paragraph (a) — </w:delText>
        </w:r>
      </w:del>
    </w:p>
    <w:p>
      <w:pPr>
        <w:pStyle w:val="MiscOpen"/>
        <w:ind w:left="1340"/>
        <w:rPr>
          <w:del w:id="1032" w:author="svcMRProcess" w:date="2018-08-20T12:17:00Z"/>
          <w:sz w:val="22"/>
        </w:rPr>
      </w:pPr>
      <w:del w:id="1033" w:author="svcMRProcess" w:date="2018-08-20T12:17:00Z">
        <w:r>
          <w:rPr>
            <w:sz w:val="22"/>
          </w:rPr>
          <w:delText xml:space="preserve">“    </w:delText>
        </w:r>
      </w:del>
    </w:p>
    <w:p>
      <w:pPr>
        <w:pStyle w:val="nzDefpara"/>
        <w:rPr>
          <w:del w:id="1034" w:author="svcMRProcess" w:date="2018-08-20T12:17:00Z"/>
        </w:rPr>
      </w:pPr>
      <w:del w:id="1035" w:author="svcMRProcess" w:date="2018-08-20T12:17:00Z">
        <w:r>
          <w:tab/>
          <w:delText>(aa)</w:delText>
        </w:r>
        <w:r>
          <w:tab/>
          <w:delText xml:space="preserve">any local planning scheme under the </w:delText>
        </w:r>
        <w:r>
          <w:rPr>
            <w:i/>
          </w:rPr>
          <w:delText>Planning and Development Act 2005</w:delText>
        </w:r>
        <w:r>
          <w:delText xml:space="preserve"> that is in operation in the redevelopment area immediately before the appointed day; and</w:delText>
        </w:r>
      </w:del>
    </w:p>
    <w:p>
      <w:pPr>
        <w:pStyle w:val="MiscClose"/>
        <w:rPr>
          <w:del w:id="1036" w:author="svcMRProcess" w:date="2018-08-20T12:17:00Z"/>
          <w:sz w:val="22"/>
        </w:rPr>
      </w:pPr>
      <w:del w:id="1037" w:author="svcMRProcess" w:date="2018-08-20T12:17:00Z">
        <w:r>
          <w:rPr>
            <w:sz w:val="22"/>
          </w:rPr>
          <w:delText xml:space="preserve">    ”.</w:delText>
        </w:r>
      </w:del>
    </w:p>
    <w:p>
      <w:pPr>
        <w:pStyle w:val="nzSubsection"/>
        <w:rPr>
          <w:del w:id="1038" w:author="svcMRProcess" w:date="2018-08-20T12:17:00Z"/>
        </w:rPr>
      </w:pPr>
      <w:del w:id="1039" w:author="svcMRProcess" w:date="2018-08-20T12:17:00Z">
        <w:r>
          <w:tab/>
          <w:delText>(6)</w:delText>
        </w:r>
        <w:r>
          <w:tab/>
          <w:delText xml:space="preserve">Section 50 is amended by deleting “Part V of the Town Planning Act” and inserting instead — </w:delText>
        </w:r>
      </w:del>
    </w:p>
    <w:p>
      <w:pPr>
        <w:pStyle w:val="nzSubsection"/>
        <w:rPr>
          <w:del w:id="1040" w:author="svcMRProcess" w:date="2018-08-20T12:17:00Z"/>
        </w:rPr>
      </w:pPr>
      <w:del w:id="1041" w:author="svcMRProcess" w:date="2018-08-20T12:17:00Z">
        <w:r>
          <w:tab/>
        </w:r>
        <w:r>
          <w:tab/>
          <w:delText xml:space="preserve">“    Part 14 of the </w:delText>
        </w:r>
        <w:r>
          <w:rPr>
            <w:i/>
          </w:rPr>
          <w:delText>Planning and Development Act 2005</w:delText>
        </w:r>
        <w:r>
          <w:delText xml:space="preserve">    ”.</w:delText>
        </w:r>
      </w:del>
    </w:p>
    <w:p>
      <w:pPr>
        <w:pStyle w:val="nzSubsection"/>
        <w:rPr>
          <w:del w:id="1042" w:author="svcMRProcess" w:date="2018-08-20T12:17:00Z"/>
        </w:rPr>
      </w:pPr>
      <w:del w:id="1043" w:author="svcMRProcess" w:date="2018-08-20T12:17:00Z">
        <w:r>
          <w:tab/>
          <w:delText>(7)</w:delText>
        </w:r>
        <w:r>
          <w:tab/>
          <w:delText xml:space="preserve">Section 52(2) is amended by deleting “Part V of the Town Planning Act” and inserting instead — </w:delText>
        </w:r>
      </w:del>
    </w:p>
    <w:p>
      <w:pPr>
        <w:pStyle w:val="nzSubsection"/>
        <w:rPr>
          <w:del w:id="1044" w:author="svcMRProcess" w:date="2018-08-20T12:17:00Z"/>
        </w:rPr>
      </w:pPr>
      <w:del w:id="1045" w:author="svcMRProcess" w:date="2018-08-20T12:17:00Z">
        <w:r>
          <w:tab/>
        </w:r>
        <w:r>
          <w:tab/>
          <w:delText xml:space="preserve">“    Part 14 of the </w:delText>
        </w:r>
        <w:r>
          <w:rPr>
            <w:i/>
          </w:rPr>
          <w:delText>Planning and Development Act 2005</w:delText>
        </w:r>
        <w:r>
          <w:delText xml:space="preserve">    ”.</w:delText>
        </w:r>
      </w:del>
    </w:p>
    <w:p>
      <w:pPr>
        <w:pStyle w:val="nzSubsection"/>
        <w:rPr>
          <w:del w:id="1046" w:author="svcMRProcess" w:date="2018-08-20T12:17:00Z"/>
        </w:rPr>
      </w:pPr>
      <w:del w:id="1047" w:author="svcMRProcess" w:date="2018-08-20T12:17:00Z">
        <w:r>
          <w:tab/>
          <w:delText>(8)</w:delText>
        </w:r>
        <w:r>
          <w:tab/>
          <w:delText xml:space="preserve">Section 54(1) and (2) are repealed and the following subsection is inserted instead — </w:delText>
        </w:r>
      </w:del>
    </w:p>
    <w:p>
      <w:pPr>
        <w:pStyle w:val="MiscOpen"/>
        <w:ind w:left="595"/>
        <w:rPr>
          <w:del w:id="1048" w:author="svcMRProcess" w:date="2018-08-20T12:17:00Z"/>
          <w:sz w:val="22"/>
        </w:rPr>
      </w:pPr>
      <w:del w:id="1049" w:author="svcMRProcess" w:date="2018-08-20T12:17:00Z">
        <w:r>
          <w:rPr>
            <w:sz w:val="22"/>
          </w:rPr>
          <w:delText xml:space="preserve">“    </w:delText>
        </w:r>
      </w:del>
    </w:p>
    <w:p>
      <w:pPr>
        <w:pStyle w:val="nzSubsection"/>
        <w:rPr>
          <w:del w:id="1050" w:author="svcMRProcess" w:date="2018-08-20T12:17:00Z"/>
        </w:rPr>
      </w:pPr>
      <w:del w:id="1051" w:author="svcMRProcess" w:date="2018-08-20T12:17:00Z">
        <w:r>
          <w:tab/>
          <w:delText>(1)</w:delText>
        </w:r>
        <w:r>
          <w:tab/>
          <w:delText xml:space="preserve">Part 11 Divisions 1 and 2 of the </w:delText>
        </w:r>
        <w:r>
          <w:rPr>
            <w:i/>
          </w:rPr>
          <w:delText>Planning and Development Act 2005</w:delText>
        </w:r>
        <w:r>
          <w:delText xml:space="preserve">, and sections 184(3) and (4), 187 and 188 of that Act, apply with all necessary changes to land in the redevelopment area as if — </w:delText>
        </w:r>
      </w:del>
    </w:p>
    <w:p>
      <w:pPr>
        <w:pStyle w:val="nzIndenta"/>
        <w:rPr>
          <w:del w:id="1052" w:author="svcMRProcess" w:date="2018-08-20T12:17:00Z"/>
        </w:rPr>
      </w:pPr>
      <w:del w:id="1053" w:author="svcMRProcess" w:date="2018-08-20T12:17:00Z">
        <w:r>
          <w:tab/>
          <w:delText>(a)</w:delText>
        </w:r>
        <w:r>
          <w:tab/>
          <w:delText>the redevelopment scheme were a planning scheme under that Act;</w:delText>
        </w:r>
      </w:del>
    </w:p>
    <w:p>
      <w:pPr>
        <w:pStyle w:val="nzIndenta"/>
        <w:rPr>
          <w:del w:id="1054" w:author="svcMRProcess" w:date="2018-08-20T12:17:00Z"/>
        </w:rPr>
      </w:pPr>
      <w:del w:id="1055" w:author="svcMRProcess" w:date="2018-08-20T12:17:00Z">
        <w:r>
          <w:tab/>
          <w:delText>(b)</w:delText>
        </w:r>
        <w:r>
          <w:tab/>
          <w:delText>the Authority were a responsible authority under that Act; and</w:delText>
        </w:r>
      </w:del>
    </w:p>
    <w:p>
      <w:pPr>
        <w:pStyle w:val="nzIndenta"/>
        <w:rPr>
          <w:del w:id="1056" w:author="svcMRProcess" w:date="2018-08-20T12:17:00Z"/>
        </w:rPr>
      </w:pPr>
      <w:del w:id="1057" w:author="svcMRProcess" w:date="2018-08-20T12:17:00Z">
        <w:r>
          <w:tab/>
          <w:delText>(c)</w:delText>
        </w:r>
        <w:r>
          <w:tab/>
          <w:delText>in the case of land reserved, zoned or classified under the redevelopment scheme for a public purpose, the land were reserved for a public purpose under a planning scheme.</w:delText>
        </w:r>
      </w:del>
    </w:p>
    <w:p>
      <w:pPr>
        <w:pStyle w:val="MiscClose"/>
        <w:rPr>
          <w:del w:id="1058" w:author="svcMRProcess" w:date="2018-08-20T12:17:00Z"/>
          <w:sz w:val="22"/>
        </w:rPr>
      </w:pPr>
      <w:del w:id="1059" w:author="svcMRProcess" w:date="2018-08-20T12:17:00Z">
        <w:r>
          <w:rPr>
            <w:sz w:val="22"/>
          </w:rPr>
          <w:delText xml:space="preserve">    ”.</w:delText>
        </w:r>
      </w:del>
    </w:p>
    <w:p>
      <w:pPr>
        <w:pStyle w:val="nzSubsection"/>
        <w:rPr>
          <w:del w:id="1060" w:author="svcMRProcess" w:date="2018-08-20T12:17:00Z"/>
        </w:rPr>
      </w:pPr>
      <w:del w:id="1061" w:author="svcMRProcess" w:date="2018-08-20T12:17:00Z">
        <w:r>
          <w:tab/>
          <w:delText>(9)</w:delText>
        </w:r>
        <w:r>
          <w:tab/>
          <w:delText xml:space="preserve">Section 54(3) is amended by deleting “an Act as applied by subsection (1) or (2)” and inserting instead — </w:delText>
        </w:r>
      </w:del>
    </w:p>
    <w:p>
      <w:pPr>
        <w:pStyle w:val="MiscOpen"/>
        <w:ind w:left="879"/>
        <w:rPr>
          <w:del w:id="1062" w:author="svcMRProcess" w:date="2018-08-20T12:17:00Z"/>
          <w:sz w:val="22"/>
        </w:rPr>
      </w:pPr>
      <w:del w:id="1063" w:author="svcMRProcess" w:date="2018-08-20T12:17:00Z">
        <w:r>
          <w:rPr>
            <w:sz w:val="22"/>
          </w:rPr>
          <w:delText xml:space="preserve">“    </w:delText>
        </w:r>
      </w:del>
    </w:p>
    <w:p>
      <w:pPr>
        <w:pStyle w:val="nzSubsection"/>
        <w:rPr>
          <w:del w:id="1064" w:author="svcMRProcess" w:date="2018-08-20T12:17:00Z"/>
        </w:rPr>
      </w:pPr>
      <w:del w:id="1065" w:author="svcMRProcess" w:date="2018-08-20T12:17:00Z">
        <w:r>
          <w:rPr>
            <w:sz w:val="22"/>
          </w:rPr>
          <w:tab/>
        </w:r>
        <w:r>
          <w:rPr>
            <w:sz w:val="22"/>
          </w:rPr>
          <w:tab/>
        </w:r>
        <w:r>
          <w:delText xml:space="preserve">the </w:delText>
        </w:r>
        <w:r>
          <w:rPr>
            <w:i/>
          </w:rPr>
          <w:delText>Planning and Development Act 2005</w:delText>
        </w:r>
        <w:r>
          <w:delText xml:space="preserve"> as applied by subsection (1)</w:delText>
        </w:r>
      </w:del>
    </w:p>
    <w:p>
      <w:pPr>
        <w:pStyle w:val="MiscClose"/>
        <w:keepNext/>
        <w:rPr>
          <w:del w:id="1066" w:author="svcMRProcess" w:date="2018-08-20T12:17:00Z"/>
          <w:sz w:val="22"/>
        </w:rPr>
      </w:pPr>
      <w:del w:id="1067" w:author="svcMRProcess" w:date="2018-08-20T12:17:00Z">
        <w:r>
          <w:rPr>
            <w:sz w:val="22"/>
          </w:rPr>
          <w:delText xml:space="preserve">    ”.</w:delText>
        </w:r>
      </w:del>
    </w:p>
    <w:p>
      <w:pPr>
        <w:pStyle w:val="nzSubsection"/>
        <w:rPr>
          <w:del w:id="1068" w:author="svcMRProcess" w:date="2018-08-20T12:17:00Z"/>
        </w:rPr>
      </w:pPr>
      <w:del w:id="1069" w:author="svcMRProcess" w:date="2018-08-20T12:17:00Z">
        <w:r>
          <w:tab/>
          <w:delText>(10)</w:delText>
        </w:r>
        <w:r>
          <w:tab/>
          <w:delText>Section 64 is amended as follows:</w:delText>
        </w:r>
      </w:del>
    </w:p>
    <w:p>
      <w:pPr>
        <w:pStyle w:val="nzIndenta"/>
        <w:rPr>
          <w:del w:id="1070" w:author="svcMRProcess" w:date="2018-08-20T12:17:00Z"/>
        </w:rPr>
      </w:pPr>
      <w:del w:id="1071" w:author="svcMRProcess" w:date="2018-08-20T12:17:00Z">
        <w:r>
          <w:tab/>
          <w:delText>(a)</w:delText>
        </w:r>
        <w:r>
          <w:tab/>
          <w:delText xml:space="preserve">by deleting “Section 33 of the Town Planning Act” and inserting instead — </w:delText>
        </w:r>
      </w:del>
    </w:p>
    <w:p>
      <w:pPr>
        <w:pStyle w:val="MiscOpen"/>
        <w:ind w:left="879"/>
        <w:rPr>
          <w:del w:id="1072" w:author="svcMRProcess" w:date="2018-08-20T12:17:00Z"/>
          <w:sz w:val="22"/>
        </w:rPr>
      </w:pPr>
      <w:del w:id="1073" w:author="svcMRProcess" w:date="2018-08-20T12:17:00Z">
        <w:r>
          <w:rPr>
            <w:sz w:val="22"/>
          </w:rPr>
          <w:delText xml:space="preserve">“    </w:delText>
        </w:r>
      </w:del>
    </w:p>
    <w:p>
      <w:pPr>
        <w:pStyle w:val="nzSubsection"/>
        <w:rPr>
          <w:del w:id="1074" w:author="svcMRProcess" w:date="2018-08-20T12:17:00Z"/>
        </w:rPr>
      </w:pPr>
      <w:del w:id="1075" w:author="svcMRProcess" w:date="2018-08-20T12:17:00Z">
        <w:r>
          <w:rPr>
            <w:sz w:val="22"/>
          </w:rPr>
          <w:tab/>
        </w:r>
        <w:r>
          <w:rPr>
            <w:sz w:val="22"/>
          </w:rPr>
          <w:tab/>
        </w:r>
        <w:r>
          <w:delText xml:space="preserve">Section 132 of the </w:delText>
        </w:r>
        <w:r>
          <w:rPr>
            <w:i/>
          </w:rPr>
          <w:delText>Planning and Development Act 2005</w:delText>
        </w:r>
      </w:del>
    </w:p>
    <w:p>
      <w:pPr>
        <w:pStyle w:val="MiscClose"/>
        <w:rPr>
          <w:del w:id="1076" w:author="svcMRProcess" w:date="2018-08-20T12:17:00Z"/>
          <w:sz w:val="22"/>
        </w:rPr>
      </w:pPr>
      <w:del w:id="1077" w:author="svcMRProcess" w:date="2018-08-20T12:17:00Z">
        <w:r>
          <w:rPr>
            <w:sz w:val="22"/>
          </w:rPr>
          <w:delText xml:space="preserve">    ”;</w:delText>
        </w:r>
      </w:del>
    </w:p>
    <w:p>
      <w:pPr>
        <w:pStyle w:val="nzIndenta"/>
        <w:rPr>
          <w:del w:id="1078" w:author="svcMRProcess" w:date="2018-08-20T12:17:00Z"/>
        </w:rPr>
      </w:pPr>
      <w:del w:id="1079" w:author="svcMRProcess" w:date="2018-08-20T12:17:00Z">
        <w:r>
          <w:tab/>
          <w:delText>(b)</w:delText>
        </w:r>
        <w:r>
          <w:tab/>
          <w:delText xml:space="preserve">in paragraph (a) by deleting “an approved scheme” and inserting instead — </w:delText>
        </w:r>
      </w:del>
    </w:p>
    <w:p>
      <w:pPr>
        <w:pStyle w:val="nzIndenta"/>
        <w:rPr>
          <w:del w:id="1080" w:author="svcMRProcess" w:date="2018-08-20T12:17:00Z"/>
        </w:rPr>
      </w:pPr>
      <w:del w:id="1081" w:author="svcMRProcess" w:date="2018-08-20T12:17:00Z">
        <w:r>
          <w:tab/>
        </w:r>
        <w:r>
          <w:tab/>
          <w:delText>“    a planning scheme    ”.</w:delText>
        </w:r>
      </w:del>
    </w:p>
    <w:p>
      <w:del w:id="1082" w:author="svcMRProcess" w:date="2018-08-20T12:17:00Z">
        <w:r>
          <w:delText>”.</w:delText>
        </w:r>
      </w:del>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12 Dec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01-c0-04</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Dec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01-c0-04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Dec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01-c0-04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64"/>
            <w:rPr>
              <w:b w:val="0"/>
            </w:rPr>
          </w:pPr>
          <w:r>
            <w:fldChar w:fldCharType="begin"/>
          </w:r>
          <w:r>
            <w:instrText xml:space="preserve"> styleref CharSchno </w:instrText>
          </w:r>
          <w: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05"/>
    <w:docVar w:name="WAFER_20151204144605" w:val="RemoveTrackChanges"/>
    <w:docVar w:name="WAFER_20151204144605_GUID" w:val="eac1da5a-4ec1-45f6-abec-2efce327887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13146</Words>
  <Characters>64153</Characters>
  <Application>Microsoft Office Word</Application>
  <DocSecurity>0</DocSecurity>
  <Lines>1644</Lines>
  <Paragraphs>868</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Drafting Template</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vector>
  </TitlesOfParts>
  <Manager/>
  <Company/>
  <LinksUpToDate>false</LinksUpToDate>
  <CharactersWithSpaces>76431</CharactersWithSpaces>
  <SharedDoc>false</SharedDoc>
  <HyperlinkBase/>
  <HLinks>
    <vt:vector size="6" baseType="variant">
      <vt:variant>
        <vt:i4>3539002</vt:i4>
      </vt:variant>
      <vt:variant>
        <vt:i4>70930</vt:i4>
      </vt:variant>
      <vt:variant>
        <vt:i4>1025</vt:i4>
      </vt:variant>
      <vt:variant>
        <vt:i4>1</vt:i4>
      </vt:variant>
      <vt:variant>
        <vt:lpwstr>dtmap1.bmp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01-b0-02 - 01-c0-04</dc:title>
  <dc:subject/>
  <dc:creator/>
  <cp:keywords/>
  <dc:description/>
  <cp:lastModifiedBy>svcMRProcess</cp:lastModifiedBy>
  <cp:revision>2</cp:revision>
  <cp:lastPrinted>2005-09-22T02:41:00Z</cp:lastPrinted>
  <dcterms:created xsi:type="dcterms:W3CDTF">2018-08-20T04:17:00Z</dcterms:created>
  <dcterms:modified xsi:type="dcterms:W3CDTF">2018-08-20T04:17:00Z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20060409</vt:lpwstr>
  </property>
  <property fmtid="{D5CDD505-2E9C-101B-9397-08002B2CF9AE}" pid="4" name="DocumentType">
    <vt:lpwstr>Act</vt:lpwstr>
  </property>
  <property fmtid="{D5CDD505-2E9C-101B-9397-08002B2CF9AE}" pid="5" name="OwlsUID">
    <vt:i4>2090</vt:i4>
  </property>
  <property fmtid="{D5CDD505-2E9C-101B-9397-08002B2CF9AE}" pid="6" name="FromSuffix">
    <vt:lpwstr>01-b0-02</vt:lpwstr>
  </property>
  <property fmtid="{D5CDD505-2E9C-101B-9397-08002B2CF9AE}" pid="7" name="FromAsAtDate">
    <vt:lpwstr>12 Dec 2005</vt:lpwstr>
  </property>
  <property fmtid="{D5CDD505-2E9C-101B-9397-08002B2CF9AE}" pid="8" name="ToSuffix">
    <vt:lpwstr>01-c0-04</vt:lpwstr>
  </property>
  <property fmtid="{D5CDD505-2E9C-101B-9397-08002B2CF9AE}" pid="9" name="ToAsAtDate">
    <vt:lpwstr>09 Apr 2006</vt:lpwstr>
  </property>
</Properties>
</file>