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212607808"/>
      <w:bookmarkStart w:id="4" w:name="_Toc20250584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6" w:name="_Toc486221079"/>
      <w:bookmarkStart w:id="7" w:name="_Toc11839641"/>
      <w:bookmarkStart w:id="8" w:name="_Toc107635602"/>
      <w:bookmarkStart w:id="9" w:name="_Toc212607809"/>
      <w:bookmarkStart w:id="10" w:name="_Toc20250584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1" w:name="_Toc486221080"/>
      <w:bookmarkStart w:id="12" w:name="_Toc11839642"/>
      <w:bookmarkStart w:id="13" w:name="_Toc107635603"/>
      <w:bookmarkStart w:id="14" w:name="_Toc212607810"/>
      <w:bookmarkStart w:id="15" w:name="_Toc202505845"/>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Authority</w:t>
      </w:r>
      <w:r>
        <w:t xml:space="preserve"> means the chief executive officer;</w:t>
      </w:r>
    </w:p>
    <w:p>
      <w:pPr>
        <w:pStyle w:val="Defstart"/>
      </w:pPr>
      <w:r>
        <w:rPr>
          <w:b/>
        </w:rPr>
        <w:tab/>
      </w:r>
      <w:r>
        <w:rPr>
          <w:rStyle w:val="CharDefText"/>
        </w:rPr>
        <w:t>Code</w:t>
      </w:r>
      <w:r>
        <w:t xml:space="preserve"> means the Uniform Shipping Laws Code </w:t>
      </w:r>
      <w:ins w:id="16" w:author="Master Repository Process" w:date="2021-09-18T19:29:00Z">
        <w:r>
          <w:t xml:space="preserve">incorporating the amendments </w:t>
        </w:r>
      </w:ins>
      <w:r>
        <w:t xml:space="preserve">adopted by the </w:t>
      </w:r>
      <w:del w:id="17" w:author="Master Repository Process" w:date="2021-09-18T19:29:00Z">
        <w:r>
          <w:delText>Marine and Ports</w:delText>
        </w:r>
      </w:del>
      <w:ins w:id="18" w:author="Master Repository Process" w:date="2021-09-18T19:29:00Z">
        <w:r>
          <w:t>Australian Transport</w:t>
        </w:r>
      </w:ins>
      <w:r>
        <w:t xml:space="preserve"> Council </w:t>
      </w:r>
      <w:del w:id="19" w:author="Master Repository Process" w:date="2021-09-18T19:29:00Z">
        <w:r>
          <w:delText xml:space="preserve">of Australia and published in the </w:delText>
        </w:r>
        <w:r>
          <w:rPr>
            <w:i/>
          </w:rPr>
          <w:delText>Commonwealth of Australia Gazette</w:delText>
        </w:r>
        <w:r>
          <w:delText xml:space="preserve"> </w:delText>
        </w:r>
      </w:del>
      <w:r>
        <w:t xml:space="preserve">on </w:t>
      </w:r>
      <w:del w:id="20" w:author="Master Repository Process" w:date="2021-09-18T19:29:00Z">
        <w:r>
          <w:delText>11 May 1981.</w:delText>
        </w:r>
      </w:del>
      <w:ins w:id="21" w:author="Master Repository Process" w:date="2021-09-18T19:29:00Z">
        <w:r>
          <w:t>1 October 2007;</w:t>
        </w:r>
      </w:ins>
    </w:p>
    <w:p>
      <w:pPr>
        <w:pStyle w:val="Defstart"/>
        <w:rPr>
          <w:ins w:id="22" w:author="Master Repository Process" w:date="2021-09-18T19:29:00Z"/>
        </w:rPr>
      </w:pPr>
      <w:ins w:id="23" w:author="Master Repository Process" w:date="2021-09-18T19:29:00Z">
        <w:r>
          <w:rPr>
            <w:b/>
          </w:rPr>
          <w:tab/>
        </w:r>
        <w:r>
          <w:rPr>
            <w:rStyle w:val="CharDefText"/>
          </w:rPr>
          <w:t>NSCV</w:t>
        </w:r>
        <w:r>
          <w:t xml:space="preserve"> means the National Standard for Commercial Vessels described in the Code.</w:t>
        </w:r>
      </w:ins>
    </w:p>
    <w:p>
      <w:pPr>
        <w:pStyle w:val="NotesPerm"/>
        <w:tabs>
          <w:tab w:val="clear" w:pos="879"/>
          <w:tab w:val="left" w:pos="851"/>
        </w:tabs>
        <w:ind w:left="1418" w:hanging="1418"/>
        <w:rPr>
          <w:ins w:id="24" w:author="Master Repository Process" w:date="2021-09-18T19:29:00Z"/>
        </w:rPr>
      </w:pPr>
      <w:ins w:id="25" w:author="Master Repository Process" w:date="2021-09-18T19:29:00Z">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ins>
    </w:p>
    <w:p>
      <w:pPr>
        <w:pStyle w:val="Footnotesection"/>
      </w:pPr>
      <w:r>
        <w:tab/>
        <w:t>[Regulation 3 amended in Gazette 11 Aug 1992 p. 3978</w:t>
      </w:r>
      <w:ins w:id="26" w:author="Master Repository Process" w:date="2021-09-18T19:29:00Z">
        <w:r>
          <w:t>; 24 Oct 2008 p. 4674</w:t>
        </w:r>
      </w:ins>
      <w:r>
        <w:t xml:space="preserve">.] </w:t>
      </w:r>
    </w:p>
    <w:p>
      <w:pPr>
        <w:pStyle w:val="Heading5"/>
        <w:rPr>
          <w:snapToGrid w:val="0"/>
        </w:rPr>
      </w:pPr>
      <w:bookmarkStart w:id="27" w:name="_Toc486221081"/>
      <w:bookmarkStart w:id="28" w:name="_Toc11839643"/>
      <w:bookmarkStart w:id="29" w:name="_Toc107635604"/>
      <w:bookmarkStart w:id="30" w:name="_Toc212607811"/>
      <w:bookmarkStart w:id="31" w:name="_Toc202505846"/>
      <w:r>
        <w:rPr>
          <w:rStyle w:val="CharSectno"/>
        </w:rPr>
        <w:t>4</w:t>
      </w:r>
      <w:r>
        <w:rPr>
          <w:snapToGrid w:val="0"/>
        </w:rPr>
        <w:t>.</w:t>
      </w:r>
      <w:r>
        <w:rPr>
          <w:snapToGrid w:val="0"/>
        </w:rPr>
        <w:tab/>
        <w:t>Application of Section 18 of Code</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$236.10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del w:id="32" w:author="Master Repository Process" w:date="2021-09-18T19:29:00Z">
        <w:r>
          <w:rPr>
            <w:snapToGrid w:val="0"/>
          </w:rPr>
          <w:delText> </w:delText>
        </w:r>
        <w:r>
          <w:rPr>
            <w:snapToGrid w:val="0"/>
          </w:rPr>
          <w:delText> </w:delText>
        </w:r>
        <w:r>
          <w:rPr>
            <w:snapToGrid w:val="0"/>
          </w:rPr>
          <w:delText xml:space="preserve"> (</w:delText>
        </w:r>
      </w:del>
      <w:ins w:id="33" w:author="Master Repository Process" w:date="2021-09-18T19:29:00Z">
        <w:r>
          <w:rPr>
            <w:snapToGrid w:val="0"/>
          </w:rPr>
          <w:t> </w:t>
        </w:r>
        <w:r>
          <w:rPr>
            <w:snapToGrid w:val="0"/>
          </w:rPr>
          <w:t> </w:t>
        </w:r>
        <w:r>
          <w:rPr>
            <w:snapToGrid w:val="0"/>
          </w:rPr>
          <w:t>(</w:t>
        </w:r>
      </w:ins>
      <w:r>
        <w:rPr>
          <w:snapToGrid w:val="0"/>
        </w:rPr>
        <w:t>i)</w:t>
      </w:r>
      <w:r>
        <w:rPr>
          <w:snapToGrid w:val="0"/>
        </w:rPr>
        <w:tab/>
        <w:t>the provision of life jackets or aids to buoyancy and their use by hirers;</w:t>
      </w:r>
    </w:p>
    <w:p>
      <w:pPr>
        <w:pStyle w:val="IndentA0"/>
        <w:rPr>
          <w:snapToGrid w:val="0"/>
        </w:rPr>
      </w:pPr>
      <w:r>
        <w:rPr>
          <w:snapToGrid w:val="0"/>
        </w:rPr>
        <w:tab/>
        <w:t>3.1.3</w:t>
      </w:r>
      <w:del w:id="34" w:author="Master Repository Process" w:date="2021-09-18T19:29:00Z">
        <w:r>
          <w:rPr>
            <w:snapToGrid w:val="0"/>
          </w:rPr>
          <w:delText> </w:delText>
        </w:r>
        <w:r>
          <w:rPr>
            <w:snapToGrid w:val="0"/>
          </w:rPr>
          <w:delText> </w:delText>
        </w:r>
        <w:r>
          <w:rPr>
            <w:snapToGrid w:val="0"/>
          </w:rPr>
          <w:delText xml:space="preserve"> (</w:delText>
        </w:r>
      </w:del>
      <w:ins w:id="35" w:author="Master Repository Process" w:date="2021-09-18T19:29:00Z">
        <w:r>
          <w:rPr>
            <w:snapToGrid w:val="0"/>
          </w:rPr>
          <w:t> </w:t>
        </w:r>
        <w:r>
          <w:rPr>
            <w:snapToGrid w:val="0"/>
          </w:rPr>
          <w:t> </w:t>
        </w:r>
        <w:r>
          <w:rPr>
            <w:snapToGrid w:val="0"/>
          </w:rPr>
          <w:t>(</w:t>
        </w:r>
      </w:ins>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ins w:id="36" w:author="Master Repository Process" w:date="2021-09-18T19:29:00Z"/>
          <w:snapToGrid w:val="0"/>
        </w:rPr>
      </w:pPr>
      <w:ins w:id="37" w:author="Master Repository Process" w:date="2021-09-18T19:29:00Z">
        <w:r>
          <w:rPr>
            <w:snapToGrid w:val="0"/>
          </w:rPr>
          <w:tab/>
          <w:t>[(k)</w:t>
        </w:r>
        <w:r>
          <w:rPr>
            <w:snapToGrid w:val="0"/>
          </w:rPr>
          <w:tab/>
          <w:t>deleted]</w:t>
        </w:r>
      </w:ins>
    </w:p>
    <w:p>
      <w:pPr>
        <w:pStyle w:val="IndentA0"/>
        <w:rPr>
          <w:del w:id="38" w:author="Master Repository Process" w:date="2021-09-18T19:29:00Z"/>
          <w:snapToGrid w:val="0"/>
        </w:rPr>
      </w:pPr>
      <w:r>
        <w:rPr>
          <w:snapToGrid w:val="0"/>
        </w:rPr>
        <w:tab/>
        <w:t>3.1.3</w:t>
      </w:r>
      <w:r>
        <w:rPr>
          <w:snapToGrid w:val="0"/>
        </w:rPr>
        <w:t> </w:t>
      </w:r>
      <w:r>
        <w:rPr>
          <w:snapToGrid w:val="0"/>
        </w:rPr>
        <w:t> </w:t>
      </w:r>
      <w:r>
        <w:rPr>
          <w:snapToGrid w:val="0"/>
        </w:rPr>
        <w:t>(</w:t>
      </w:r>
      <w:del w:id="39" w:author="Master Repository Process" w:date="2021-09-18T19:29:00Z">
        <w:r>
          <w:rPr>
            <w:snapToGrid w:val="0"/>
          </w:rPr>
          <w:delText>k)</w:delText>
        </w:r>
        <w:r>
          <w:rPr>
            <w:snapToGrid w:val="0"/>
          </w:rPr>
          <w:tab/>
          <w:delTex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delText>
        </w:r>
      </w:del>
    </w:p>
    <w:p>
      <w:pPr>
        <w:pStyle w:val="IndentA0"/>
        <w:rPr>
          <w:snapToGrid w:val="0"/>
        </w:rPr>
      </w:pPr>
      <w:del w:id="40" w:author="Master Repository Process" w:date="2021-09-18T19:29:00Z">
        <w:r>
          <w:rPr>
            <w:snapToGrid w:val="0"/>
          </w:rPr>
          <w:tab/>
          <w:delText>3.1.3</w:delText>
        </w:r>
        <w:r>
          <w:rPr>
            <w:snapToGrid w:val="0"/>
          </w:rPr>
          <w:delText> </w:delText>
        </w:r>
        <w:r>
          <w:rPr>
            <w:snapToGrid w:val="0"/>
          </w:rPr>
          <w:delText> </w:delText>
        </w:r>
        <w:r>
          <w:rPr>
            <w:snapToGrid w:val="0"/>
          </w:rPr>
          <w:delText xml:space="preserve"> (</w:delText>
        </w:r>
      </w:del>
      <w:r>
        <w:rPr>
          <w:snapToGrid w:val="0"/>
        </w:rPr>
        <w:t>l)</w:t>
      </w:r>
      <w:r>
        <w:rPr>
          <w:snapToGrid w:val="0"/>
        </w:rPr>
        <w:tab/>
        <w:t>the register book referred to in clause 4.1 below; and</w:t>
      </w:r>
    </w:p>
    <w:p>
      <w:pPr>
        <w:pStyle w:val="IndentA0"/>
        <w:rPr>
          <w:snapToGrid w:val="0"/>
        </w:rPr>
      </w:pPr>
      <w:r>
        <w:rPr>
          <w:snapToGrid w:val="0"/>
        </w:rPr>
        <w:tab/>
        <w:t>3.1.3</w:t>
      </w:r>
      <w:del w:id="41" w:author="Master Repository Process" w:date="2021-09-18T19:29:00Z">
        <w:r>
          <w:rPr>
            <w:snapToGrid w:val="0"/>
          </w:rPr>
          <w:delText> </w:delText>
        </w:r>
        <w:r>
          <w:rPr>
            <w:snapToGrid w:val="0"/>
          </w:rPr>
          <w:delText xml:space="preserve"> (</w:delText>
        </w:r>
      </w:del>
      <w:ins w:id="42" w:author="Master Repository Process" w:date="2021-09-18T19:29:00Z">
        <w:r>
          <w:rPr>
            <w:snapToGrid w:val="0"/>
          </w:rPr>
          <w:t> </w:t>
        </w:r>
        <w:r>
          <w:rPr>
            <w:snapToGrid w:val="0"/>
          </w:rPr>
          <w:t>(</w:t>
        </w:r>
      </w:ins>
      <w:r>
        <w:rPr>
          <w:snapToGrid w:val="0"/>
        </w:rPr>
        <w:t>m)</w:t>
      </w:r>
      <w:r>
        <w:rPr>
          <w:snapToGrid w:val="0"/>
        </w:rPr>
        <w:tab/>
        <w:t>the temporary or permanent variation of conditions by the Authority on payment of a variation fee of $90.60.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30; 24 Jun 2008 p. 2897</w:t>
      </w:r>
      <w:ins w:id="43" w:author="Master Repository Process" w:date="2021-09-18T19:29:00Z">
        <w:r>
          <w:t>; 24 Oct 2008 p. 4674</w:t>
        </w:r>
      </w:ins>
      <w:r>
        <w:t xml:space="preserve">.] </w:t>
      </w:r>
    </w:p>
    <w:p>
      <w:pPr>
        <w:pStyle w:val="Heading5"/>
      </w:pPr>
      <w:bookmarkStart w:id="44" w:name="_Toc212607812"/>
      <w:bookmarkStart w:id="45" w:name="_Toc486221082"/>
      <w:bookmarkStart w:id="46" w:name="_Toc11839644"/>
      <w:bookmarkStart w:id="47" w:name="_Toc107635605"/>
      <w:bookmarkStart w:id="48" w:name="_Toc202505847"/>
      <w:r>
        <w:rPr>
          <w:rStyle w:val="CharSectno"/>
        </w:rPr>
        <w:t>5</w:t>
      </w:r>
      <w:r>
        <w:t>.</w:t>
      </w:r>
      <w:r>
        <w:tab/>
        <w:t>Construction of Code</w:t>
      </w:r>
      <w:bookmarkEnd w:id="44"/>
      <w:bookmarkEnd w:id="45"/>
      <w:bookmarkEnd w:id="46"/>
      <w:bookmarkEnd w:id="47"/>
      <w:bookmarkEnd w:id="48"/>
      <w:del w:id="49" w:author="Master Repository Process" w:date="2021-09-18T19:29:00Z">
        <w:r>
          <w:rPr>
            <w:snapToGrid w:val="0"/>
          </w:rPr>
          <w:delText xml:space="preserve"> </w:delText>
        </w:r>
      </w:del>
    </w:p>
    <w:p>
      <w:pPr>
        <w:pStyle w:val="Subsection"/>
      </w:pPr>
      <w:r>
        <w:tab/>
      </w:r>
      <w:r>
        <w:tab/>
        <w:t xml:space="preserve">In the construction of the Code as incorporated in these regulations, words and expressions defined in </w:t>
      </w:r>
      <w:del w:id="50" w:author="Master Repository Process" w:date="2021-09-18T19:29:00Z">
        <w:r>
          <w:rPr>
            <w:snapToGrid w:val="0"/>
          </w:rPr>
          <w:delText xml:space="preserve">Section 1 of </w:delText>
        </w:r>
      </w:del>
      <w:r>
        <w:t xml:space="preserve">the </w:t>
      </w:r>
      <w:del w:id="51" w:author="Master Repository Process" w:date="2021-09-18T19:29:00Z">
        <w:r>
          <w:rPr>
            <w:snapToGrid w:val="0"/>
          </w:rPr>
          <w:delText>Code</w:delText>
        </w:r>
      </w:del>
      <w:ins w:id="52" w:author="Master Repository Process" w:date="2021-09-18T19:29:00Z">
        <w:r>
          <w:t>NSCV, Part B, Clause 1.8</w:t>
        </w:r>
      </w:ins>
      <w:r>
        <w:t xml:space="preserve"> shall, unless otherwise provided by the Act or these regulations, have the meanings assigned in that </w:t>
      </w:r>
      <w:del w:id="53" w:author="Master Repository Process" w:date="2021-09-18T19:29:00Z">
        <w:r>
          <w:rPr>
            <w:snapToGrid w:val="0"/>
          </w:rPr>
          <w:delText>Section</w:delText>
        </w:r>
      </w:del>
      <w:ins w:id="54" w:author="Master Repository Process" w:date="2021-09-18T19:29:00Z">
        <w:r>
          <w:t>clause</w:t>
        </w:r>
      </w:ins>
      <w:r>
        <w:t>.</w:t>
      </w:r>
    </w:p>
    <w:p>
      <w:pPr>
        <w:pStyle w:val="Footnotesection"/>
        <w:rPr>
          <w:ins w:id="55" w:author="Master Repository Process" w:date="2021-09-18T19:29:00Z"/>
        </w:rPr>
      </w:pPr>
      <w:ins w:id="56" w:author="Master Repository Process" w:date="2021-09-18T19:29:00Z">
        <w:r>
          <w:tab/>
          <w:t>[Regulation 5 inserted in Gazette 24 Oct 2008 p. 4675.]</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57" w:name="_Toc107635606"/>
      <w:bookmarkStart w:id="58" w:name="_Toc139181042"/>
      <w:bookmarkStart w:id="59" w:name="_Toc139343670"/>
      <w:bookmarkStart w:id="60" w:name="_Toc144266900"/>
      <w:bookmarkStart w:id="61" w:name="_Toc144267056"/>
      <w:bookmarkStart w:id="62" w:name="_Toc149623563"/>
      <w:bookmarkStart w:id="63" w:name="_Toc153079285"/>
      <w:bookmarkStart w:id="64" w:name="_Toc169410347"/>
      <w:bookmarkStart w:id="65" w:name="_Toc171747281"/>
      <w:bookmarkStart w:id="66" w:name="_Toc171758773"/>
      <w:bookmarkStart w:id="67" w:name="_Toc202505848"/>
      <w:bookmarkStart w:id="68" w:name="_Toc212607813"/>
      <w:r>
        <w:t>Notes</w:t>
      </w:r>
      <w:bookmarkEnd w:id="57"/>
      <w:bookmarkEnd w:id="58"/>
      <w:bookmarkEnd w:id="59"/>
      <w:bookmarkEnd w:id="60"/>
      <w:bookmarkEnd w:id="61"/>
      <w:bookmarkEnd w:id="62"/>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w:t>
      </w:r>
      <w:del w:id="69" w:author="Master Repository Process" w:date="2021-09-18T19:29:00Z">
        <w:r>
          <w:rPr>
            <w:i/>
            <w:noProof/>
            <w:snapToGrid w:val="0"/>
          </w:rPr>
          <w:delText xml:space="preserve"> </w:delText>
        </w:r>
      </w:del>
      <w:ins w:id="70" w:author="Master Repository Process" w:date="2021-09-18T19:29:00Z">
        <w:r>
          <w:rPr>
            <w:i/>
            <w:noProof/>
            <w:snapToGrid w:val="0"/>
          </w:rPr>
          <w:t> </w:t>
        </w:r>
      </w:ins>
      <w:r>
        <w:rPr>
          <w:i/>
          <w:noProof/>
          <w:snapToGrid w:val="0"/>
        </w:rPr>
        <w:t>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212607814"/>
      <w:bookmarkStart w:id="72" w:name="_Toc202505849"/>
      <w:r>
        <w:rPr>
          <w:snapToGrid w:val="0"/>
        </w:rP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cantSplit/>
        </w:trPr>
        <w:tc>
          <w:tcPr>
            <w:tcW w:w="3118" w:type="dxa"/>
          </w:tcPr>
          <w:p>
            <w:pPr>
              <w:pStyle w:val="nTable"/>
              <w:spacing w:after="40"/>
              <w:ind w:right="113"/>
              <w:rPr>
                <w:sz w:val="19"/>
              </w:rPr>
            </w:pPr>
            <w:r>
              <w:rPr>
                <w:i/>
                <w:sz w:val="19"/>
              </w:rPr>
              <w:t xml:space="preserve">W.A. Marine (Hire and Drive Vessels) Amendment Regulations 2007 </w:t>
            </w:r>
          </w:p>
        </w:tc>
        <w:tc>
          <w:tcPr>
            <w:tcW w:w="1276" w:type="dxa"/>
          </w:tcPr>
          <w:p>
            <w:pPr>
              <w:pStyle w:val="nTable"/>
              <w:spacing w:after="40"/>
              <w:rPr>
                <w:sz w:val="19"/>
              </w:rPr>
            </w:pPr>
            <w:r>
              <w:rPr>
                <w:sz w:val="19"/>
              </w:rPr>
              <w:t>12 Jun 2007 p. 2729</w:t>
            </w:r>
            <w:r>
              <w:rPr>
                <w:sz w:val="19"/>
              </w:rPr>
              <w:noBreakHyphen/>
              <w:t>30</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ind w:right="113"/>
              <w:rPr>
                <w:sz w:val="19"/>
              </w:rPr>
            </w:pPr>
            <w:r>
              <w:rPr>
                <w:i/>
                <w:sz w:val="19"/>
              </w:rPr>
              <w:t xml:space="preserve">W.A. Marine (Hire and Drive Vessels) Amendment Regulations 2008 </w:t>
            </w:r>
          </w:p>
        </w:tc>
        <w:tc>
          <w:tcPr>
            <w:tcW w:w="1276" w:type="dxa"/>
          </w:tcPr>
          <w:p>
            <w:pPr>
              <w:pStyle w:val="nTable"/>
              <w:spacing w:after="40"/>
              <w:rPr>
                <w:sz w:val="19"/>
              </w:rPr>
            </w:pPr>
            <w:r>
              <w:rPr>
                <w:sz w:val="19"/>
              </w:rPr>
              <w:t>24 Jun 2008 p. 2896-7</w:t>
            </w:r>
          </w:p>
        </w:tc>
        <w:tc>
          <w:tcPr>
            <w:tcW w:w="2693" w:type="dxa"/>
          </w:tcPr>
          <w:p>
            <w:pPr>
              <w:pStyle w:val="nTable"/>
              <w:spacing w:after="40"/>
              <w:rPr>
                <w:sz w:val="19"/>
              </w:rPr>
            </w:pPr>
            <w:r>
              <w:rPr>
                <w:snapToGrid w:val="0"/>
                <w:sz w:val="19"/>
                <w:lang w:val="en-US"/>
              </w:rPr>
              <w:t>r. 1 and 2: 24 Jun 2008 (see </w:t>
            </w:r>
            <w:bookmarkStart w:id="73" w:name="UpToHere"/>
            <w:bookmarkEnd w:id="73"/>
            <w:r>
              <w:rPr>
                <w:snapToGrid w:val="0"/>
                <w:sz w:val="19"/>
                <w:lang w:val="en-US"/>
              </w:rPr>
              <w:t>r. 2(a))</w:t>
            </w:r>
            <w:r>
              <w:rPr>
                <w:snapToGrid w:val="0"/>
                <w:sz w:val="19"/>
                <w:lang w:val="en-US"/>
              </w:rPr>
              <w:br/>
              <w:t>Regulations other than r. 1 and 2: 1 Jul 2008 (see r. 2(b))</w:t>
            </w:r>
          </w:p>
        </w:tc>
      </w:tr>
      <w:tr>
        <w:trPr>
          <w:cantSplit/>
          <w:ins w:id="74" w:author="Master Repository Process" w:date="2021-09-18T19:29:00Z"/>
        </w:trPr>
        <w:tc>
          <w:tcPr>
            <w:tcW w:w="3118" w:type="dxa"/>
            <w:tcBorders>
              <w:bottom w:val="single" w:sz="4" w:space="0" w:color="auto"/>
            </w:tcBorders>
          </w:tcPr>
          <w:p>
            <w:pPr>
              <w:pStyle w:val="nTable"/>
              <w:spacing w:after="40"/>
              <w:ind w:right="113"/>
              <w:rPr>
                <w:ins w:id="75" w:author="Master Repository Process" w:date="2021-09-18T19:29:00Z"/>
                <w:i/>
                <w:sz w:val="19"/>
              </w:rPr>
            </w:pPr>
            <w:ins w:id="76" w:author="Master Repository Process" w:date="2021-09-18T19:29:00Z">
              <w:r>
                <w:rPr>
                  <w:i/>
                  <w:sz w:val="19"/>
                </w:rPr>
                <w:t>W.A. Marine (Hire and Drive Vessels) Amendment Regulations (No. 2) 2008</w:t>
              </w:r>
            </w:ins>
          </w:p>
        </w:tc>
        <w:tc>
          <w:tcPr>
            <w:tcW w:w="1276" w:type="dxa"/>
            <w:tcBorders>
              <w:bottom w:val="single" w:sz="4" w:space="0" w:color="auto"/>
            </w:tcBorders>
          </w:tcPr>
          <w:p>
            <w:pPr>
              <w:pStyle w:val="nTable"/>
              <w:spacing w:after="40"/>
              <w:rPr>
                <w:ins w:id="77" w:author="Master Repository Process" w:date="2021-09-18T19:29:00Z"/>
                <w:sz w:val="19"/>
              </w:rPr>
            </w:pPr>
            <w:ins w:id="78" w:author="Master Repository Process" w:date="2021-09-18T19:29:00Z">
              <w:r>
                <w:rPr>
                  <w:sz w:val="19"/>
                </w:rPr>
                <w:t>24 Oct 2008 p. 4673-5</w:t>
              </w:r>
            </w:ins>
          </w:p>
        </w:tc>
        <w:tc>
          <w:tcPr>
            <w:tcW w:w="2693" w:type="dxa"/>
            <w:tcBorders>
              <w:bottom w:val="single" w:sz="4" w:space="0" w:color="auto"/>
            </w:tcBorders>
          </w:tcPr>
          <w:p>
            <w:pPr>
              <w:pStyle w:val="nTable"/>
              <w:spacing w:after="40"/>
              <w:rPr>
                <w:ins w:id="79" w:author="Master Repository Process" w:date="2021-09-18T19:29:00Z"/>
                <w:sz w:val="19"/>
              </w:rPr>
            </w:pPr>
            <w:ins w:id="80" w:author="Master Repository Process" w:date="2021-09-18T19:29:00Z">
              <w:r>
                <w:rPr>
                  <w:sz w:val="19"/>
                </w:rPr>
                <w:t>r. 1 and 2: 24 Oct 2008 (see r. 2(a));</w:t>
              </w:r>
            </w:ins>
          </w:p>
          <w:p>
            <w:pPr>
              <w:pStyle w:val="nTable"/>
              <w:spacing w:before="0" w:after="40"/>
              <w:rPr>
                <w:ins w:id="81" w:author="Master Repository Process" w:date="2021-09-18T19:29:00Z"/>
                <w:snapToGrid w:val="0"/>
                <w:sz w:val="19"/>
                <w:lang w:val="en-US"/>
              </w:rPr>
            </w:pPr>
            <w:ins w:id="82" w:author="Master Repository Process" w:date="2021-09-18T19:29:00Z">
              <w:r>
                <w:rPr>
                  <w:sz w:val="19"/>
                </w:rPr>
                <w:t>Regulations other than r. 1 and 2: 25 Oct 2008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131123-60B0-4A27-AF5C-AA529C80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2479</Words>
  <Characters>11507</Characters>
  <Application>Microsoft Office Word</Application>
  <DocSecurity>0</DocSecurity>
  <Lines>460</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02-d0-03 - 02-e0-01</dc:title>
  <dc:subject/>
  <dc:creator/>
  <cp:keywords/>
  <dc:description/>
  <cp:lastModifiedBy>Master Repository Process</cp:lastModifiedBy>
  <cp:revision>2</cp:revision>
  <cp:lastPrinted>2006-10-26T05:59:00Z</cp:lastPrinted>
  <dcterms:created xsi:type="dcterms:W3CDTF">2021-09-18T11:29:00Z</dcterms:created>
  <dcterms:modified xsi:type="dcterms:W3CDTF">2021-09-18T11:29:00Z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01 Jul 2008</vt:lpwstr>
  </property>
  <property fmtid="{D5CDD505-2E9C-101B-9397-08002B2CF9AE}" pid="9" name="ToSuffix">
    <vt:lpwstr>02-e0-01</vt:lpwstr>
  </property>
  <property fmtid="{D5CDD505-2E9C-101B-9397-08002B2CF9AE}" pid="10" name="ToAsAtDate">
    <vt:lpwstr>25 Oct 2008</vt:lpwstr>
  </property>
</Properties>
</file>