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2006</w:t>
      </w:r>
      <w:r>
        <w:fldChar w:fldCharType="end"/>
      </w:r>
      <w:r>
        <w:t xml:space="preserve">, </w:t>
      </w:r>
      <w:r>
        <w:fldChar w:fldCharType="begin"/>
      </w:r>
      <w:r>
        <w:instrText xml:space="preserve"> DocProperty FromSuffix </w:instrText>
      </w:r>
      <w:r>
        <w:fldChar w:fldCharType="separate"/>
      </w:r>
      <w:r>
        <w:t>00-i0-07</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00-j0-06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Land Tax Assessment Act 2002</w:t>
      </w:r>
    </w:p>
    <w:p>
      <w:pPr>
        <w:pStyle w:val="LongTitle"/>
        <w:suppressLineNumbers/>
      </w:pPr>
      <w:r>
        <w:rPr>
          <w:snapToGrid w:val="0"/>
        </w:rPr>
        <w:t>A</w:t>
      </w:r>
      <w:bookmarkStart w:id="0" w:name="_GoBack"/>
      <w:bookmarkEnd w:id="0"/>
      <w:r>
        <w:rPr>
          <w:snapToGrid w:val="0"/>
        </w:rPr>
        <w:t>n Act relating to the assessment and collection of tax upon land</w:t>
      </w:r>
      <w:r>
        <w:t>.</w:t>
      </w:r>
    </w:p>
    <w:p>
      <w:pPr>
        <w:rPr>
          <w:snapToGrid w:val="0"/>
        </w:rPr>
      </w:pP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70183903"/>
      <w:bookmarkStart w:id="12" w:name="_Toc170183983"/>
      <w:bookmarkStart w:id="13" w:name="_Toc389662690"/>
      <w:bookmarkStart w:id="14" w:name="_Toc38966276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72848643"/>
      <w:bookmarkStart w:id="16" w:name="_Toc472916246"/>
      <w:bookmarkStart w:id="17" w:name="_Toc27491775"/>
      <w:bookmarkStart w:id="18" w:name="_Toc92863958"/>
      <w:bookmarkStart w:id="19" w:name="_Toc170183904"/>
      <w:bookmarkStart w:id="20" w:name="_Toc170183984"/>
      <w:bookmarkStart w:id="21" w:name="_Toc389662691"/>
      <w:bookmarkStart w:id="22" w:name="_Toc389662761"/>
      <w:r>
        <w:rPr>
          <w:rStyle w:val="CharSectno"/>
        </w:rPr>
        <w:t>1</w:t>
      </w:r>
      <w:r>
        <w:rPr>
          <w:snapToGrid w:val="0"/>
        </w:rPr>
        <w:t>.</w:t>
      </w:r>
      <w:r>
        <w:rPr>
          <w:snapToGrid w:val="0"/>
        </w:rPr>
        <w:tab/>
        <w:t>Short title</w:t>
      </w:r>
      <w:bookmarkEnd w:id="15"/>
      <w:bookmarkEnd w:id="16"/>
      <w:bookmarkEnd w:id="17"/>
      <w:bookmarkEnd w:id="18"/>
      <w:bookmarkEnd w:id="19"/>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23" w:name="_Toc472848644"/>
      <w:bookmarkStart w:id="24" w:name="_Toc472916247"/>
      <w:bookmarkStart w:id="25" w:name="_Toc27491776"/>
      <w:bookmarkStart w:id="26" w:name="_Toc92863959"/>
      <w:bookmarkStart w:id="27" w:name="_Toc170183905"/>
      <w:bookmarkStart w:id="28" w:name="_Toc170183985"/>
      <w:bookmarkStart w:id="29" w:name="_Toc389662692"/>
      <w:bookmarkStart w:id="30" w:name="_Toc389662762"/>
      <w:r>
        <w:rPr>
          <w:rStyle w:val="CharSectno"/>
        </w:rPr>
        <w:t>2</w:t>
      </w:r>
      <w:r>
        <w:rPr>
          <w:snapToGrid w:val="0"/>
        </w:rPr>
        <w:t>.</w:t>
      </w:r>
      <w:r>
        <w:rPr>
          <w:snapToGrid w:val="0"/>
        </w:rPr>
        <w:tab/>
        <w:t>Commencement</w:t>
      </w:r>
      <w:bookmarkEnd w:id="23"/>
      <w:bookmarkEnd w:id="24"/>
      <w:bookmarkEnd w:id="25"/>
      <w:bookmarkEnd w:id="26"/>
      <w:bookmarkEnd w:id="27"/>
      <w:bookmarkEnd w:id="28"/>
      <w:bookmarkEnd w:id="29"/>
      <w:bookmarkEnd w:id="30"/>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31" w:name="_Hlt527252701"/>
      <w:bookmarkStart w:id="32" w:name="_Toc472848645"/>
      <w:bookmarkStart w:id="33" w:name="_Toc472916248"/>
      <w:bookmarkStart w:id="34" w:name="_Toc27491777"/>
      <w:bookmarkStart w:id="35" w:name="_Toc92863960"/>
      <w:bookmarkStart w:id="36" w:name="_Toc170183906"/>
      <w:bookmarkStart w:id="37" w:name="_Toc170183986"/>
      <w:bookmarkStart w:id="38" w:name="_Toc389662693"/>
      <w:bookmarkStart w:id="39" w:name="_Toc389662763"/>
      <w:bookmarkEnd w:id="31"/>
      <w:r>
        <w:rPr>
          <w:rStyle w:val="CharSectno"/>
        </w:rPr>
        <w:t>3</w:t>
      </w:r>
      <w:r>
        <w:t>.</w:t>
      </w:r>
      <w:r>
        <w:tab/>
      </w:r>
      <w:bookmarkEnd w:id="32"/>
      <w:bookmarkEnd w:id="33"/>
      <w:r>
        <w:t>Relationship with other Acts</w:t>
      </w:r>
      <w:bookmarkEnd w:id="34"/>
      <w:bookmarkEnd w:id="35"/>
      <w:bookmarkEnd w:id="36"/>
      <w:bookmarkEnd w:id="37"/>
      <w:bookmarkEnd w:id="38"/>
      <w:bookmarkEnd w:id="39"/>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40" w:name="_Toc27491778"/>
      <w:bookmarkStart w:id="41" w:name="_Toc92863961"/>
      <w:bookmarkStart w:id="42" w:name="_Toc170183907"/>
      <w:bookmarkStart w:id="43" w:name="_Toc170183987"/>
      <w:bookmarkStart w:id="44" w:name="_Toc389662694"/>
      <w:bookmarkStart w:id="45" w:name="_Toc389662764"/>
      <w:r>
        <w:rPr>
          <w:rStyle w:val="CharSectno"/>
        </w:rPr>
        <w:t>4</w:t>
      </w:r>
      <w:r>
        <w:t>.</w:t>
      </w:r>
      <w:r>
        <w:tab/>
        <w:t>Meaning of terms used in this Act</w:t>
      </w:r>
      <w:bookmarkEnd w:id="40"/>
      <w:bookmarkEnd w:id="41"/>
      <w:bookmarkEnd w:id="42"/>
      <w:bookmarkEnd w:id="43"/>
      <w:bookmarkEnd w:id="44"/>
      <w:bookmarkEnd w:id="4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46" w:name="_Toc76895205"/>
      <w:bookmarkStart w:id="47" w:name="_Toc92863962"/>
      <w:bookmarkStart w:id="48" w:name="_Toc113164535"/>
      <w:bookmarkStart w:id="49" w:name="_Toc113165001"/>
      <w:bookmarkStart w:id="50" w:name="_Toc113165223"/>
      <w:bookmarkStart w:id="51" w:name="_Toc113169613"/>
      <w:bookmarkStart w:id="52" w:name="_Toc113943366"/>
      <w:bookmarkStart w:id="53" w:name="_Toc113943436"/>
      <w:bookmarkStart w:id="54" w:name="_Toc122765795"/>
      <w:bookmarkStart w:id="55" w:name="_Toc131397815"/>
      <w:bookmarkStart w:id="56" w:name="_Toc170183908"/>
      <w:bookmarkStart w:id="57" w:name="_Toc170183988"/>
      <w:bookmarkStart w:id="58" w:name="_Toc389662695"/>
      <w:bookmarkStart w:id="59" w:name="_Toc389662765"/>
      <w:r>
        <w:rPr>
          <w:rStyle w:val="CharPartNo"/>
        </w:rPr>
        <w:lastRenderedPageBreak/>
        <w:t>Part 2</w:t>
      </w:r>
      <w:r>
        <w:t xml:space="preserve"> — </w:t>
      </w:r>
      <w:r>
        <w:rPr>
          <w:rStyle w:val="CharPartText"/>
        </w:rPr>
        <w:t>Land tax liability and assessment</w:t>
      </w:r>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pPr>
      <w:bookmarkStart w:id="60" w:name="_Toc76895206"/>
      <w:bookmarkStart w:id="61" w:name="_Toc92863963"/>
      <w:bookmarkStart w:id="62" w:name="_Toc113164536"/>
      <w:bookmarkStart w:id="63" w:name="_Toc113165002"/>
      <w:bookmarkStart w:id="64" w:name="_Toc113165224"/>
      <w:bookmarkStart w:id="65" w:name="_Toc113169614"/>
      <w:bookmarkStart w:id="66" w:name="_Toc113943367"/>
      <w:bookmarkStart w:id="67" w:name="_Toc113943437"/>
      <w:bookmarkStart w:id="68" w:name="_Toc122765796"/>
      <w:bookmarkStart w:id="69" w:name="_Toc131397816"/>
      <w:bookmarkStart w:id="70" w:name="_Toc170183909"/>
      <w:bookmarkStart w:id="71" w:name="_Toc170183989"/>
      <w:bookmarkStart w:id="72" w:name="_Toc389662696"/>
      <w:bookmarkStart w:id="73" w:name="_Toc389662766"/>
      <w:r>
        <w:rPr>
          <w:rStyle w:val="CharDivNo"/>
        </w:rPr>
        <w:t>Division 1</w:t>
      </w:r>
      <w:r>
        <w:t xml:space="preserve"> — </w:t>
      </w:r>
      <w:r>
        <w:rPr>
          <w:rStyle w:val="CharDivText"/>
        </w:rPr>
        <w:t>Liability to land tax</w:t>
      </w:r>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5"/>
      </w:pPr>
      <w:bookmarkStart w:id="74" w:name="_Hlt527253902"/>
      <w:bookmarkStart w:id="75" w:name="_Toc472848646"/>
      <w:bookmarkStart w:id="76" w:name="_Toc472916249"/>
      <w:bookmarkStart w:id="77" w:name="_Toc27491779"/>
      <w:bookmarkStart w:id="78" w:name="_Toc92863964"/>
      <w:bookmarkStart w:id="79" w:name="_Toc170183910"/>
      <w:bookmarkStart w:id="80" w:name="_Toc170183990"/>
      <w:bookmarkStart w:id="81" w:name="_Toc389662697"/>
      <w:bookmarkStart w:id="82" w:name="_Toc389662767"/>
      <w:bookmarkEnd w:id="74"/>
      <w:r>
        <w:rPr>
          <w:rStyle w:val="CharSectno"/>
        </w:rPr>
        <w:t>5</w:t>
      </w:r>
      <w:r>
        <w:t>.</w:t>
      </w:r>
      <w:r>
        <w:tab/>
        <w:t>Taxable land</w:t>
      </w:r>
      <w:bookmarkEnd w:id="75"/>
      <w:bookmarkEnd w:id="76"/>
      <w:bookmarkEnd w:id="77"/>
      <w:bookmarkEnd w:id="78"/>
      <w:bookmarkEnd w:id="79"/>
      <w:bookmarkEnd w:id="80"/>
      <w:bookmarkEnd w:id="81"/>
      <w:bookmarkEnd w:id="82"/>
    </w:p>
    <w:p>
      <w:pPr>
        <w:pStyle w:val="Subsection"/>
      </w:pPr>
      <w:r>
        <w:tab/>
      </w:r>
      <w:r>
        <w:tab/>
        <w:t>Land tax is payable, in accordance with the land tax Acts, for each financial year for all land in the State except land that is exempt under section </w:t>
      </w:r>
      <w:bookmarkStart w:id="83" w:name="_Hlt527432540"/>
      <w:r>
        <w:t>17</w:t>
      </w:r>
      <w:bookmarkEnd w:id="83"/>
      <w:r>
        <w:t>.</w:t>
      </w:r>
    </w:p>
    <w:p>
      <w:pPr>
        <w:pStyle w:val="Heading5"/>
      </w:pPr>
      <w:bookmarkStart w:id="84" w:name="_Toc27491780"/>
      <w:bookmarkStart w:id="85" w:name="_Toc92863965"/>
      <w:bookmarkStart w:id="86" w:name="_Toc170183911"/>
      <w:bookmarkStart w:id="87" w:name="_Toc170183991"/>
      <w:bookmarkStart w:id="88" w:name="_Toc389662698"/>
      <w:bookmarkStart w:id="89" w:name="_Toc389662768"/>
      <w:r>
        <w:rPr>
          <w:rStyle w:val="CharSectno"/>
        </w:rPr>
        <w:t>6</w:t>
      </w:r>
      <w:r>
        <w:t>.</w:t>
      </w:r>
      <w:r>
        <w:tab/>
        <w:t>Time for payment of land tax</w:t>
      </w:r>
      <w:bookmarkEnd w:id="84"/>
      <w:bookmarkEnd w:id="85"/>
      <w:bookmarkEnd w:id="86"/>
      <w:bookmarkEnd w:id="87"/>
      <w:bookmarkEnd w:id="88"/>
      <w:bookmarkEnd w:id="89"/>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90" w:name="_Hlt527255030"/>
      <w:bookmarkStart w:id="91" w:name="_Toc472848648"/>
      <w:bookmarkStart w:id="92" w:name="_Toc472916251"/>
      <w:bookmarkStart w:id="93" w:name="_Toc27491781"/>
      <w:bookmarkStart w:id="94" w:name="_Toc92863966"/>
      <w:bookmarkStart w:id="95" w:name="_Toc170183912"/>
      <w:bookmarkStart w:id="96" w:name="_Toc170183992"/>
      <w:bookmarkStart w:id="97" w:name="_Toc389662699"/>
      <w:bookmarkStart w:id="98" w:name="_Toc389662769"/>
      <w:bookmarkEnd w:id="90"/>
      <w:r>
        <w:rPr>
          <w:rStyle w:val="CharSectno"/>
        </w:rPr>
        <w:t>7</w:t>
      </w:r>
      <w:r>
        <w:t>.</w:t>
      </w:r>
      <w:r>
        <w:tab/>
        <w:t>Liability to pay land tax</w:t>
      </w:r>
      <w:bookmarkEnd w:id="91"/>
      <w:bookmarkEnd w:id="92"/>
      <w:bookmarkEnd w:id="93"/>
      <w:bookmarkEnd w:id="94"/>
      <w:bookmarkEnd w:id="95"/>
      <w:bookmarkEnd w:id="96"/>
      <w:bookmarkEnd w:id="97"/>
      <w:bookmarkEnd w:id="9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99" w:name="_Hlt527088060"/>
      <w:r>
        <w:t>8</w:t>
      </w:r>
      <w:bookmarkEnd w:id="9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00" w:name="_Hlt527249992"/>
      <w:bookmarkStart w:id="101" w:name="_Toc27491782"/>
      <w:bookmarkStart w:id="102" w:name="_Toc92863967"/>
      <w:bookmarkStart w:id="103" w:name="_Toc170183913"/>
      <w:bookmarkStart w:id="104" w:name="_Toc170183993"/>
      <w:bookmarkStart w:id="105" w:name="_Toc389662700"/>
      <w:bookmarkStart w:id="106" w:name="_Toc389662770"/>
      <w:bookmarkEnd w:id="100"/>
      <w:r>
        <w:rPr>
          <w:rStyle w:val="CharSectno"/>
        </w:rPr>
        <w:lastRenderedPageBreak/>
        <w:t>8</w:t>
      </w:r>
      <w:r>
        <w:t>.</w:t>
      </w:r>
      <w:r>
        <w:tab/>
        <w:t>Certain persons and bodies taken to be owners of land</w:t>
      </w:r>
      <w:bookmarkEnd w:id="101"/>
      <w:bookmarkEnd w:id="102"/>
      <w:bookmarkEnd w:id="103"/>
      <w:bookmarkEnd w:id="104"/>
      <w:bookmarkEnd w:id="105"/>
      <w:bookmarkEnd w:id="106"/>
    </w:p>
    <w:p>
      <w:pPr>
        <w:pStyle w:val="Subsection"/>
      </w:pPr>
      <w:r>
        <w:tab/>
      </w:r>
      <w:bookmarkStart w:id="107" w:name="_Hlt527260285"/>
      <w:bookmarkEnd w:id="107"/>
      <w:r>
        <w:t>(1)</w:t>
      </w:r>
      <w:r>
        <w:tab/>
        <w:t xml:space="preserve">A person is taken to be the owner of land for the purposes of section </w:t>
      </w:r>
      <w:bookmarkStart w:id="108" w:name="_Hlt527255023"/>
      <w:r>
        <w:t>7</w:t>
      </w:r>
      <w:bookmarkEnd w:id="108"/>
      <w:r>
        <w:t xml:space="preserve"> if the person —</w:t>
      </w:r>
    </w:p>
    <w:p>
      <w:pPr>
        <w:pStyle w:val="Indenta"/>
      </w:pPr>
      <w:r>
        <w:tab/>
      </w:r>
      <w:bookmarkStart w:id="109" w:name="_Hlt530539263"/>
      <w:bookmarkEnd w:id="109"/>
      <w:r>
        <w:t>(a)</w:t>
      </w:r>
      <w:r>
        <w:tab/>
        <w:t>is entitled to the land under any lease or licence from the Crown with or without the right of acquiring the fee simple; or</w:t>
      </w:r>
    </w:p>
    <w:p>
      <w:pPr>
        <w:pStyle w:val="Indenta"/>
      </w:pPr>
      <w:r>
        <w:tab/>
      </w:r>
      <w:bookmarkStart w:id="110" w:name="_Hlt527255115"/>
      <w:bookmarkEnd w:id="110"/>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11" w:name="_Hlt527255011"/>
      <w:bookmarkEnd w:id="111"/>
      <w:r>
        <w:t>(2)</w:t>
      </w:r>
      <w:r>
        <w:tab/>
        <w:t xml:space="preserve">If a taxable authority has land vested in it by or under an enactment otherwise than as owner, the taxable authority is taken to be the owner of the land for the purposes of section </w:t>
      </w:r>
      <w:bookmarkStart w:id="112" w:name="_Hlt527255047"/>
      <w:r>
        <w:t>7</w:t>
      </w:r>
      <w:bookmarkEnd w:id="112"/>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13" w:name="_Hlt530539610"/>
      <w:bookmarkStart w:id="114" w:name="_Toc472848649"/>
      <w:bookmarkStart w:id="115" w:name="_Toc472916252"/>
      <w:bookmarkStart w:id="116" w:name="_Toc27491783"/>
      <w:bookmarkStart w:id="117" w:name="_Toc92863968"/>
      <w:bookmarkStart w:id="118" w:name="_Toc170183914"/>
      <w:bookmarkStart w:id="119" w:name="_Toc170183994"/>
      <w:bookmarkStart w:id="120" w:name="_Toc389662701"/>
      <w:bookmarkStart w:id="121" w:name="_Toc389662771"/>
      <w:bookmarkEnd w:id="113"/>
      <w:r>
        <w:rPr>
          <w:rStyle w:val="CharSectno"/>
        </w:rPr>
        <w:t>9</w:t>
      </w:r>
      <w:r>
        <w:t>.</w:t>
      </w:r>
      <w:r>
        <w:tab/>
        <w:t>Liability of agents or trustees</w:t>
      </w:r>
      <w:bookmarkEnd w:id="114"/>
      <w:bookmarkEnd w:id="115"/>
      <w:bookmarkEnd w:id="116"/>
      <w:bookmarkEnd w:id="117"/>
      <w:bookmarkEnd w:id="118"/>
      <w:bookmarkEnd w:id="119"/>
      <w:bookmarkEnd w:id="120"/>
      <w:bookmarkEnd w:id="121"/>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22" w:name="_Toc170183915"/>
      <w:bookmarkStart w:id="123" w:name="_Toc170183995"/>
      <w:bookmarkStart w:id="124" w:name="_Toc389662702"/>
      <w:bookmarkStart w:id="125" w:name="_Toc389662772"/>
      <w:bookmarkStart w:id="126" w:name="_Toc76895212"/>
      <w:bookmarkStart w:id="127" w:name="_Toc92863969"/>
      <w:bookmarkStart w:id="128" w:name="_Toc113164542"/>
      <w:bookmarkStart w:id="129" w:name="_Toc113165008"/>
      <w:bookmarkStart w:id="130" w:name="_Toc113165230"/>
      <w:bookmarkStart w:id="131" w:name="_Toc113169620"/>
      <w:r>
        <w:rPr>
          <w:rStyle w:val="CharSectno"/>
        </w:rPr>
        <w:t>9A</w:t>
      </w:r>
      <w:r>
        <w:t>.</w:t>
      </w:r>
      <w:r>
        <w:tab/>
        <w:t>Notice of errors or omissions</w:t>
      </w:r>
      <w:bookmarkEnd w:id="122"/>
      <w:bookmarkEnd w:id="123"/>
      <w:bookmarkEnd w:id="124"/>
      <w:bookmarkEnd w:id="12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32" w:name="_Toc113943374"/>
      <w:bookmarkStart w:id="133" w:name="_Toc113943444"/>
      <w:bookmarkStart w:id="134" w:name="_Toc122765803"/>
      <w:bookmarkStart w:id="135" w:name="_Toc131397823"/>
      <w:bookmarkStart w:id="136" w:name="_Toc170183916"/>
      <w:bookmarkStart w:id="137" w:name="_Toc170183996"/>
      <w:bookmarkStart w:id="138" w:name="_Toc389662703"/>
      <w:bookmarkStart w:id="139" w:name="_Toc389662773"/>
      <w:r>
        <w:rPr>
          <w:rStyle w:val="CharDivNo"/>
        </w:rPr>
        <w:t>Division 2</w:t>
      </w:r>
      <w:r>
        <w:t xml:space="preserve"> — </w:t>
      </w:r>
      <w:r>
        <w:rPr>
          <w:rStyle w:val="CharDivText"/>
        </w:rPr>
        <w:t>Assessment of land tax</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pPr>
      <w:bookmarkStart w:id="140" w:name="_Toc472848650"/>
      <w:bookmarkStart w:id="141" w:name="_Toc472916253"/>
      <w:bookmarkStart w:id="142" w:name="_Toc27491784"/>
      <w:bookmarkStart w:id="143" w:name="_Toc92863970"/>
      <w:bookmarkStart w:id="144" w:name="_Toc170183917"/>
      <w:bookmarkStart w:id="145" w:name="_Toc170183997"/>
      <w:bookmarkStart w:id="146" w:name="_Toc389662704"/>
      <w:bookmarkStart w:id="147" w:name="_Toc389662774"/>
      <w:r>
        <w:rPr>
          <w:rStyle w:val="CharSectno"/>
        </w:rPr>
        <w:t>10</w:t>
      </w:r>
      <w:r>
        <w:t>.</w:t>
      </w:r>
      <w:r>
        <w:tab/>
        <w:t>Assessing the amount of land tax payable</w:t>
      </w:r>
      <w:bookmarkEnd w:id="140"/>
      <w:bookmarkEnd w:id="141"/>
      <w:bookmarkEnd w:id="142"/>
      <w:bookmarkEnd w:id="143"/>
      <w:bookmarkEnd w:id="144"/>
      <w:bookmarkEnd w:id="145"/>
      <w:bookmarkEnd w:id="146"/>
      <w:bookmarkEnd w:id="147"/>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48" w:name="_Toc472848651"/>
      <w:bookmarkStart w:id="149" w:name="_Toc472916254"/>
      <w:bookmarkStart w:id="150" w:name="_Toc27491785"/>
      <w:bookmarkStart w:id="151" w:name="_Toc92863971"/>
      <w:bookmarkStart w:id="152" w:name="_Toc170183918"/>
      <w:bookmarkStart w:id="153" w:name="_Toc170183998"/>
      <w:bookmarkStart w:id="154" w:name="_Toc389662705"/>
      <w:bookmarkStart w:id="155" w:name="_Toc389662775"/>
      <w:r>
        <w:rPr>
          <w:rStyle w:val="CharSectno"/>
        </w:rPr>
        <w:t>11</w:t>
      </w:r>
      <w:r>
        <w:t>.</w:t>
      </w:r>
      <w:r>
        <w:tab/>
        <w:t>Assessing land tax on 2 or more lots with the same ownership</w:t>
      </w:r>
      <w:bookmarkEnd w:id="148"/>
      <w:bookmarkEnd w:id="149"/>
      <w:bookmarkEnd w:id="150"/>
      <w:bookmarkEnd w:id="151"/>
      <w:bookmarkEnd w:id="152"/>
      <w:bookmarkEnd w:id="153"/>
      <w:bookmarkEnd w:id="154"/>
      <w:bookmarkEnd w:id="155"/>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56" w:name="_Toc472848652"/>
      <w:bookmarkStart w:id="157" w:name="_Toc472916255"/>
      <w:bookmarkStart w:id="158" w:name="_Toc27491786"/>
      <w:bookmarkStart w:id="159" w:name="_Toc92863972"/>
      <w:bookmarkStart w:id="160" w:name="_Toc170183919"/>
      <w:bookmarkStart w:id="161" w:name="_Toc170183999"/>
      <w:bookmarkStart w:id="162" w:name="_Toc389662706"/>
      <w:bookmarkStart w:id="163" w:name="_Toc389662776"/>
      <w:r>
        <w:rPr>
          <w:rStyle w:val="CharSectno"/>
        </w:rPr>
        <w:t>12</w:t>
      </w:r>
      <w:r>
        <w:t>.</w:t>
      </w:r>
      <w:r>
        <w:tab/>
        <w:t>Assessing land tax payable by joint owners</w:t>
      </w:r>
      <w:bookmarkEnd w:id="156"/>
      <w:bookmarkEnd w:id="157"/>
      <w:bookmarkEnd w:id="158"/>
      <w:bookmarkEnd w:id="159"/>
      <w:bookmarkEnd w:id="160"/>
      <w:bookmarkEnd w:id="161"/>
      <w:bookmarkEnd w:id="162"/>
      <w:bookmarkEnd w:id="163"/>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64" w:name="_Hlt527254052"/>
      <w:bookmarkStart w:id="165" w:name="_Toc27491787"/>
      <w:bookmarkStart w:id="166" w:name="_Toc92863973"/>
      <w:bookmarkStart w:id="167" w:name="_Toc170183920"/>
      <w:bookmarkStart w:id="168" w:name="_Toc170184000"/>
      <w:bookmarkStart w:id="169" w:name="_Toc389662707"/>
      <w:bookmarkStart w:id="170" w:name="_Toc389662777"/>
      <w:bookmarkEnd w:id="164"/>
      <w:r>
        <w:rPr>
          <w:rStyle w:val="CharSectno"/>
        </w:rPr>
        <w:t>13</w:t>
      </w:r>
      <w:r>
        <w:t>.</w:t>
      </w:r>
      <w:r>
        <w:tab/>
        <w:t>Calculating the unimproved value of part of a lot</w:t>
      </w:r>
      <w:bookmarkEnd w:id="165"/>
      <w:bookmarkEnd w:id="166"/>
      <w:bookmarkEnd w:id="167"/>
      <w:bookmarkEnd w:id="168"/>
      <w:bookmarkEnd w:id="169"/>
      <w:bookmarkEnd w:id="170"/>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Ednotesubsection"/>
      </w:pPr>
      <w:bookmarkStart w:id="171" w:name="_Toc472848653"/>
      <w:bookmarkStart w:id="172" w:name="_Toc472916256"/>
      <w:bookmarkStart w:id="173" w:name="_Toc27491788"/>
      <w:r>
        <w:tab/>
        <w:t>[(3)</w:t>
      </w:r>
      <w:r>
        <w:tab/>
        <w:t>repealed]</w:t>
      </w:r>
    </w:p>
    <w:p>
      <w:pPr>
        <w:pStyle w:val="Footnotesection"/>
      </w:pPr>
      <w:r>
        <w:tab/>
        <w:t>[Section 13 amended by No. 40 of 2003 s. 4.]</w:t>
      </w:r>
    </w:p>
    <w:p>
      <w:pPr>
        <w:pStyle w:val="Heading5"/>
      </w:pPr>
      <w:bookmarkStart w:id="174" w:name="_Toc92863974"/>
      <w:bookmarkStart w:id="175" w:name="_Toc170183921"/>
      <w:bookmarkStart w:id="176" w:name="_Toc170184001"/>
      <w:bookmarkStart w:id="177" w:name="_Toc389662708"/>
      <w:bookmarkStart w:id="178" w:name="_Toc389662778"/>
      <w:r>
        <w:rPr>
          <w:rStyle w:val="CharSectno"/>
        </w:rPr>
        <w:t>14</w:t>
      </w:r>
      <w:r>
        <w:t>.</w:t>
      </w:r>
      <w:r>
        <w:tab/>
        <w:t>Land tax on newly subdivided private residential property</w:t>
      </w:r>
      <w:bookmarkEnd w:id="171"/>
      <w:bookmarkEnd w:id="172"/>
      <w:bookmarkEnd w:id="173"/>
      <w:bookmarkEnd w:id="174"/>
      <w:bookmarkEnd w:id="175"/>
      <w:bookmarkEnd w:id="176"/>
      <w:bookmarkEnd w:id="177"/>
      <w:bookmarkEnd w:id="17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179" w:name="_Toc472848654"/>
      <w:bookmarkStart w:id="180" w:name="_Toc472916257"/>
      <w:bookmarkStart w:id="181" w:name="_Toc27491789"/>
      <w:bookmarkStart w:id="182" w:name="_Toc92863975"/>
      <w:bookmarkStart w:id="183" w:name="_Toc170183922"/>
      <w:bookmarkStart w:id="184" w:name="_Toc170184002"/>
      <w:bookmarkStart w:id="185" w:name="_Toc389662709"/>
      <w:bookmarkStart w:id="186" w:name="_Toc389662779"/>
      <w:r>
        <w:rPr>
          <w:rStyle w:val="CharSectno"/>
        </w:rPr>
        <w:t>15</w:t>
      </w:r>
      <w:r>
        <w:t>.</w:t>
      </w:r>
      <w:r>
        <w:tab/>
        <w:t>Land tax on newly subdivided rural business land</w:t>
      </w:r>
      <w:bookmarkEnd w:id="179"/>
      <w:bookmarkEnd w:id="180"/>
      <w:bookmarkEnd w:id="181"/>
      <w:bookmarkEnd w:id="182"/>
      <w:bookmarkEnd w:id="183"/>
      <w:bookmarkEnd w:id="184"/>
      <w:bookmarkEnd w:id="185"/>
      <w:bookmarkEnd w:id="186"/>
    </w:p>
    <w:p>
      <w:pPr>
        <w:pStyle w:val="Subsection"/>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187" w:name="_Hlt527255072"/>
      <w:bookmarkStart w:id="188" w:name="_Toc170183923"/>
      <w:bookmarkStart w:id="189" w:name="_Toc170184003"/>
      <w:bookmarkStart w:id="190" w:name="_Toc389662710"/>
      <w:bookmarkStart w:id="191" w:name="_Toc389662780"/>
      <w:bookmarkStart w:id="192" w:name="_Toc472848655"/>
      <w:bookmarkStart w:id="193" w:name="_Toc472916258"/>
      <w:bookmarkStart w:id="194" w:name="_Toc27491790"/>
      <w:bookmarkStart w:id="195" w:name="_Toc92863976"/>
      <w:bookmarkEnd w:id="187"/>
      <w:r>
        <w:rPr>
          <w:rStyle w:val="CharSectno"/>
        </w:rPr>
        <w:t>15A</w:t>
      </w:r>
      <w:r>
        <w:t>.</w:t>
      </w:r>
      <w:r>
        <w:tab/>
        <w:t>Land tax on newly subdivided dwelling park land</w:t>
      </w:r>
      <w:bookmarkEnd w:id="188"/>
      <w:bookmarkEnd w:id="189"/>
      <w:bookmarkEnd w:id="190"/>
      <w:bookmarkEnd w:id="191"/>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w:t>
      </w:r>
      <w:r>
        <w:t>2002,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pPr>
      <w:bookmarkStart w:id="196" w:name="_Toc170183924"/>
      <w:bookmarkStart w:id="197" w:name="_Toc170184004"/>
      <w:bookmarkStart w:id="198" w:name="_Toc389662711"/>
      <w:bookmarkStart w:id="199" w:name="_Toc389662781"/>
      <w:r>
        <w:rPr>
          <w:rStyle w:val="CharSectno"/>
        </w:rPr>
        <w:t>16</w:t>
      </w:r>
      <w:r>
        <w:t>.</w:t>
      </w:r>
      <w:r>
        <w:tab/>
        <w:t>Assessing land tax on non</w:t>
      </w:r>
      <w:r>
        <w:noBreakHyphen/>
        <w:t>strata home units</w:t>
      </w:r>
      <w:bookmarkEnd w:id="192"/>
      <w:bookmarkEnd w:id="193"/>
      <w:bookmarkEnd w:id="194"/>
      <w:bookmarkEnd w:id="195"/>
      <w:bookmarkEnd w:id="196"/>
      <w:bookmarkEnd w:id="197"/>
      <w:bookmarkEnd w:id="198"/>
      <w:bookmarkEnd w:id="199"/>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200" w:name="_Toc76895220"/>
      <w:bookmarkStart w:id="201" w:name="_Toc92863977"/>
      <w:bookmarkStart w:id="202" w:name="_Toc113164551"/>
      <w:bookmarkStart w:id="203" w:name="_Toc113165017"/>
      <w:bookmarkStart w:id="204" w:name="_Toc113165239"/>
      <w:bookmarkStart w:id="205" w:name="_Toc113169629"/>
      <w:bookmarkStart w:id="206" w:name="_Toc113943383"/>
      <w:bookmarkStart w:id="207" w:name="_Toc113943453"/>
      <w:bookmarkStart w:id="208" w:name="_Toc122765812"/>
      <w:bookmarkStart w:id="209" w:name="_Toc131397832"/>
      <w:bookmarkStart w:id="210" w:name="_Toc170183925"/>
      <w:bookmarkStart w:id="211" w:name="_Toc170184005"/>
      <w:bookmarkStart w:id="212" w:name="_Toc389662712"/>
      <w:bookmarkStart w:id="213" w:name="_Toc389662782"/>
      <w:r>
        <w:rPr>
          <w:rStyle w:val="CharPartNo"/>
        </w:rPr>
        <w:t>Part 3</w:t>
      </w:r>
      <w:r>
        <w:t xml:space="preserve"> — </w:t>
      </w:r>
      <w:r>
        <w:rPr>
          <w:rStyle w:val="CharPartText"/>
        </w:rPr>
        <w:t>Exemptions, concessions and rebates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Heading3"/>
      </w:pPr>
      <w:bookmarkStart w:id="214" w:name="_Toc76895221"/>
      <w:bookmarkStart w:id="215" w:name="_Toc92863978"/>
      <w:bookmarkStart w:id="216" w:name="_Toc113164552"/>
      <w:bookmarkStart w:id="217" w:name="_Toc113165018"/>
      <w:bookmarkStart w:id="218" w:name="_Toc113165240"/>
      <w:bookmarkStart w:id="219" w:name="_Toc113169630"/>
      <w:bookmarkStart w:id="220" w:name="_Toc113943384"/>
      <w:bookmarkStart w:id="221" w:name="_Toc113943454"/>
      <w:bookmarkStart w:id="222" w:name="_Toc122765813"/>
      <w:bookmarkStart w:id="223" w:name="_Toc131397833"/>
      <w:bookmarkStart w:id="224" w:name="_Toc170183926"/>
      <w:bookmarkStart w:id="225" w:name="_Toc170184006"/>
      <w:bookmarkStart w:id="226" w:name="_Toc389662713"/>
      <w:bookmarkStart w:id="227" w:name="_Toc389662783"/>
      <w:r>
        <w:rPr>
          <w:rStyle w:val="CharDivNo"/>
        </w:rPr>
        <w:t>Division 1</w:t>
      </w:r>
      <w:r>
        <w:t xml:space="preserve"> — </w:t>
      </w:r>
      <w:r>
        <w:rPr>
          <w:rStyle w:val="CharDivText"/>
        </w:rPr>
        <w:t>General provisions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pPr>
      <w:bookmarkStart w:id="228" w:name="_Hlt527432543"/>
      <w:bookmarkStart w:id="229" w:name="_Toc472848656"/>
      <w:bookmarkStart w:id="230" w:name="_Toc472916259"/>
      <w:bookmarkStart w:id="231" w:name="_Toc27491791"/>
      <w:bookmarkStart w:id="232" w:name="_Toc92863979"/>
      <w:bookmarkStart w:id="233" w:name="_Toc170183927"/>
      <w:bookmarkStart w:id="234" w:name="_Toc170184007"/>
      <w:bookmarkStart w:id="235" w:name="_Toc389662714"/>
      <w:bookmarkStart w:id="236" w:name="_Toc389662784"/>
      <w:bookmarkEnd w:id="228"/>
      <w:r>
        <w:rPr>
          <w:rStyle w:val="CharSectno"/>
        </w:rPr>
        <w:t>17</w:t>
      </w:r>
      <w:r>
        <w:t>.</w:t>
      </w:r>
      <w:r>
        <w:tab/>
        <w:t>Exempt land</w:t>
      </w:r>
      <w:bookmarkEnd w:id="229"/>
      <w:bookmarkEnd w:id="230"/>
      <w:bookmarkEnd w:id="231"/>
      <w:bookmarkEnd w:id="232"/>
      <w:bookmarkEnd w:id="233"/>
      <w:bookmarkEnd w:id="234"/>
      <w:bookmarkEnd w:id="235"/>
      <w:bookmarkEnd w:id="23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37" w:name="_Hlt527255376"/>
      <w:r>
        <w:t>20</w:t>
      </w:r>
      <w:bookmarkEnd w:id="237"/>
      <w:r>
        <w:t>; or</w:t>
      </w:r>
    </w:p>
    <w:p>
      <w:pPr>
        <w:pStyle w:val="Indenta"/>
      </w:pPr>
      <w:r>
        <w:tab/>
        <w:t>(b)</w:t>
      </w:r>
      <w:r>
        <w:tab/>
        <w:t>it is exempt for the assessment year under another provision of this Part.</w:t>
      </w:r>
    </w:p>
    <w:p>
      <w:pPr>
        <w:pStyle w:val="Heading5"/>
      </w:pPr>
      <w:bookmarkStart w:id="238" w:name="_Toc472848657"/>
      <w:bookmarkStart w:id="239" w:name="_Toc472916260"/>
      <w:bookmarkStart w:id="240" w:name="_Toc27491792"/>
      <w:bookmarkStart w:id="241" w:name="_Toc92863980"/>
      <w:bookmarkStart w:id="242" w:name="_Toc170183928"/>
      <w:bookmarkStart w:id="243" w:name="_Toc170184008"/>
      <w:bookmarkStart w:id="244" w:name="_Toc389662715"/>
      <w:bookmarkStart w:id="245" w:name="_Toc389662785"/>
      <w:r>
        <w:rPr>
          <w:rStyle w:val="CharSectno"/>
        </w:rPr>
        <w:t>18</w:t>
      </w:r>
      <w:r>
        <w:t>.</w:t>
      </w:r>
      <w:r>
        <w:tab/>
        <w:t>Partial exemptions</w:t>
      </w:r>
      <w:bookmarkEnd w:id="238"/>
      <w:bookmarkEnd w:id="239"/>
      <w:r>
        <w:t xml:space="preserve"> or concessions</w:t>
      </w:r>
      <w:bookmarkEnd w:id="240"/>
      <w:bookmarkEnd w:id="241"/>
      <w:bookmarkEnd w:id="242"/>
      <w:bookmarkEnd w:id="243"/>
      <w:bookmarkEnd w:id="244"/>
      <w:bookmarkEnd w:id="245"/>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46" w:name="_Toc472848658"/>
      <w:bookmarkStart w:id="247" w:name="_Toc472916261"/>
      <w:bookmarkStart w:id="248" w:name="_Toc27491793"/>
      <w:bookmarkStart w:id="249" w:name="_Toc92863981"/>
      <w:bookmarkStart w:id="250" w:name="_Toc170183929"/>
      <w:bookmarkStart w:id="251" w:name="_Toc170184009"/>
      <w:bookmarkStart w:id="252" w:name="_Toc389662716"/>
      <w:bookmarkStart w:id="253" w:name="_Toc389662786"/>
      <w:r>
        <w:rPr>
          <w:rStyle w:val="CharSectno"/>
        </w:rPr>
        <w:t>19</w:t>
      </w:r>
      <w:r>
        <w:t>.</w:t>
      </w:r>
      <w:r>
        <w:tab/>
        <w:t>Obtaining an exemption or concession</w:t>
      </w:r>
      <w:bookmarkEnd w:id="246"/>
      <w:bookmarkEnd w:id="247"/>
      <w:bookmarkEnd w:id="248"/>
      <w:bookmarkEnd w:id="249"/>
      <w:bookmarkEnd w:id="250"/>
      <w:bookmarkEnd w:id="251"/>
      <w:bookmarkEnd w:id="252"/>
      <w:bookmarkEnd w:id="253"/>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54" w:name="_Hlt527255379"/>
      <w:bookmarkStart w:id="255" w:name="_Toc472848659"/>
      <w:bookmarkStart w:id="256" w:name="_Toc472916262"/>
      <w:bookmarkStart w:id="257" w:name="_Toc27491794"/>
      <w:bookmarkStart w:id="258" w:name="_Toc92863982"/>
      <w:bookmarkStart w:id="259" w:name="_Toc170183930"/>
      <w:bookmarkStart w:id="260" w:name="_Toc170184010"/>
      <w:bookmarkStart w:id="261" w:name="_Toc389662717"/>
      <w:bookmarkStart w:id="262" w:name="_Toc389662787"/>
      <w:bookmarkEnd w:id="254"/>
      <w:r>
        <w:rPr>
          <w:rStyle w:val="CharSectno"/>
        </w:rPr>
        <w:t>20</w:t>
      </w:r>
      <w:r>
        <w:t>.</w:t>
      </w:r>
      <w:r>
        <w:tab/>
        <w:t>Commissioner’s power to exempt land</w:t>
      </w:r>
      <w:bookmarkEnd w:id="255"/>
      <w:bookmarkEnd w:id="256"/>
      <w:bookmarkEnd w:id="257"/>
      <w:bookmarkEnd w:id="258"/>
      <w:bookmarkEnd w:id="259"/>
      <w:bookmarkEnd w:id="260"/>
      <w:bookmarkEnd w:id="261"/>
      <w:bookmarkEnd w:id="262"/>
    </w:p>
    <w:p>
      <w:pPr>
        <w:pStyle w:val="Subsection"/>
      </w:pPr>
      <w:r>
        <w:tab/>
        <w:t>(1)</w:t>
      </w:r>
      <w:r>
        <w:tab/>
        <w:t xml:space="preserve">A taxpayer may apply to the Commissioner for an exemption, concession or further concession for any of the following land — </w:t>
      </w:r>
    </w:p>
    <w:p>
      <w:pPr>
        <w:pStyle w:val="Indenta"/>
      </w:pPr>
      <w:r>
        <w:tab/>
        <w:t>(a)</w:t>
      </w:r>
      <w:r>
        <w:tab/>
        <w:t xml:space="preserve">any proportion of private residential property that is used by an individual for a purpose that is not an exempt purpose, where the private residential property is exempt to some extent under section </w:t>
      </w:r>
      <w:bookmarkStart w:id="263" w:name="_Hlt530538432"/>
      <w:r>
        <w:t>21</w:t>
      </w:r>
      <w:bookmarkEnd w:id="263"/>
      <w:r>
        <w:t xml:space="preserve">, </w:t>
      </w:r>
      <w:bookmarkStart w:id="264" w:name="_Hlt527255411"/>
      <w:r>
        <w:t>22</w:t>
      </w:r>
      <w:bookmarkEnd w:id="264"/>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 xml:space="preserve">land used as holding paddocks for stock that is not exempt under section </w:t>
      </w:r>
      <w:bookmarkStart w:id="265" w:name="_Hlt527255438"/>
      <w:r>
        <w:t>29</w:t>
      </w:r>
      <w:bookmarkEnd w:id="265"/>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 xml:space="preserve">land that is subject to a concession under section </w:t>
      </w:r>
      <w:bookmarkStart w:id="266" w:name="_Hlt527255894"/>
      <w:r>
        <w:t>30</w:t>
      </w:r>
      <w:bookmarkEnd w:id="266"/>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267" w:name="_Hlt530538771"/>
      <w:r>
        <w:t>8(1)</w:t>
      </w:r>
      <w:bookmarkEnd w:id="267"/>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268" w:name="_Toc76895226"/>
      <w:bookmarkStart w:id="269" w:name="_Toc92863983"/>
      <w:bookmarkStart w:id="270" w:name="_Toc113164557"/>
      <w:bookmarkStart w:id="271" w:name="_Toc113165023"/>
      <w:bookmarkStart w:id="272" w:name="_Toc113165245"/>
      <w:bookmarkStart w:id="273" w:name="_Toc113169635"/>
      <w:bookmarkStart w:id="274" w:name="_Toc113943389"/>
      <w:bookmarkStart w:id="275" w:name="_Toc113943459"/>
      <w:bookmarkStart w:id="276" w:name="_Toc122765818"/>
      <w:bookmarkStart w:id="277" w:name="_Toc131397838"/>
      <w:bookmarkStart w:id="278" w:name="_Toc170183931"/>
      <w:bookmarkStart w:id="279" w:name="_Toc170184011"/>
      <w:bookmarkStart w:id="280" w:name="_Toc389662718"/>
      <w:bookmarkStart w:id="281" w:name="_Toc389662788"/>
      <w:r>
        <w:rPr>
          <w:rStyle w:val="CharDivNo"/>
        </w:rPr>
        <w:t>Division 2</w:t>
      </w:r>
      <w:r>
        <w:t xml:space="preserve"> — </w:t>
      </w:r>
      <w:r>
        <w:rPr>
          <w:rStyle w:val="CharDivText"/>
        </w:rPr>
        <w:t>Private residential property</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Hlt527255406"/>
      <w:bookmarkStart w:id="283" w:name="_Toc472848660"/>
      <w:bookmarkStart w:id="284" w:name="_Toc472916263"/>
      <w:bookmarkStart w:id="285" w:name="_Toc27491795"/>
      <w:bookmarkStart w:id="286" w:name="_Toc92863984"/>
      <w:bookmarkStart w:id="287" w:name="_Toc170183932"/>
      <w:bookmarkStart w:id="288" w:name="_Toc170184012"/>
      <w:bookmarkStart w:id="289" w:name="_Toc389662719"/>
      <w:bookmarkStart w:id="290" w:name="_Toc389662789"/>
      <w:bookmarkEnd w:id="282"/>
      <w:r>
        <w:rPr>
          <w:rStyle w:val="CharSectno"/>
        </w:rPr>
        <w:t>21</w:t>
      </w:r>
      <w:r>
        <w:t>.</w:t>
      </w:r>
      <w:r>
        <w:tab/>
        <w:t>Private residential property owned by individuals</w:t>
      </w:r>
      <w:bookmarkEnd w:id="283"/>
      <w:bookmarkEnd w:id="284"/>
      <w:bookmarkEnd w:id="285"/>
      <w:bookmarkEnd w:id="286"/>
      <w:bookmarkEnd w:id="287"/>
      <w:bookmarkEnd w:id="288"/>
      <w:bookmarkEnd w:id="289"/>
      <w:bookmarkEnd w:id="290"/>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291" w:name="_Hlt527255418"/>
      <w:bookmarkStart w:id="292" w:name="_Toc472848663"/>
      <w:bookmarkStart w:id="293" w:name="_Toc472916266"/>
      <w:bookmarkStart w:id="294" w:name="_Toc27491796"/>
      <w:bookmarkStart w:id="295" w:name="_Toc92863985"/>
      <w:bookmarkStart w:id="296" w:name="_Toc170183933"/>
      <w:bookmarkStart w:id="297" w:name="_Toc170184013"/>
      <w:bookmarkStart w:id="298" w:name="_Toc389662720"/>
      <w:bookmarkStart w:id="299" w:name="_Toc389662790"/>
      <w:bookmarkEnd w:id="291"/>
      <w:r>
        <w:rPr>
          <w:rStyle w:val="CharSectno"/>
        </w:rPr>
        <w:t>22</w:t>
      </w:r>
      <w:r>
        <w:t>.</w:t>
      </w:r>
      <w:r>
        <w:tab/>
        <w:t>Private residential property owned by executor or administrator</w:t>
      </w:r>
      <w:bookmarkEnd w:id="292"/>
      <w:bookmarkEnd w:id="293"/>
      <w:bookmarkEnd w:id="294"/>
      <w:bookmarkEnd w:id="295"/>
      <w:bookmarkEnd w:id="296"/>
      <w:bookmarkEnd w:id="297"/>
      <w:bookmarkEnd w:id="298"/>
      <w:bookmarkEnd w:id="299"/>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00" w:name="_Hlt527255422"/>
      <w:bookmarkStart w:id="301" w:name="_Toc472848664"/>
      <w:bookmarkStart w:id="302" w:name="_Toc472916267"/>
      <w:bookmarkStart w:id="303" w:name="_Toc27491797"/>
      <w:bookmarkStart w:id="304" w:name="_Toc92863986"/>
      <w:bookmarkStart w:id="305" w:name="_Toc170183934"/>
      <w:bookmarkStart w:id="306" w:name="_Toc170184014"/>
      <w:bookmarkStart w:id="307" w:name="_Toc389662721"/>
      <w:bookmarkStart w:id="308" w:name="_Toc389662791"/>
      <w:bookmarkEnd w:id="300"/>
      <w:r>
        <w:rPr>
          <w:rStyle w:val="CharSectno"/>
        </w:rPr>
        <w:t>23</w:t>
      </w:r>
      <w:r>
        <w:t>.</w:t>
      </w:r>
      <w:r>
        <w:tab/>
        <w:t>Continued exemption after death of resident</w:t>
      </w:r>
      <w:bookmarkEnd w:id="301"/>
      <w:bookmarkEnd w:id="302"/>
      <w:bookmarkEnd w:id="303"/>
      <w:bookmarkEnd w:id="304"/>
      <w:bookmarkEnd w:id="305"/>
      <w:bookmarkEnd w:id="306"/>
      <w:bookmarkEnd w:id="307"/>
      <w:bookmarkEnd w:id="308"/>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 xml:space="preserve">the individual’s ownership and use of the property as his or her primary residence gave rise to an exemption under section </w:t>
      </w:r>
      <w:bookmarkStart w:id="309" w:name="_Hlt527258605"/>
      <w:r>
        <w:t>21</w:t>
      </w:r>
      <w:bookmarkEnd w:id="309"/>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10" w:name="_Hlt530538719"/>
      <w:bookmarkStart w:id="311" w:name="_Toc472848665"/>
      <w:bookmarkStart w:id="312" w:name="_Toc472916268"/>
      <w:bookmarkStart w:id="313" w:name="_Toc27491798"/>
      <w:bookmarkStart w:id="314" w:name="_Toc92863987"/>
      <w:bookmarkStart w:id="315" w:name="_Toc170183935"/>
      <w:bookmarkStart w:id="316" w:name="_Toc170184015"/>
      <w:bookmarkStart w:id="317" w:name="_Toc389662722"/>
      <w:bookmarkStart w:id="318" w:name="_Toc389662792"/>
      <w:bookmarkEnd w:id="310"/>
      <w:r>
        <w:rPr>
          <w:rStyle w:val="CharSectno"/>
        </w:rPr>
        <w:t>24</w:t>
      </w:r>
      <w:r>
        <w:t>.</w:t>
      </w:r>
      <w:r>
        <w:tab/>
        <w:t>New private residences</w:t>
      </w:r>
      <w:bookmarkEnd w:id="311"/>
      <w:bookmarkEnd w:id="312"/>
      <w:bookmarkEnd w:id="313"/>
      <w:bookmarkEnd w:id="314"/>
      <w:bookmarkEnd w:id="315"/>
      <w:bookmarkEnd w:id="316"/>
      <w:bookmarkEnd w:id="317"/>
      <w:bookmarkEnd w:id="318"/>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w:t>
      </w:r>
    </w:p>
    <w:p>
      <w:pPr>
        <w:pStyle w:val="Indenta"/>
      </w:pPr>
      <w:r>
        <w:tab/>
        <w:t>(b)</w:t>
      </w:r>
      <w:r>
        <w:tab/>
        <w:t>at midnight on 30 June in the previous financial year the individual owned the land on which the private residence is constructed;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rPr>
          <w:ins w:id="319" w:author="svcMRProcess" w:date="2020-02-17T23:51:00Z"/>
        </w:rPr>
      </w:pPr>
      <w:r>
        <w:tab/>
        <w:t>(2)</w:t>
      </w:r>
      <w:r>
        <w:tab/>
        <w:t>However, the property is not exempt if</w:t>
      </w:r>
      <w:ins w:id="320" w:author="svcMRProcess" w:date="2020-02-17T23:51:00Z">
        <w:r>
          <w:t xml:space="preserve"> — </w:t>
        </w:r>
      </w:ins>
    </w:p>
    <w:p>
      <w:pPr>
        <w:pStyle w:val="Indenta"/>
        <w:rPr>
          <w:ins w:id="321" w:author="svcMRProcess" w:date="2020-02-17T23:51:00Z"/>
        </w:rPr>
      </w:pPr>
      <w:ins w:id="322" w:author="svcMRProcess" w:date="2020-02-17T23:51:00Z">
        <w:r>
          <w:tab/>
          <w:t>(a)</w:t>
        </w:r>
        <w:r>
          <w:tab/>
          <w:t>the individual or</w:t>
        </w:r>
      </w:ins>
      <w:r>
        <w:t xml:space="preserve"> any other </w:t>
      </w:r>
      <w:ins w:id="323" w:author="svcMRProcess" w:date="2020-02-17T23:51:00Z">
        <w:r>
          <w:t>person derived any income from the property in the period between the beginning of the assessment year and the time when the property was first occupied; or</w:t>
        </w:r>
      </w:ins>
    </w:p>
    <w:p>
      <w:pPr>
        <w:pStyle w:val="Indenta"/>
      </w:pPr>
      <w:ins w:id="324" w:author="svcMRProcess" w:date="2020-02-17T23:51:00Z">
        <w:r>
          <w:tab/>
          <w:t>(b)</w:t>
        </w:r>
        <w:r>
          <w:tab/>
          <w:t xml:space="preserve">any other </w:t>
        </w:r>
      </w:ins>
      <w:r>
        <w:t>private residential property owned by the</w:t>
      </w:r>
      <w:del w:id="325" w:author="svcMRProcess" w:date="2020-02-17T23:51:00Z">
        <w:r>
          <w:delText xml:space="preserve"> same</w:delText>
        </w:r>
      </w:del>
      <w:r>
        <w:t xml:space="preserv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rPr>
          <w:ins w:id="326" w:author="svcMRProcess" w:date="2020-02-17T23:51:00Z"/>
        </w:rPr>
      </w:pPr>
      <w:ins w:id="327" w:author="svcMRProcess" w:date="2020-02-17T23:51:00Z">
        <w:r>
          <w:tab/>
          <w:t>[Section 24 amended by No. 31 of 2006 s. 20.]</w:t>
        </w:r>
      </w:ins>
    </w:p>
    <w:p>
      <w:pPr>
        <w:pStyle w:val="Heading5"/>
        <w:rPr>
          <w:ins w:id="328" w:author="svcMRProcess" w:date="2020-02-17T23:51:00Z"/>
        </w:rPr>
      </w:pPr>
      <w:bookmarkStart w:id="329" w:name="_Hlt530538711"/>
      <w:bookmarkStart w:id="330" w:name="_Toc134247037"/>
      <w:bookmarkStart w:id="331" w:name="_Toc135547950"/>
      <w:bookmarkStart w:id="332" w:name="_Toc139791535"/>
      <w:bookmarkStart w:id="333" w:name="_Toc139791843"/>
      <w:bookmarkStart w:id="334" w:name="_Toc170183936"/>
      <w:bookmarkStart w:id="335" w:name="_Toc170184016"/>
      <w:bookmarkStart w:id="336" w:name="_Toc472848666"/>
      <w:bookmarkStart w:id="337" w:name="_Toc472916269"/>
      <w:bookmarkStart w:id="338" w:name="_Toc27491799"/>
      <w:bookmarkStart w:id="339" w:name="_Toc92863988"/>
      <w:bookmarkEnd w:id="329"/>
      <w:ins w:id="340" w:author="svcMRProcess" w:date="2020-02-17T23:51:00Z">
        <w:r>
          <w:rPr>
            <w:rStyle w:val="CharSectno"/>
          </w:rPr>
          <w:t>24A</w:t>
        </w:r>
        <w:r>
          <w:t>.</w:t>
        </w:r>
        <w:r>
          <w:tab/>
          <w:t>Construction of private residence — exemption for 2 assessment years</w:t>
        </w:r>
        <w:bookmarkEnd w:id="330"/>
        <w:bookmarkEnd w:id="331"/>
        <w:bookmarkEnd w:id="332"/>
        <w:bookmarkEnd w:id="333"/>
        <w:bookmarkEnd w:id="334"/>
        <w:bookmarkEnd w:id="335"/>
      </w:ins>
    </w:p>
    <w:p>
      <w:pPr>
        <w:pStyle w:val="Subsection"/>
        <w:rPr>
          <w:ins w:id="341" w:author="svcMRProcess" w:date="2020-02-17T23:51:00Z"/>
        </w:rPr>
      </w:pPr>
      <w:ins w:id="342" w:author="svcMRProcess" w:date="2020-02-17T23:51:00Z">
        <w:r>
          <w:tab/>
          <w:t>(1)</w:t>
        </w:r>
        <w:r>
          <w:tab/>
          <w:t xml:space="preserve">Private residential property (except property held in trust) that is owned by an individual is exempt for 2 consecutive assessment years if — </w:t>
        </w:r>
      </w:ins>
    </w:p>
    <w:p>
      <w:pPr>
        <w:pStyle w:val="Indenta"/>
        <w:rPr>
          <w:ins w:id="343" w:author="svcMRProcess" w:date="2020-02-17T23:51:00Z"/>
        </w:rPr>
      </w:pPr>
      <w:ins w:id="344" w:author="svcMRProcess" w:date="2020-02-17T23:51:00Z">
        <w:r>
          <w:tab/>
          <w:t>(a)</w:t>
        </w:r>
        <w:r>
          <w:tab/>
          <w:t xml:space="preserve">the commencement date for the construction of the private residence that forms part of the property is — </w:t>
        </w:r>
      </w:ins>
    </w:p>
    <w:p>
      <w:pPr>
        <w:pStyle w:val="Indenti"/>
        <w:rPr>
          <w:ins w:id="345" w:author="svcMRProcess" w:date="2020-02-17T23:51:00Z"/>
        </w:rPr>
      </w:pPr>
      <w:ins w:id="346" w:author="svcMRProcess" w:date="2020-02-17T23:51:00Z">
        <w:r>
          <w:tab/>
          <w:t>(i)</w:t>
        </w:r>
        <w:r>
          <w:tab/>
          <w:t>in the first assessment year; or</w:t>
        </w:r>
      </w:ins>
    </w:p>
    <w:p>
      <w:pPr>
        <w:pStyle w:val="Indenti"/>
        <w:rPr>
          <w:ins w:id="347" w:author="svcMRProcess" w:date="2020-02-17T23:51:00Z"/>
        </w:rPr>
      </w:pPr>
      <w:ins w:id="348" w:author="svcMRProcess" w:date="2020-02-17T23:51:00Z">
        <w:r>
          <w:tab/>
          <w:t>(ii)</w:t>
        </w:r>
        <w:r>
          <w:tab/>
          <w:t>in any previous financial year and part of the construction is carried out in the first assessment year;</w:t>
        </w:r>
      </w:ins>
    </w:p>
    <w:p>
      <w:pPr>
        <w:pStyle w:val="Indenta"/>
        <w:rPr>
          <w:ins w:id="349" w:author="svcMRProcess" w:date="2020-02-17T23:51:00Z"/>
        </w:rPr>
      </w:pPr>
      <w:ins w:id="350" w:author="svcMRProcess" w:date="2020-02-17T23:51:00Z">
        <w:r>
          <w:tab/>
        </w:r>
        <w:r>
          <w:tab/>
          <w:t>and</w:t>
        </w:r>
      </w:ins>
    </w:p>
    <w:p>
      <w:pPr>
        <w:pStyle w:val="Indenta"/>
        <w:rPr>
          <w:ins w:id="351" w:author="svcMRProcess" w:date="2020-02-17T23:51:00Z"/>
        </w:rPr>
      </w:pPr>
      <w:ins w:id="352" w:author="svcMRProcess" w:date="2020-02-17T23:51:00Z">
        <w:r>
          <w:tab/>
          <w:t>(b)</w:t>
        </w:r>
        <w:r>
          <w:tab/>
          <w:t>the completion date for the construction is in the second assessment year; and</w:t>
        </w:r>
      </w:ins>
    </w:p>
    <w:p>
      <w:pPr>
        <w:pStyle w:val="Indenta"/>
        <w:rPr>
          <w:ins w:id="353" w:author="svcMRProcess" w:date="2020-02-17T23:51:00Z"/>
        </w:rPr>
      </w:pPr>
      <w:ins w:id="354" w:author="svcMRProcess" w:date="2020-02-17T23:51:00Z">
        <w:r>
          <w:tab/>
          <w:t>(c)</w:t>
        </w:r>
        <w:r>
          <w:tab/>
          <w:t>at midnight on 30 June immediately before the first assessment year, the individual owned the land on which the private residence is constructed; and</w:t>
        </w:r>
      </w:ins>
    </w:p>
    <w:p>
      <w:pPr>
        <w:pStyle w:val="Indenta"/>
        <w:rPr>
          <w:ins w:id="355" w:author="svcMRProcess" w:date="2020-02-17T23:51:00Z"/>
        </w:rPr>
      </w:pPr>
      <w:ins w:id="356" w:author="svcMRProcess" w:date="2020-02-17T23:51:00Z">
        <w:r>
          <w:tab/>
          <w:t>(d)</w:t>
        </w:r>
        <w:r>
          <w:tab/>
          <w:t>the individual is the first occupant of the private residence; and</w:t>
        </w:r>
      </w:ins>
    </w:p>
    <w:p>
      <w:pPr>
        <w:pStyle w:val="Indenta"/>
        <w:rPr>
          <w:ins w:id="357" w:author="svcMRProcess" w:date="2020-02-17T23:51:00Z"/>
        </w:rPr>
      </w:pPr>
      <w:ins w:id="358" w:author="svcMRProcess" w:date="2020-02-17T23:51:00Z">
        <w:r>
          <w:tab/>
          <w:t>(e)</w:t>
        </w:r>
        <w:r>
          <w:tab/>
          <w:t>the individual uses the private residence as his or her primary residence during the second assessment year.</w:t>
        </w:r>
      </w:ins>
    </w:p>
    <w:p>
      <w:pPr>
        <w:pStyle w:val="Subsection"/>
        <w:rPr>
          <w:ins w:id="359" w:author="svcMRProcess" w:date="2020-02-17T23:51:00Z"/>
        </w:rPr>
      </w:pPr>
      <w:ins w:id="360" w:author="svcMRProcess" w:date="2020-02-17T23:51:00Z">
        <w:r>
          <w:tab/>
          <w:t>(2)</w:t>
        </w:r>
        <w:r>
          <w:tab/>
          <w:t xml:space="preserve">However, the property is not exempt if — </w:t>
        </w:r>
      </w:ins>
    </w:p>
    <w:p>
      <w:pPr>
        <w:pStyle w:val="Indenta"/>
        <w:rPr>
          <w:ins w:id="361" w:author="svcMRProcess" w:date="2020-02-17T23:51:00Z"/>
        </w:rPr>
      </w:pPr>
      <w:ins w:id="362" w:author="svcMRProcess" w:date="2020-02-17T23:51:00Z">
        <w:r>
          <w:tab/>
          <w:t>(a)</w:t>
        </w:r>
        <w:r>
          <w:tab/>
          <w:t xml:space="preserve">the individual or any other person derived any income from the property in the period between the beginning of the first assessment year and </w:t>
        </w:r>
        <w:r>
          <w:rPr>
            <w:spacing w:val="-4"/>
          </w:rPr>
          <w:t>the time when the property was first occupied; or</w:t>
        </w:r>
      </w:ins>
    </w:p>
    <w:p>
      <w:pPr>
        <w:pStyle w:val="Indenta"/>
        <w:rPr>
          <w:ins w:id="363" w:author="svcMRProcess" w:date="2020-02-17T23:51:00Z"/>
        </w:rPr>
      </w:pPr>
      <w:ins w:id="364" w:author="svcMRProcess" w:date="2020-02-17T23:51:00Z">
        <w:r>
          <w:tab/>
          <w:t>(b)</w:t>
        </w:r>
        <w:r>
          <w:tab/>
          <w:t>any other private residential property owned by the individual is exempt for either assessment year under another provision of this Division as a result of its use by the individual as his or her primary residence.</w:t>
        </w:r>
      </w:ins>
    </w:p>
    <w:p>
      <w:pPr>
        <w:pStyle w:val="Subsection"/>
        <w:rPr>
          <w:ins w:id="365" w:author="svcMRProcess" w:date="2020-02-17T23:51:00Z"/>
        </w:rPr>
      </w:pPr>
      <w:ins w:id="366" w:author="svcMRProcess" w:date="2020-02-17T23:51:00Z">
        <w:r>
          <w:tab/>
          <w:t>(3)</w:t>
        </w:r>
        <w:r>
          <w:tab/>
          <w:t>The individual may apply for the exemption in the approved form after the commencement date for the construction.</w:t>
        </w:r>
      </w:ins>
    </w:p>
    <w:p>
      <w:pPr>
        <w:pStyle w:val="Subsection"/>
        <w:rPr>
          <w:ins w:id="367" w:author="svcMRProcess" w:date="2020-02-17T23:51:00Z"/>
        </w:rPr>
      </w:pPr>
      <w:ins w:id="368" w:author="svcMRProcess" w:date="2020-02-17T23:51:00Z">
        <w:r>
          <w:tab/>
          <w:t>(4)</w:t>
        </w:r>
        <w:r>
          <w:tab/>
          <w:t xml:space="preserve">The individual must notify the Commissioner in the approved form of — </w:t>
        </w:r>
      </w:ins>
    </w:p>
    <w:p>
      <w:pPr>
        <w:pStyle w:val="Indenta"/>
        <w:rPr>
          <w:ins w:id="369" w:author="svcMRProcess" w:date="2020-02-17T23:51:00Z"/>
        </w:rPr>
      </w:pPr>
      <w:ins w:id="370" w:author="svcMRProcess" w:date="2020-02-17T23:51:00Z">
        <w:r>
          <w:tab/>
          <w:t>(a)</w:t>
        </w:r>
        <w:r>
          <w:tab/>
          <w:t>the completion date for the construction; and</w:t>
        </w:r>
      </w:ins>
    </w:p>
    <w:p>
      <w:pPr>
        <w:pStyle w:val="Indenta"/>
        <w:rPr>
          <w:ins w:id="371" w:author="svcMRProcess" w:date="2020-02-17T23:51:00Z"/>
        </w:rPr>
      </w:pPr>
      <w:ins w:id="372" w:author="svcMRProcess" w:date="2020-02-17T23:51:00Z">
        <w:r>
          <w:tab/>
          <w:t>(b)</w:t>
        </w:r>
        <w:r>
          <w:tab/>
          <w:t>when the individual occupies the private residence.</w:t>
        </w:r>
      </w:ins>
    </w:p>
    <w:p>
      <w:pPr>
        <w:pStyle w:val="Subsection"/>
        <w:rPr>
          <w:ins w:id="373" w:author="svcMRProcess" w:date="2020-02-17T23:51:00Z"/>
        </w:rPr>
      </w:pPr>
      <w:ins w:id="374" w:author="svcMRProcess" w:date="2020-02-17T23:51:00Z">
        <w:r>
          <w:tab/>
          <w:t>(5)</w:t>
        </w:r>
        <w:r>
          <w:tab/>
          <w:t>The Commissioner is to make any reassessment necessary to give effect to this section.</w:t>
        </w:r>
      </w:ins>
    </w:p>
    <w:p>
      <w:pPr>
        <w:pStyle w:val="Footnotesection"/>
        <w:rPr>
          <w:ins w:id="375" w:author="svcMRProcess" w:date="2020-02-17T23:51:00Z"/>
        </w:rPr>
      </w:pPr>
      <w:ins w:id="376" w:author="svcMRProcess" w:date="2020-02-17T23:51:00Z">
        <w:r>
          <w:tab/>
          <w:t>[Section 24A inserted by No. 31 of 2006 s. 21.]</w:t>
        </w:r>
      </w:ins>
    </w:p>
    <w:p>
      <w:pPr>
        <w:pStyle w:val="Heading5"/>
      </w:pPr>
      <w:bookmarkStart w:id="377" w:name="_Toc170183937"/>
      <w:bookmarkStart w:id="378" w:name="_Toc170184017"/>
      <w:bookmarkStart w:id="379" w:name="_Toc389662723"/>
      <w:bookmarkStart w:id="380" w:name="_Toc389662793"/>
      <w:r>
        <w:rPr>
          <w:rStyle w:val="CharSectno"/>
        </w:rPr>
        <w:t>25</w:t>
      </w:r>
      <w:r>
        <w:t>.</w:t>
      </w:r>
      <w:r>
        <w:tab/>
        <w:t>Exemptions during renovation of private residence</w:t>
      </w:r>
      <w:bookmarkEnd w:id="336"/>
      <w:bookmarkEnd w:id="337"/>
      <w:bookmarkEnd w:id="338"/>
      <w:bookmarkEnd w:id="339"/>
      <w:bookmarkEnd w:id="377"/>
      <w:bookmarkEnd w:id="378"/>
      <w:bookmarkEnd w:id="379"/>
      <w:bookmarkEnd w:id="380"/>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rPr>
          <w:ins w:id="381" w:author="svcMRProcess" w:date="2020-02-17T23:51:00Z"/>
        </w:rPr>
      </w:pPr>
      <w:bookmarkStart w:id="382" w:name="_Toc134247039"/>
      <w:bookmarkStart w:id="383" w:name="_Toc135547952"/>
      <w:bookmarkStart w:id="384" w:name="_Toc139791537"/>
      <w:bookmarkStart w:id="385" w:name="_Toc139791845"/>
      <w:bookmarkStart w:id="386" w:name="_Toc170183938"/>
      <w:bookmarkStart w:id="387" w:name="_Toc170184018"/>
      <w:bookmarkStart w:id="388" w:name="_Toc27491800"/>
      <w:bookmarkStart w:id="389" w:name="_Toc92863989"/>
      <w:ins w:id="390" w:author="svcMRProcess" w:date="2020-02-17T23:51:00Z">
        <w:r>
          <w:rPr>
            <w:rStyle w:val="CharSectno"/>
          </w:rPr>
          <w:t>25A</w:t>
        </w:r>
        <w:r>
          <w:t>.</w:t>
        </w:r>
        <w:r>
          <w:tab/>
          <w:t>Refurbishment of private residence — exemption for 2 assessment years</w:t>
        </w:r>
        <w:bookmarkEnd w:id="382"/>
        <w:bookmarkEnd w:id="383"/>
        <w:bookmarkEnd w:id="384"/>
        <w:bookmarkEnd w:id="385"/>
        <w:bookmarkEnd w:id="386"/>
        <w:bookmarkEnd w:id="387"/>
      </w:ins>
    </w:p>
    <w:p>
      <w:pPr>
        <w:pStyle w:val="Subsection"/>
        <w:rPr>
          <w:ins w:id="391" w:author="svcMRProcess" w:date="2020-02-17T23:51:00Z"/>
        </w:rPr>
      </w:pPr>
      <w:ins w:id="392" w:author="svcMRProcess" w:date="2020-02-17T23:51:00Z">
        <w:r>
          <w:tab/>
          <w:t>(1)</w:t>
        </w:r>
        <w:r>
          <w:tab/>
          <w:t xml:space="preserve">Private residential property (except property held in trust) that is owned by an individual is exempt for 2 consecutive assessment years if — </w:t>
        </w:r>
      </w:ins>
    </w:p>
    <w:p>
      <w:pPr>
        <w:pStyle w:val="Indenta"/>
        <w:rPr>
          <w:ins w:id="393" w:author="svcMRProcess" w:date="2020-02-17T23:51:00Z"/>
        </w:rPr>
      </w:pPr>
      <w:ins w:id="394" w:author="svcMRProcess" w:date="2020-02-17T23:51:00Z">
        <w:r>
          <w:tab/>
          <w:t>(a)</w:t>
        </w:r>
        <w:r>
          <w:tab/>
          <w:t xml:space="preserve">the commencement date for the refurbishment of the private residence that forms part of the property is — </w:t>
        </w:r>
      </w:ins>
    </w:p>
    <w:p>
      <w:pPr>
        <w:pStyle w:val="Indenti"/>
        <w:rPr>
          <w:ins w:id="395" w:author="svcMRProcess" w:date="2020-02-17T23:51:00Z"/>
        </w:rPr>
      </w:pPr>
      <w:ins w:id="396" w:author="svcMRProcess" w:date="2020-02-17T23:51:00Z">
        <w:r>
          <w:tab/>
          <w:t>(i)</w:t>
        </w:r>
        <w:r>
          <w:tab/>
          <w:t>in the first assessment year; or</w:t>
        </w:r>
      </w:ins>
    </w:p>
    <w:p>
      <w:pPr>
        <w:pStyle w:val="Indenti"/>
        <w:rPr>
          <w:ins w:id="397" w:author="svcMRProcess" w:date="2020-02-17T23:51:00Z"/>
        </w:rPr>
      </w:pPr>
      <w:ins w:id="398" w:author="svcMRProcess" w:date="2020-02-17T23:51:00Z">
        <w:r>
          <w:tab/>
          <w:t>(ii)</w:t>
        </w:r>
        <w:r>
          <w:tab/>
          <w:t>in any previous financial year and part of the refurbishment is carried out in the first assessment year;</w:t>
        </w:r>
      </w:ins>
    </w:p>
    <w:p>
      <w:pPr>
        <w:pStyle w:val="Indenta"/>
        <w:rPr>
          <w:ins w:id="399" w:author="svcMRProcess" w:date="2020-02-17T23:51:00Z"/>
        </w:rPr>
      </w:pPr>
      <w:ins w:id="400" w:author="svcMRProcess" w:date="2020-02-17T23:51:00Z">
        <w:r>
          <w:tab/>
        </w:r>
        <w:r>
          <w:tab/>
          <w:t>and</w:t>
        </w:r>
      </w:ins>
    </w:p>
    <w:p>
      <w:pPr>
        <w:pStyle w:val="Indenta"/>
        <w:rPr>
          <w:ins w:id="401" w:author="svcMRProcess" w:date="2020-02-17T23:51:00Z"/>
        </w:rPr>
      </w:pPr>
      <w:ins w:id="402" w:author="svcMRProcess" w:date="2020-02-17T23:51:00Z">
        <w:r>
          <w:tab/>
          <w:t>(b)</w:t>
        </w:r>
        <w:r>
          <w:tab/>
          <w:t>the completion date for the refurbishment is in the second assessment year; and</w:t>
        </w:r>
      </w:ins>
    </w:p>
    <w:p>
      <w:pPr>
        <w:pStyle w:val="Indenta"/>
        <w:rPr>
          <w:ins w:id="403" w:author="svcMRProcess" w:date="2020-02-17T23:51:00Z"/>
        </w:rPr>
      </w:pPr>
      <w:ins w:id="404" w:author="svcMRProcess" w:date="2020-02-17T23:51:00Z">
        <w:r>
          <w:tab/>
          <w:t>(c)</w:t>
        </w:r>
        <w:r>
          <w:tab/>
          <w:t>at midnight on 30 June immediately before the first assessment year, the private residence was unoccupied, but only because the individual had ceased occupation, or had not taken up occupation, to enable the private residence to be refurbished; and</w:t>
        </w:r>
      </w:ins>
    </w:p>
    <w:p>
      <w:pPr>
        <w:pStyle w:val="Indenta"/>
        <w:rPr>
          <w:ins w:id="405" w:author="svcMRProcess" w:date="2020-02-17T23:51:00Z"/>
        </w:rPr>
      </w:pPr>
      <w:ins w:id="406" w:author="svcMRProcess" w:date="2020-02-17T23:51:00Z">
        <w:r>
          <w:tab/>
          <w:t>(d)</w:t>
        </w:r>
        <w:r>
          <w:tab/>
          <w:t>the individual is the first occupant of the private residence since the refurbishment; and</w:t>
        </w:r>
      </w:ins>
    </w:p>
    <w:p>
      <w:pPr>
        <w:pStyle w:val="Indenta"/>
        <w:rPr>
          <w:ins w:id="407" w:author="svcMRProcess" w:date="2020-02-17T23:51:00Z"/>
        </w:rPr>
      </w:pPr>
      <w:ins w:id="408" w:author="svcMRProcess" w:date="2020-02-17T23:51:00Z">
        <w:r>
          <w:tab/>
          <w:t>(e)</w:t>
        </w:r>
        <w:r>
          <w:tab/>
          <w:t>the individual uses the private residence as his or her primary residence during the second assessment year.</w:t>
        </w:r>
      </w:ins>
    </w:p>
    <w:p>
      <w:pPr>
        <w:pStyle w:val="Subsection"/>
        <w:rPr>
          <w:ins w:id="409" w:author="svcMRProcess" w:date="2020-02-17T23:51:00Z"/>
        </w:rPr>
      </w:pPr>
      <w:ins w:id="410" w:author="svcMRProcess" w:date="2020-02-17T23:51:00Z">
        <w:r>
          <w:tab/>
          <w:t>(2)</w:t>
        </w:r>
        <w:r>
          <w:tab/>
          <w:t xml:space="preserve">However, the property is not exempt if — </w:t>
        </w:r>
      </w:ins>
    </w:p>
    <w:p>
      <w:pPr>
        <w:pStyle w:val="Indenta"/>
        <w:rPr>
          <w:ins w:id="411" w:author="svcMRProcess" w:date="2020-02-17T23:51:00Z"/>
        </w:rPr>
      </w:pPr>
      <w:ins w:id="412" w:author="svcMRProcess" w:date="2020-02-17T23:51:00Z">
        <w:r>
          <w:tab/>
          <w:t>(a)</w:t>
        </w:r>
        <w:r>
          <w:tab/>
          <w:t>the individual or any other person derived any income from the property in the period between the beginning of the first assessment year and the time when the property was reoccupied; or</w:t>
        </w:r>
      </w:ins>
    </w:p>
    <w:p>
      <w:pPr>
        <w:pStyle w:val="Indenta"/>
        <w:rPr>
          <w:ins w:id="413" w:author="svcMRProcess" w:date="2020-02-17T23:51:00Z"/>
        </w:rPr>
      </w:pPr>
      <w:ins w:id="414" w:author="svcMRProcess" w:date="2020-02-17T23:51:00Z">
        <w:r>
          <w:tab/>
          <w:t>(b)</w:t>
        </w:r>
        <w:r>
          <w:tab/>
          <w:t>any other private residential property owned by the individual is exempt for either assessment year under another provision of this Division as a result of its use by the individual as his or her primary residence.</w:t>
        </w:r>
      </w:ins>
    </w:p>
    <w:p>
      <w:pPr>
        <w:pStyle w:val="Subsection"/>
        <w:rPr>
          <w:ins w:id="415" w:author="svcMRProcess" w:date="2020-02-17T23:51:00Z"/>
        </w:rPr>
      </w:pPr>
      <w:ins w:id="416" w:author="svcMRProcess" w:date="2020-02-17T23:51:00Z">
        <w:r>
          <w:tab/>
          <w:t>(3)</w:t>
        </w:r>
        <w:r>
          <w:tab/>
          <w:t>The individual may apply for the exemption in the approved form after the commencement date for the refurbishment.</w:t>
        </w:r>
      </w:ins>
    </w:p>
    <w:p>
      <w:pPr>
        <w:pStyle w:val="Subsection"/>
        <w:rPr>
          <w:ins w:id="417" w:author="svcMRProcess" w:date="2020-02-17T23:51:00Z"/>
        </w:rPr>
      </w:pPr>
      <w:ins w:id="418" w:author="svcMRProcess" w:date="2020-02-17T23:51:00Z">
        <w:r>
          <w:tab/>
          <w:t>(4)</w:t>
        </w:r>
        <w:r>
          <w:tab/>
          <w:t xml:space="preserve">The individual must notify the Commissioner in the approved form of — </w:t>
        </w:r>
      </w:ins>
    </w:p>
    <w:p>
      <w:pPr>
        <w:pStyle w:val="Indenta"/>
        <w:rPr>
          <w:ins w:id="419" w:author="svcMRProcess" w:date="2020-02-17T23:51:00Z"/>
        </w:rPr>
      </w:pPr>
      <w:ins w:id="420" w:author="svcMRProcess" w:date="2020-02-17T23:51:00Z">
        <w:r>
          <w:tab/>
          <w:t>(a)</w:t>
        </w:r>
        <w:r>
          <w:tab/>
          <w:t>the completion date for the refurbishment; and</w:t>
        </w:r>
      </w:ins>
    </w:p>
    <w:p>
      <w:pPr>
        <w:pStyle w:val="Indenta"/>
        <w:rPr>
          <w:ins w:id="421" w:author="svcMRProcess" w:date="2020-02-17T23:51:00Z"/>
        </w:rPr>
      </w:pPr>
      <w:ins w:id="422" w:author="svcMRProcess" w:date="2020-02-17T23:51:00Z">
        <w:r>
          <w:tab/>
          <w:t>(b)</w:t>
        </w:r>
        <w:r>
          <w:tab/>
          <w:t>when the individual occupies the private residence.</w:t>
        </w:r>
      </w:ins>
    </w:p>
    <w:p>
      <w:pPr>
        <w:pStyle w:val="Subsection"/>
        <w:rPr>
          <w:ins w:id="423" w:author="svcMRProcess" w:date="2020-02-17T23:51:00Z"/>
        </w:rPr>
      </w:pPr>
      <w:ins w:id="424" w:author="svcMRProcess" w:date="2020-02-17T23:51:00Z">
        <w:r>
          <w:tab/>
          <w:t>(5)</w:t>
        </w:r>
        <w:r>
          <w:tab/>
          <w:t>The Commissioner is to make any reassessment necessary to give effect to this section.</w:t>
        </w:r>
      </w:ins>
    </w:p>
    <w:p>
      <w:pPr>
        <w:pStyle w:val="Footnotesection"/>
        <w:rPr>
          <w:ins w:id="425" w:author="svcMRProcess" w:date="2020-02-17T23:51:00Z"/>
        </w:rPr>
      </w:pPr>
      <w:ins w:id="426" w:author="svcMRProcess" w:date="2020-02-17T23:51:00Z">
        <w:r>
          <w:tab/>
          <w:t>[Section 25A inserted by No. 31 of 2006 s. 22.]</w:t>
        </w:r>
      </w:ins>
    </w:p>
    <w:p>
      <w:pPr>
        <w:pStyle w:val="Heading5"/>
      </w:pPr>
      <w:bookmarkStart w:id="427" w:name="_Toc170183939"/>
      <w:bookmarkStart w:id="428" w:name="_Toc170184019"/>
      <w:bookmarkStart w:id="429" w:name="_Toc389662724"/>
      <w:bookmarkStart w:id="430" w:name="_Toc389662794"/>
      <w:r>
        <w:rPr>
          <w:rStyle w:val="CharSectno"/>
        </w:rPr>
        <w:t>26</w:t>
      </w:r>
      <w:r>
        <w:t>.</w:t>
      </w:r>
      <w:r>
        <w:tab/>
        <w:t>Exemption for trust property used by disabled beneficiary</w:t>
      </w:r>
      <w:bookmarkEnd w:id="388"/>
      <w:bookmarkEnd w:id="389"/>
      <w:bookmarkEnd w:id="427"/>
      <w:bookmarkEnd w:id="428"/>
      <w:bookmarkEnd w:id="429"/>
      <w:bookmarkEnd w:id="430"/>
    </w:p>
    <w:p>
      <w:pPr>
        <w:pStyle w:val="Subsection"/>
        <w:spacing w:before="120"/>
      </w:pPr>
      <w:r>
        <w:tab/>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Heading5"/>
        <w:rPr>
          <w:del w:id="431" w:author="svcMRProcess" w:date="2020-02-17T23:51:00Z"/>
        </w:rPr>
      </w:pPr>
      <w:bookmarkStart w:id="432" w:name="_Toc389662725"/>
      <w:bookmarkStart w:id="433" w:name="_Toc389662795"/>
      <w:bookmarkStart w:id="434" w:name="_Toc135547967"/>
      <w:bookmarkStart w:id="435" w:name="_Toc139791552"/>
      <w:bookmarkStart w:id="436" w:name="_Toc139791860"/>
      <w:bookmarkStart w:id="437" w:name="_Toc170183940"/>
      <w:bookmarkStart w:id="438" w:name="_Toc170184020"/>
      <w:bookmarkStart w:id="439" w:name="_Toc134247041"/>
      <w:bookmarkStart w:id="440" w:name="_Toc135547954"/>
      <w:bookmarkStart w:id="441" w:name="_Toc139791539"/>
      <w:bookmarkStart w:id="442" w:name="_Toc139791847"/>
      <w:bookmarkStart w:id="443" w:name="_Toc27491802"/>
      <w:bookmarkStart w:id="444" w:name="_Toc92863991"/>
      <w:del w:id="445" w:author="svcMRProcess" w:date="2020-02-17T23:51:00Z">
        <w:r>
          <w:rPr>
            <w:rStyle w:val="CharSectno"/>
          </w:rPr>
          <w:delText>27</w:delText>
        </w:r>
        <w:r>
          <w:delText>.</w:delText>
        </w:r>
        <w:r>
          <w:tab/>
          <w:delText>Rebate if moving from one residence to another</w:delText>
        </w:r>
        <w:bookmarkEnd w:id="432"/>
        <w:bookmarkEnd w:id="433"/>
      </w:del>
    </w:p>
    <w:p>
      <w:pPr>
        <w:pStyle w:val="Heading5"/>
        <w:rPr>
          <w:ins w:id="446" w:author="svcMRProcess" w:date="2020-02-17T23:51:00Z"/>
        </w:rPr>
      </w:pPr>
      <w:ins w:id="447" w:author="svcMRProcess" w:date="2020-02-17T23:51:00Z">
        <w:r>
          <w:rPr>
            <w:rStyle w:val="CharSectno"/>
          </w:rPr>
          <w:t>26A</w:t>
        </w:r>
        <w:r>
          <w:t>.</w:t>
        </w:r>
        <w:r>
          <w:tab/>
          <w:t>Exemption for property in which disabled relative resides</w:t>
        </w:r>
        <w:bookmarkEnd w:id="434"/>
        <w:bookmarkEnd w:id="435"/>
        <w:bookmarkEnd w:id="436"/>
        <w:bookmarkEnd w:id="437"/>
        <w:bookmarkEnd w:id="438"/>
      </w:ins>
    </w:p>
    <w:p>
      <w:pPr>
        <w:pStyle w:val="Subsection"/>
        <w:rPr>
          <w:ins w:id="448" w:author="svcMRProcess" w:date="2020-02-17T23:51:00Z"/>
        </w:rPr>
      </w:pPr>
      <w:r>
        <w:tab/>
        <w:t>(1)</w:t>
      </w:r>
      <w:r>
        <w:tab/>
      </w:r>
      <w:del w:id="449" w:author="svcMRProcess" w:date="2020-02-17T23:51:00Z">
        <w:r>
          <w:delText>An owner</w:delText>
        </w:r>
      </w:del>
      <w:ins w:id="450" w:author="svcMRProcess" w:date="2020-02-17T23:51:00Z">
        <w:r>
          <w:t xml:space="preserve">In this section — </w:t>
        </w:r>
      </w:ins>
    </w:p>
    <w:p>
      <w:pPr>
        <w:pStyle w:val="Defstart"/>
        <w:rPr>
          <w:ins w:id="451" w:author="svcMRProcess" w:date="2020-02-17T23:51:00Z"/>
        </w:rPr>
      </w:pPr>
      <w:ins w:id="452" w:author="svcMRProcess" w:date="2020-02-17T23:51:00Z">
        <w:r>
          <w:rPr>
            <w:b/>
          </w:rPr>
          <w:tab/>
          <w:t>“</w:t>
        </w:r>
        <w:r>
          <w:rPr>
            <w:rStyle w:val="CharDefText"/>
          </w:rPr>
          <w:t>disabled person</w:t>
        </w:r>
        <w:r>
          <w:rPr>
            <w:b/>
          </w:rPr>
          <w:t>”</w:t>
        </w:r>
        <w:r>
          <w:t xml:space="preserve"> means a person who has a disability as defined in section 3</w:t>
        </w:r>
      </w:ins>
      <w:r>
        <w:t xml:space="preserve"> of </w:t>
      </w:r>
      <w:del w:id="453" w:author="svcMRProcess" w:date="2020-02-17T23:51:00Z">
        <w:r>
          <w:delText>private</w:delText>
        </w:r>
      </w:del>
      <w:ins w:id="454" w:author="svcMRProcess" w:date="2020-02-17T23:51:00Z">
        <w:r>
          <w:t xml:space="preserve">the </w:t>
        </w:r>
        <w:r>
          <w:rPr>
            <w:i/>
            <w:iCs/>
          </w:rPr>
          <w:t>Disability Services Act 1993</w:t>
        </w:r>
        <w:r>
          <w:t xml:space="preserve"> and has been independently assessed by an appropriate assessor as requiring full</w:t>
        </w:r>
        <w:r>
          <w:noBreakHyphen/>
          <w:t>time care.</w:t>
        </w:r>
      </w:ins>
    </w:p>
    <w:p>
      <w:pPr>
        <w:pStyle w:val="Subsection"/>
      </w:pPr>
      <w:ins w:id="455" w:author="svcMRProcess" w:date="2020-02-17T23:51:00Z">
        <w:r>
          <w:tab/>
          <w:t>(2)</w:t>
        </w:r>
        <w:r>
          <w:tab/>
          <w:t>Private</w:t>
        </w:r>
      </w:ins>
      <w:r>
        <w:t xml:space="preserve"> residential property is </w:t>
      </w:r>
      <w:del w:id="456" w:author="svcMRProcess" w:date="2020-02-17T23:51:00Z">
        <w:r>
          <w:delText>entitled to a rebate of land tax</w:delText>
        </w:r>
      </w:del>
      <w:ins w:id="457" w:author="svcMRProcess" w:date="2020-02-17T23:51:00Z">
        <w:r>
          <w:t>exempt</w:t>
        </w:r>
      </w:ins>
      <w:r>
        <w:t xml:space="preserve"> for an assessment year if —</w:t>
      </w:r>
      <w:ins w:id="458" w:author="svcMRProcess" w:date="2020-02-17T23:51:00Z">
        <w:r>
          <w:t xml:space="preserve"> </w:t>
        </w:r>
      </w:ins>
    </w:p>
    <w:p>
      <w:pPr>
        <w:pStyle w:val="Indenta"/>
        <w:rPr>
          <w:del w:id="459" w:author="svcMRProcess" w:date="2020-02-17T23:51:00Z"/>
        </w:rPr>
      </w:pPr>
      <w:del w:id="460" w:author="svcMRProcess" w:date="2020-02-17T23:51:00Z">
        <w:r>
          <w:tab/>
          <w:delText>(a)</w:delText>
        </w:r>
        <w:r>
          <w:tab/>
          <w:delText xml:space="preserve">the property is exempt from land tax for the assessment year as </w:delText>
        </w:r>
      </w:del>
      <w:ins w:id="461" w:author="svcMRProcess" w:date="2020-02-17T23:51:00Z">
        <w:r>
          <w:tab/>
          <w:t>(</w:t>
        </w:r>
      </w:ins>
      <w:r>
        <w:t>a</w:t>
      </w:r>
      <w:del w:id="462" w:author="svcMRProcess" w:date="2020-02-17T23:51:00Z">
        <w:r>
          <w:delText xml:space="preserve"> result of its use by an individual at midnight on 30 June in the previous financial year as his or her primary residence;</w:delText>
        </w:r>
      </w:del>
    </w:p>
    <w:p>
      <w:pPr>
        <w:pStyle w:val="Indenta"/>
      </w:pPr>
      <w:del w:id="463" w:author="svcMRProcess" w:date="2020-02-17T23:51:00Z">
        <w:r>
          <w:tab/>
          <w:delText>(b)</w:delText>
        </w:r>
        <w:r>
          <w:tab/>
          <w:delText xml:space="preserve">at midnight on 30 </w:delText>
        </w:r>
      </w:del>
      <w:ins w:id="464" w:author="svcMRProcess" w:date="2020-02-17T23:51:00Z">
        <w:r>
          <w:t>)</w:t>
        </w:r>
        <w:r>
          <w:tab/>
          <w:t>at midnight on 30 </w:t>
        </w:r>
      </w:ins>
      <w:r>
        <w:t>June in the financial year before the assessment year</w:t>
      </w:r>
      <w:del w:id="465" w:author="svcMRProcess" w:date="2020-02-17T23:51:00Z">
        <w:r>
          <w:delText xml:space="preserve"> the owner also owned a second private residential property that would have been exempt or eligible for exemption under this Division for the assessment year if the individual had used the second property instead of the exempt property as his or her primary residence;</w:delText>
        </w:r>
      </w:del>
      <w:ins w:id="466" w:author="svcMRProcess" w:date="2020-02-17T23:51:00Z">
        <w:r>
          <w:t xml:space="preserve"> — </w:t>
        </w:r>
      </w:ins>
    </w:p>
    <w:p>
      <w:pPr>
        <w:pStyle w:val="Indenta"/>
        <w:rPr>
          <w:del w:id="467" w:author="svcMRProcess" w:date="2020-02-17T23:51:00Z"/>
        </w:rPr>
      </w:pPr>
      <w:del w:id="468" w:author="svcMRProcess" w:date="2020-02-17T23:51:00Z">
        <w:r>
          <w:tab/>
          <w:delText>(c)</w:delText>
        </w:r>
        <w:r>
          <w:tab/>
          <w:delText>the owner became the owner of either the exempt property or the second property during the financial year before the assessment year;</w:delText>
        </w:r>
      </w:del>
    </w:p>
    <w:p>
      <w:pPr>
        <w:pStyle w:val="Indenti"/>
        <w:rPr>
          <w:ins w:id="469" w:author="svcMRProcess" w:date="2020-02-17T23:51:00Z"/>
        </w:rPr>
      </w:pPr>
      <w:del w:id="470" w:author="svcMRProcess" w:date="2020-02-17T23:51:00Z">
        <w:r>
          <w:tab/>
          <w:delText>(d)</w:delText>
        </w:r>
        <w:r>
          <w:tab/>
          <w:delText>the same individual used the second</w:delText>
        </w:r>
      </w:del>
      <w:ins w:id="471" w:author="svcMRProcess" w:date="2020-02-17T23:51:00Z">
        <w:r>
          <w:tab/>
          <w:t>(i)</w:t>
        </w:r>
        <w:r>
          <w:tab/>
          <w:t>a disabled person uses the</w:t>
        </w:r>
      </w:ins>
      <w:r>
        <w:t xml:space="preserve"> property as his or her primary residence</w:t>
      </w:r>
      <w:del w:id="472" w:author="svcMRProcess" w:date="2020-02-17T23:51:00Z">
        <w:r>
          <w:delText xml:space="preserve"> either</w:delText>
        </w:r>
      </w:del>
      <w:ins w:id="473" w:author="svcMRProcess" w:date="2020-02-17T23:51:00Z">
        <w:r>
          <w:t>; and</w:t>
        </w:r>
      </w:ins>
    </w:p>
    <w:p>
      <w:pPr>
        <w:pStyle w:val="Indenti"/>
        <w:rPr>
          <w:ins w:id="474" w:author="svcMRProcess" w:date="2020-02-17T23:51:00Z"/>
        </w:rPr>
      </w:pPr>
      <w:ins w:id="475" w:author="svcMRProcess" w:date="2020-02-17T23:51:00Z">
        <w:r>
          <w:tab/>
          <w:t>(ii)</w:t>
        </w:r>
        <w:r>
          <w:tab/>
          <w:t>it is owned by one or more individuals, at least one of whom is related to the disabled person;</w:t>
        </w:r>
      </w:ins>
    </w:p>
    <w:p>
      <w:pPr>
        <w:pStyle w:val="Indenta"/>
        <w:rPr>
          <w:ins w:id="476" w:author="svcMRProcess" w:date="2020-02-17T23:51:00Z"/>
        </w:rPr>
      </w:pPr>
      <w:ins w:id="477" w:author="svcMRProcess" w:date="2020-02-17T23:51:00Z">
        <w:r>
          <w:tab/>
        </w:r>
        <w:r>
          <w:tab/>
          <w:t>and</w:t>
        </w:r>
      </w:ins>
    </w:p>
    <w:p>
      <w:pPr>
        <w:pStyle w:val="Indenta"/>
        <w:rPr>
          <w:ins w:id="478" w:author="svcMRProcess" w:date="2020-02-17T23:51:00Z"/>
        </w:rPr>
      </w:pPr>
      <w:ins w:id="479" w:author="svcMRProcess" w:date="2020-02-17T23:51:00Z">
        <w:r>
          <w:tab/>
          <w:t>(b)</w:t>
        </w:r>
        <w:r>
          <w:tab/>
          <w:t>no rent or other income is derived from the property by anyone</w:t>
        </w:r>
      </w:ins>
      <w:r>
        <w:t xml:space="preserve"> in the </w:t>
      </w:r>
      <w:del w:id="480" w:author="svcMRProcess" w:date="2020-02-17T23:51:00Z">
        <w:r>
          <w:delText>financial</w:delText>
        </w:r>
      </w:del>
      <w:ins w:id="481" w:author="svcMRProcess" w:date="2020-02-17T23:51:00Z">
        <w:r>
          <w:t>assessment</w:t>
        </w:r>
      </w:ins>
      <w:r>
        <w:t xml:space="preserve"> year</w:t>
      </w:r>
      <w:del w:id="482" w:author="svcMRProcess" w:date="2020-02-17T23:51:00Z">
        <w:r>
          <w:delText xml:space="preserve"> before the </w:delText>
        </w:r>
      </w:del>
      <w:ins w:id="483" w:author="svcMRProcess" w:date="2020-02-17T23:51:00Z">
        <w:r>
          <w:t>.</w:t>
        </w:r>
      </w:ins>
    </w:p>
    <w:p>
      <w:pPr>
        <w:pStyle w:val="Subsection"/>
        <w:rPr>
          <w:ins w:id="484" w:author="svcMRProcess" w:date="2020-02-17T23:51:00Z"/>
        </w:rPr>
      </w:pPr>
      <w:ins w:id="485" w:author="svcMRProcess" w:date="2020-02-17T23:51:00Z">
        <w:r>
          <w:tab/>
          <w:t>(3)</w:t>
        </w:r>
        <w:r>
          <w:tab/>
          <w:t xml:space="preserve">For the purposes of subsection (2)(a)(ii) — </w:t>
        </w:r>
      </w:ins>
    </w:p>
    <w:p>
      <w:pPr>
        <w:pStyle w:val="Indenta"/>
        <w:rPr>
          <w:ins w:id="486" w:author="svcMRProcess" w:date="2020-02-17T23:51:00Z"/>
        </w:rPr>
      </w:pPr>
      <w:ins w:id="487" w:author="svcMRProcess" w:date="2020-02-17T23:51:00Z">
        <w:r>
          <w:tab/>
          <w:t>(a)</w:t>
        </w:r>
        <w:r>
          <w:tab/>
          <w:t xml:space="preserve">the following persons are related to a disabled person — </w:t>
        </w:r>
      </w:ins>
    </w:p>
    <w:p>
      <w:pPr>
        <w:pStyle w:val="Indenti"/>
        <w:rPr>
          <w:ins w:id="488" w:author="svcMRProcess" w:date="2020-02-17T23:51:00Z"/>
        </w:rPr>
      </w:pPr>
      <w:ins w:id="489" w:author="svcMRProcess" w:date="2020-02-17T23:51:00Z">
        <w:r>
          <w:tab/>
          <w:t>(i)</w:t>
        </w:r>
        <w:r>
          <w:tab/>
          <w:t>a parent or grandparent of the disabled person;</w:t>
        </w:r>
      </w:ins>
    </w:p>
    <w:p>
      <w:pPr>
        <w:pStyle w:val="Indenti"/>
        <w:rPr>
          <w:ins w:id="490" w:author="svcMRProcess" w:date="2020-02-17T23:51:00Z"/>
        </w:rPr>
      </w:pPr>
      <w:ins w:id="491" w:author="svcMRProcess" w:date="2020-02-17T23:51:00Z">
        <w:r>
          <w:tab/>
          <w:t>(ii)</w:t>
        </w:r>
        <w:r>
          <w:tab/>
          <w:t>a brother or sister of the disabled person;</w:t>
        </w:r>
      </w:ins>
    </w:p>
    <w:p>
      <w:pPr>
        <w:pStyle w:val="Indenta"/>
        <w:rPr>
          <w:ins w:id="492" w:author="svcMRProcess" w:date="2020-02-17T23:51:00Z"/>
        </w:rPr>
      </w:pPr>
      <w:ins w:id="493" w:author="svcMRProcess" w:date="2020-02-17T23:51:00Z">
        <w:r>
          <w:tab/>
        </w:r>
        <w:r>
          <w:tab/>
          <w:t>and</w:t>
        </w:r>
      </w:ins>
    </w:p>
    <w:p>
      <w:pPr>
        <w:pStyle w:val="Indenta"/>
        <w:rPr>
          <w:ins w:id="494" w:author="svcMRProcess" w:date="2020-02-17T23:51:00Z"/>
        </w:rPr>
      </w:pPr>
      <w:ins w:id="495" w:author="svcMRProcess" w:date="2020-02-17T23:51:00Z">
        <w:r>
          <w:tab/>
          <w:t>(b)</w:t>
        </w:r>
        <w:r>
          <w:tab/>
          <w:t>an illegitimate person is to be treated as the legitimate child of that person’s parents; and</w:t>
        </w:r>
      </w:ins>
    </w:p>
    <w:p>
      <w:pPr>
        <w:pStyle w:val="Indenta"/>
        <w:rPr>
          <w:ins w:id="496" w:author="svcMRProcess" w:date="2020-02-17T23:51:00Z"/>
        </w:rPr>
      </w:pPr>
      <w:ins w:id="497" w:author="svcMRProcess" w:date="2020-02-17T23:51:00Z">
        <w:r>
          <w:tab/>
          <w:t>(c)</w:t>
        </w:r>
        <w:r>
          <w:tab/>
          <w:t>it is irrelevant whether a relationship is of the whole or half</w:t>
        </w:r>
        <w:r>
          <w:noBreakHyphen/>
          <w:t>blood, or whether it is a natural relationship or a relationship established under a written law.</w:t>
        </w:r>
      </w:ins>
    </w:p>
    <w:p>
      <w:pPr>
        <w:pStyle w:val="Subsection"/>
        <w:rPr>
          <w:ins w:id="498" w:author="svcMRProcess" w:date="2020-02-17T23:51:00Z"/>
        </w:rPr>
      </w:pPr>
      <w:ins w:id="499" w:author="svcMRProcess" w:date="2020-02-17T23:51:00Z">
        <w:r>
          <w:tab/>
          <w:t>(4)</w:t>
        </w:r>
        <w:r>
          <w:tab/>
          <w:t xml:space="preserve">The exemption may be allowed in advance if the owner of the property advises the Commissioner that no rent or other income is expected to be derived from the property by anyone in any </w:t>
        </w:r>
      </w:ins>
      <w:r>
        <w:t>assessment year</w:t>
      </w:r>
      <w:del w:id="500" w:author="svcMRProcess" w:date="2020-02-17T23:51:00Z">
        <w:r>
          <w:delText xml:space="preserve"> (before using</w:delText>
        </w:r>
      </w:del>
      <w:ins w:id="501" w:author="svcMRProcess" w:date="2020-02-17T23:51:00Z">
        <w:r>
          <w:t>.</w:t>
        </w:r>
      </w:ins>
    </w:p>
    <w:p>
      <w:pPr>
        <w:pStyle w:val="Subsection"/>
      </w:pPr>
      <w:ins w:id="502" w:author="svcMRProcess" w:date="2020-02-17T23:51:00Z">
        <w:r>
          <w:tab/>
          <w:t>(5)</w:t>
        </w:r>
        <w:r>
          <w:tab/>
          <w:t>If any rent or other income is derived from</w:t>
        </w:r>
      </w:ins>
      <w:r>
        <w:t xml:space="preserve"> the </w:t>
      </w:r>
      <w:del w:id="503" w:author="svcMRProcess" w:date="2020-02-17T23:51:00Z">
        <w:r>
          <w:delText xml:space="preserve">exempt </w:delText>
        </w:r>
      </w:del>
      <w:r>
        <w:t xml:space="preserve">property </w:t>
      </w:r>
      <w:del w:id="504" w:author="svcMRProcess" w:date="2020-02-17T23:51:00Z">
        <w:r>
          <w:delText xml:space="preserve">for that purpose), or </w:delText>
        </w:r>
      </w:del>
      <w:ins w:id="505" w:author="svcMRProcess" w:date="2020-02-17T23:51:00Z">
        <w:r>
          <w:t xml:space="preserve">by anyone </w:t>
        </w:r>
      </w:ins>
      <w:r>
        <w:t xml:space="preserve">in </w:t>
      </w:r>
      <w:del w:id="506" w:author="svcMRProcess" w:date="2020-02-17T23:51:00Z">
        <w:r>
          <w:delText>the</w:delText>
        </w:r>
      </w:del>
      <w:ins w:id="507" w:author="svcMRProcess" w:date="2020-02-17T23:51:00Z">
        <w:r>
          <w:t>an</w:t>
        </w:r>
      </w:ins>
      <w:r>
        <w:t xml:space="preserve"> assessment year</w:t>
      </w:r>
      <w:del w:id="508" w:author="svcMRProcess" w:date="2020-02-17T23:51:00Z">
        <w:r>
          <w:delText xml:space="preserve"> (after using</w:delText>
        </w:r>
      </w:del>
      <w:ins w:id="509" w:author="svcMRProcess" w:date="2020-02-17T23:51:00Z">
        <w:r>
          <w:t>,</w:t>
        </w:r>
      </w:ins>
      <w:r>
        <w:t xml:space="preserve"> the </w:t>
      </w:r>
      <w:del w:id="510" w:author="svcMRProcess" w:date="2020-02-17T23:51:00Z">
        <w:r>
          <w:delText>exempt</w:delText>
        </w:r>
      </w:del>
      <w:ins w:id="511" w:author="svcMRProcess" w:date="2020-02-17T23:51:00Z">
        <w:r>
          <w:t>owner of the</w:t>
        </w:r>
      </w:ins>
      <w:r>
        <w:t xml:space="preserve"> property </w:t>
      </w:r>
      <w:del w:id="512" w:author="svcMRProcess" w:date="2020-02-17T23:51:00Z">
        <w:r>
          <w:delText>for that purpose);</w:delText>
        </w:r>
      </w:del>
      <w:ins w:id="513" w:author="svcMRProcess" w:date="2020-02-17T23:51:00Z">
        <w:r>
          <w:t xml:space="preserve">must — </w:t>
        </w:r>
      </w:ins>
    </w:p>
    <w:p>
      <w:pPr>
        <w:pStyle w:val="Indenta"/>
        <w:rPr>
          <w:del w:id="514" w:author="svcMRProcess" w:date="2020-02-17T23:51:00Z"/>
        </w:rPr>
      </w:pPr>
      <w:del w:id="515" w:author="svcMRProcess" w:date="2020-02-17T23:51:00Z">
        <w:r>
          <w:tab/>
          <w:delText>(e)</w:delText>
        </w:r>
        <w:r>
          <w:tab/>
          <w:delText>during the assessment year the owner sold or otherwise disposed of whichever of the 2 private residential properties the owner had first acquired, and delivered possession to the new owner in that year; and</w:delText>
        </w:r>
      </w:del>
    </w:p>
    <w:p>
      <w:pPr>
        <w:pStyle w:val="Indenta"/>
        <w:rPr>
          <w:del w:id="516" w:author="svcMRProcess" w:date="2020-02-17T23:51:00Z"/>
        </w:rPr>
      </w:pPr>
      <w:del w:id="517" w:author="svcMRProcess" w:date="2020-02-17T23:51:00Z">
        <w:r>
          <w:tab/>
          <w:delText>(f)</w:delText>
        </w:r>
        <w:r>
          <w:tab/>
          <w:delText>while the owner owned both properties, nobody derived any income from whichever property was not being used as the primary residence of the individual.</w:delText>
        </w:r>
      </w:del>
    </w:p>
    <w:p>
      <w:pPr>
        <w:pStyle w:val="Subsection"/>
        <w:rPr>
          <w:del w:id="518" w:author="svcMRProcess" w:date="2020-02-17T23:51:00Z"/>
        </w:rPr>
      </w:pPr>
      <w:del w:id="519" w:author="svcMRProcess" w:date="2020-02-17T23:51:00Z">
        <w:r>
          <w:tab/>
          <w:delText>(2)</w:delText>
        </w:r>
        <w:r>
          <w:tab/>
          <w:delText>The owner may apply for the rebate, in the approved form —</w:delText>
        </w:r>
      </w:del>
    </w:p>
    <w:p>
      <w:pPr>
        <w:pStyle w:val="Indenta"/>
        <w:rPr>
          <w:del w:id="520" w:author="svcMRProcess" w:date="2020-02-17T23:51:00Z"/>
        </w:rPr>
      </w:pPr>
      <w:del w:id="521" w:author="svcMRProcess" w:date="2020-02-17T23:51:00Z">
        <w:r>
          <w:tab/>
          <w:delText>(a)</w:delText>
        </w:r>
        <w:r>
          <w:tab/>
          <w:delText>after the sale or other disposition and delivery of possession of the first</w:delText>
        </w:r>
        <w:r>
          <w:noBreakHyphen/>
          <w:delText>acquired property; and</w:delText>
        </w:r>
      </w:del>
    </w:p>
    <w:p>
      <w:pPr>
        <w:pStyle w:val="Indenta"/>
        <w:rPr>
          <w:ins w:id="522" w:author="svcMRProcess" w:date="2020-02-17T23:51:00Z"/>
        </w:rPr>
      </w:pPr>
      <w:del w:id="523" w:author="svcMRProcess" w:date="2020-02-17T23:51:00Z">
        <w:r>
          <w:tab/>
          <w:delText>(b)</w:delText>
        </w:r>
        <w:r>
          <w:tab/>
          <w:delText>not later than</w:delText>
        </w:r>
      </w:del>
      <w:ins w:id="524" w:author="svcMRProcess" w:date="2020-02-17T23:51:00Z">
        <w:r>
          <w:tab/>
          <w:t>(a)</w:t>
        </w:r>
        <w:r>
          <w:tab/>
          <w:t>notify the Commissioner to that effect within</w:t>
        </w:r>
      </w:ins>
      <w:r>
        <w:t xml:space="preserve"> 3 months after the end of the assessment year</w:t>
      </w:r>
      <w:del w:id="525" w:author="svcMRProcess" w:date="2020-02-17T23:51:00Z">
        <w:r>
          <w:delText xml:space="preserve">, or </w:delText>
        </w:r>
      </w:del>
      <w:ins w:id="526" w:author="svcMRProcess" w:date="2020-02-17T23:51:00Z">
        <w:r>
          <w:t>; and</w:t>
        </w:r>
      </w:ins>
    </w:p>
    <w:p>
      <w:pPr>
        <w:pStyle w:val="Indenta"/>
        <w:rPr>
          <w:ins w:id="527" w:author="svcMRProcess" w:date="2020-02-17T23:51:00Z"/>
        </w:rPr>
      </w:pPr>
      <w:ins w:id="528" w:author="svcMRProcess" w:date="2020-02-17T23:51:00Z">
        <w:r>
          <w:tab/>
          <w:t>(b)</w:t>
        </w:r>
        <w:r>
          <w:tab/>
          <w:t>give the Commissioner any particulars needed to make a reassessment.</w:t>
        </w:r>
      </w:ins>
    </w:p>
    <w:p>
      <w:pPr>
        <w:pStyle w:val="Penstart"/>
        <w:rPr>
          <w:ins w:id="529" w:author="svcMRProcess" w:date="2020-02-17T23:51:00Z"/>
        </w:rPr>
      </w:pPr>
      <w:ins w:id="530" w:author="svcMRProcess" w:date="2020-02-17T23:51:00Z">
        <w:r>
          <w:tab/>
          <w:t>Penalty: $5 000.</w:t>
        </w:r>
      </w:ins>
    </w:p>
    <w:p>
      <w:pPr>
        <w:pStyle w:val="Subsection"/>
        <w:rPr>
          <w:ins w:id="531" w:author="svcMRProcess" w:date="2020-02-17T23:51:00Z"/>
        </w:rPr>
      </w:pPr>
      <w:ins w:id="532" w:author="svcMRProcess" w:date="2020-02-17T23:51:00Z">
        <w:r>
          <w:tab/>
          <w:t>(6)</w:t>
        </w:r>
        <w:r>
          <w:tab/>
          <w:t>If the Commissioner is notified, or otherwise becomes aware, that rent or income has been derived from the property in the assessment year, the Commissioner is to make a reassessment accordingly.</w:t>
        </w:r>
      </w:ins>
    </w:p>
    <w:p>
      <w:pPr>
        <w:pStyle w:val="Subsection"/>
        <w:rPr>
          <w:ins w:id="533" w:author="svcMRProcess" w:date="2020-02-17T23:51:00Z"/>
        </w:rPr>
      </w:pPr>
      <w:ins w:id="534" w:author="svcMRProcess" w:date="2020-02-17T23:51:00Z">
        <w:r>
          <w:tab/>
          <w:t>(7)</w:t>
        </w:r>
        <w:r>
          <w:tab/>
          <w:t xml:space="preserve">If — </w:t>
        </w:r>
      </w:ins>
    </w:p>
    <w:p>
      <w:pPr>
        <w:pStyle w:val="Indenta"/>
        <w:rPr>
          <w:ins w:id="535" w:author="svcMRProcess" w:date="2020-02-17T23:51:00Z"/>
        </w:rPr>
      </w:pPr>
      <w:ins w:id="536" w:author="svcMRProcess" w:date="2020-02-17T23:51:00Z">
        <w:r>
          <w:tab/>
          <w:t>(a)</w:t>
        </w:r>
        <w:r>
          <w:tab/>
          <w:t>land was exempt under this section on 30 June in the financial year before the year referred to in paragraph (b); and</w:t>
        </w:r>
      </w:ins>
    </w:p>
    <w:p>
      <w:pPr>
        <w:pStyle w:val="Indenta"/>
        <w:rPr>
          <w:ins w:id="537" w:author="svcMRProcess" w:date="2020-02-17T23:51:00Z"/>
        </w:rPr>
      </w:pPr>
      <w:ins w:id="538" w:author="svcMRProcess" w:date="2020-02-17T23:51:00Z">
        <w:r>
          <w:tab/>
          <w:t>(b)</w:t>
        </w:r>
        <w:r>
          <w:tab/>
          <w:t>on 30 June in the financial year before the assessment year there is not at least one disabled person related to an owner using the property as his or her primary residence,</w:t>
        </w:r>
      </w:ins>
    </w:p>
    <w:p>
      <w:pPr>
        <w:pStyle w:val="Subsection"/>
      </w:pPr>
      <w:ins w:id="539" w:author="svcMRProcess" w:date="2020-02-17T23:51:00Z">
        <w:r>
          <w:tab/>
        </w:r>
        <w:r>
          <w:tab/>
          <w:t xml:space="preserve">the owner must notify the Commissioner to that effect within </w:t>
        </w:r>
      </w:ins>
      <w:r>
        <w:t xml:space="preserve">3 months after </w:t>
      </w:r>
      <w:ins w:id="540" w:author="svcMRProcess" w:date="2020-02-17T23:51:00Z">
        <w:r>
          <w:t xml:space="preserve">30 June in </w:t>
        </w:r>
      </w:ins>
      <w:r>
        <w:t xml:space="preserve">the </w:t>
      </w:r>
      <w:del w:id="541" w:author="svcMRProcess" w:date="2020-02-17T23:51:00Z">
        <w:r>
          <w:delText>issue of</w:delText>
        </w:r>
      </w:del>
      <w:ins w:id="542" w:author="svcMRProcess" w:date="2020-02-17T23:51:00Z">
        <w:r>
          <w:t>financial year before</w:t>
        </w:r>
      </w:ins>
      <w:r>
        <w:t xml:space="preserve"> the assessment </w:t>
      </w:r>
      <w:del w:id="543" w:author="svcMRProcess" w:date="2020-02-17T23:51:00Z">
        <w:r>
          <w:delText>notice, whichever is later</w:delText>
        </w:r>
      </w:del>
      <w:ins w:id="544" w:author="svcMRProcess" w:date="2020-02-17T23:51:00Z">
        <w:r>
          <w:t>year</w:t>
        </w:r>
      </w:ins>
      <w:r>
        <w:t>.</w:t>
      </w:r>
    </w:p>
    <w:p>
      <w:pPr>
        <w:pStyle w:val="Penstart"/>
        <w:rPr>
          <w:ins w:id="545" w:author="svcMRProcess" w:date="2020-02-17T23:51:00Z"/>
        </w:rPr>
      </w:pPr>
      <w:r>
        <w:tab/>
      </w:r>
      <w:del w:id="546" w:author="svcMRProcess" w:date="2020-02-17T23:51:00Z">
        <w:r>
          <w:delText>(3)</w:delText>
        </w:r>
        <w:r>
          <w:tab/>
          <w:delText>The amount</w:delText>
        </w:r>
      </w:del>
      <w:ins w:id="547" w:author="svcMRProcess" w:date="2020-02-17T23:51:00Z">
        <w:r>
          <w:t>Penalty: $5 000.</w:t>
        </w:r>
      </w:ins>
    </w:p>
    <w:p>
      <w:pPr>
        <w:pStyle w:val="Footnotesection"/>
        <w:rPr>
          <w:ins w:id="548" w:author="svcMRProcess" w:date="2020-02-17T23:51:00Z"/>
        </w:rPr>
      </w:pPr>
      <w:ins w:id="549" w:author="svcMRProcess" w:date="2020-02-17T23:51:00Z">
        <w:r>
          <w:tab/>
          <w:t>[Section 26A inserted by No. 31</w:t>
        </w:r>
      </w:ins>
      <w:r>
        <w:t xml:space="preserve"> of </w:t>
      </w:r>
      <w:del w:id="550" w:author="svcMRProcess" w:date="2020-02-17T23:51:00Z">
        <w:r>
          <w:delText>the rebate is the amount by which the liability of the owner would have been reduced if the second</w:delText>
        </w:r>
      </w:del>
      <w:ins w:id="551" w:author="svcMRProcess" w:date="2020-02-17T23:51:00Z">
        <w:r>
          <w:t>2006 s. 29.]</w:t>
        </w:r>
      </w:ins>
    </w:p>
    <w:p>
      <w:pPr>
        <w:pStyle w:val="Heading5"/>
        <w:rPr>
          <w:ins w:id="552" w:author="svcMRProcess" w:date="2020-02-17T23:51:00Z"/>
        </w:rPr>
      </w:pPr>
      <w:bookmarkStart w:id="553" w:name="_Toc170183941"/>
      <w:bookmarkStart w:id="554" w:name="_Toc170184021"/>
      <w:ins w:id="555" w:author="svcMRProcess" w:date="2020-02-17T23:51:00Z">
        <w:r>
          <w:rPr>
            <w:rStyle w:val="CharSectno"/>
          </w:rPr>
          <w:t>27</w:t>
        </w:r>
        <w:r>
          <w:t>.</w:t>
        </w:r>
        <w:r>
          <w:tab/>
          <w:t>Moving between 2</w:t>
        </w:r>
      </w:ins>
      <w:r>
        <w:t xml:space="preserve"> private </w:t>
      </w:r>
      <w:ins w:id="556" w:author="svcMRProcess" w:date="2020-02-17T23:51:00Z">
        <w:r>
          <w:t>residences</w:t>
        </w:r>
        <w:bookmarkEnd w:id="439"/>
        <w:bookmarkEnd w:id="440"/>
        <w:bookmarkEnd w:id="441"/>
        <w:bookmarkEnd w:id="442"/>
        <w:bookmarkEnd w:id="553"/>
        <w:bookmarkEnd w:id="554"/>
      </w:ins>
    </w:p>
    <w:p>
      <w:pPr>
        <w:pStyle w:val="Subsection"/>
        <w:rPr>
          <w:ins w:id="557" w:author="svcMRProcess" w:date="2020-02-17T23:51:00Z"/>
        </w:rPr>
      </w:pPr>
      <w:ins w:id="558" w:author="svcMRProcess" w:date="2020-02-17T23:51:00Z">
        <w:r>
          <w:tab/>
          <w:t>(1)</w:t>
        </w:r>
        <w:r>
          <w:tab/>
          <w:t xml:space="preserve">Private </w:t>
        </w:r>
      </w:ins>
      <w:r>
        <w:t xml:space="preserve">residential property </w:t>
      </w:r>
      <w:del w:id="559" w:author="svcMRProcess" w:date="2020-02-17T23:51:00Z">
        <w:r>
          <w:delText>had been</w:delText>
        </w:r>
      </w:del>
      <w:ins w:id="560" w:author="svcMRProcess" w:date="2020-02-17T23:51:00Z">
        <w:r>
          <w:t>(</w:t>
        </w:r>
        <w:r>
          <w:rPr>
            <w:b/>
          </w:rPr>
          <w:t>“</w:t>
        </w:r>
        <w:r>
          <w:rPr>
            <w:rStyle w:val="CharDefText"/>
          </w:rPr>
          <w:t>property A</w:t>
        </w:r>
        <w:r>
          <w:rPr>
            <w:b/>
          </w:rPr>
          <w:t>”</w:t>
        </w:r>
        <w:r>
          <w:t xml:space="preserve">) is exempt for an assessment year if — </w:t>
        </w:r>
      </w:ins>
    </w:p>
    <w:p>
      <w:pPr>
        <w:pStyle w:val="Indenta"/>
        <w:rPr>
          <w:ins w:id="561" w:author="svcMRProcess" w:date="2020-02-17T23:51:00Z"/>
        </w:rPr>
      </w:pPr>
      <w:ins w:id="562" w:author="svcMRProcess" w:date="2020-02-17T23:51:00Z">
        <w:r>
          <w:tab/>
          <w:t>(a)</w:t>
        </w:r>
        <w:r>
          <w:tab/>
          <w:t>at midnight on 30 June in the previous financial year, the owner owned property A and another private residential property (</w:t>
        </w:r>
        <w:r>
          <w:rPr>
            <w:b/>
          </w:rPr>
          <w:t>“</w:t>
        </w:r>
        <w:r>
          <w:rPr>
            <w:rStyle w:val="CharDefText"/>
          </w:rPr>
          <w:t>property B</w:t>
        </w:r>
        <w:r>
          <w:rPr>
            <w:b/>
          </w:rPr>
          <w:t>”</w:t>
        </w:r>
        <w:r>
          <w:t>); and</w:t>
        </w:r>
      </w:ins>
    </w:p>
    <w:p>
      <w:pPr>
        <w:pStyle w:val="Indenta"/>
        <w:rPr>
          <w:ins w:id="563" w:author="svcMRProcess" w:date="2020-02-17T23:51:00Z"/>
        </w:rPr>
      </w:pPr>
      <w:ins w:id="564" w:author="svcMRProcess" w:date="2020-02-17T23:51:00Z">
        <w:r>
          <w:tab/>
          <w:t>(b)</w:t>
        </w:r>
        <w:r>
          <w:tab/>
          <w:t>property B is</w:t>
        </w:r>
      </w:ins>
      <w:r>
        <w:t xml:space="preserve"> exempt for the assessment year because of its use by </w:t>
      </w:r>
      <w:del w:id="565" w:author="svcMRProcess" w:date="2020-02-17T23:51:00Z">
        <w:r>
          <w:delText>the</w:delText>
        </w:r>
      </w:del>
      <w:ins w:id="566" w:author="svcMRProcess" w:date="2020-02-17T23:51:00Z">
        <w:r>
          <w:t>an</w:t>
        </w:r>
      </w:ins>
      <w:r>
        <w:t xml:space="preserve"> individual </w:t>
      </w:r>
      <w:del w:id="567" w:author="svcMRProcess" w:date="2020-02-17T23:51:00Z">
        <w:r>
          <w:delText>referred to</w:delText>
        </w:r>
      </w:del>
      <w:ins w:id="568" w:author="svcMRProcess" w:date="2020-02-17T23:51:00Z">
        <w:r>
          <w:t>at midnight on 30 June</w:t>
        </w:r>
      </w:ins>
      <w:r>
        <w:t xml:space="preserve"> in </w:t>
      </w:r>
      <w:del w:id="569" w:author="svcMRProcess" w:date="2020-02-17T23:51:00Z">
        <w:r>
          <w:delText>subsection (1)</w:delText>
        </w:r>
      </w:del>
      <w:ins w:id="570" w:author="svcMRProcess" w:date="2020-02-17T23:51:00Z">
        <w:r>
          <w:t>the previous financial year</w:t>
        </w:r>
      </w:ins>
      <w:r>
        <w:t xml:space="preserve"> as </w:t>
      </w:r>
      <w:del w:id="571" w:author="svcMRProcess" w:date="2020-02-17T23:51:00Z">
        <w:r>
          <w:delText>his or her</w:delText>
        </w:r>
      </w:del>
      <w:ins w:id="572" w:author="svcMRProcess" w:date="2020-02-17T23:51:00Z">
        <w:r>
          <w:t xml:space="preserve">the individual’s primary residence; and </w:t>
        </w:r>
      </w:ins>
    </w:p>
    <w:p>
      <w:pPr>
        <w:pStyle w:val="Indenta"/>
        <w:rPr>
          <w:ins w:id="573" w:author="svcMRProcess" w:date="2020-02-17T23:51:00Z"/>
        </w:rPr>
      </w:pPr>
      <w:ins w:id="574" w:author="svcMRProcess" w:date="2020-02-17T23:51:00Z">
        <w:r>
          <w:tab/>
          <w:t>(c)</w:t>
        </w:r>
        <w:r>
          <w:tab/>
          <w:t>property A would have been exempt for the assessment year if, at midnight on 30 June in the previous financial year, the individual had used property A as the individual’s private residence instead of property B; and</w:t>
        </w:r>
      </w:ins>
    </w:p>
    <w:p>
      <w:pPr>
        <w:pStyle w:val="Indenta"/>
        <w:rPr>
          <w:ins w:id="575" w:author="svcMRProcess" w:date="2020-02-17T23:51:00Z"/>
        </w:rPr>
      </w:pPr>
      <w:ins w:id="576" w:author="svcMRProcess" w:date="2020-02-17T23:51:00Z">
        <w:r>
          <w:tab/>
          <w:t>(d)</w:t>
        </w:r>
        <w:r>
          <w:tab/>
          <w:t>the property the owner acquired second was acquired in the previous financial year; and</w:t>
        </w:r>
      </w:ins>
    </w:p>
    <w:p>
      <w:pPr>
        <w:pStyle w:val="Indenta"/>
        <w:rPr>
          <w:ins w:id="577" w:author="svcMRProcess" w:date="2020-02-17T23:51:00Z"/>
        </w:rPr>
      </w:pPr>
      <w:ins w:id="578" w:author="svcMRProcess" w:date="2020-02-17T23:51:00Z">
        <w:r>
          <w:tab/>
          <w:t>(e)</w:t>
        </w:r>
        <w:r>
          <w:tab/>
          <w:t xml:space="preserve">the individual used property A as the individual’s primary residence — </w:t>
        </w:r>
      </w:ins>
    </w:p>
    <w:p>
      <w:pPr>
        <w:pStyle w:val="Indenti"/>
        <w:rPr>
          <w:ins w:id="579" w:author="svcMRProcess" w:date="2020-02-17T23:51:00Z"/>
        </w:rPr>
      </w:pPr>
      <w:ins w:id="580" w:author="svcMRProcess" w:date="2020-02-17T23:51:00Z">
        <w:r>
          <w:tab/>
          <w:t>(i)</w:t>
        </w:r>
        <w:r>
          <w:tab/>
          <w:t>in the previous financial year before using property B for that purpose; or</w:t>
        </w:r>
      </w:ins>
    </w:p>
    <w:p>
      <w:pPr>
        <w:pStyle w:val="Indenti"/>
        <w:rPr>
          <w:ins w:id="581" w:author="svcMRProcess" w:date="2020-02-17T23:51:00Z"/>
        </w:rPr>
      </w:pPr>
      <w:ins w:id="582" w:author="svcMRProcess" w:date="2020-02-17T23:51:00Z">
        <w:r>
          <w:tab/>
          <w:t>(ii)</w:t>
        </w:r>
        <w:r>
          <w:tab/>
          <w:t>in the assessment year after using property B for that purpose;</w:t>
        </w:r>
      </w:ins>
    </w:p>
    <w:p>
      <w:pPr>
        <w:pStyle w:val="Indenta"/>
        <w:rPr>
          <w:ins w:id="583" w:author="svcMRProcess" w:date="2020-02-17T23:51:00Z"/>
        </w:rPr>
      </w:pPr>
      <w:ins w:id="584" w:author="svcMRProcess" w:date="2020-02-17T23:51:00Z">
        <w:r>
          <w:tab/>
        </w:r>
        <w:r>
          <w:tab/>
          <w:t>and</w:t>
        </w:r>
      </w:ins>
    </w:p>
    <w:p>
      <w:pPr>
        <w:pStyle w:val="Indenta"/>
        <w:rPr>
          <w:ins w:id="585" w:author="svcMRProcess" w:date="2020-02-17T23:51:00Z"/>
        </w:rPr>
      </w:pPr>
      <w:ins w:id="586" w:author="svcMRProcess" w:date="2020-02-17T23:51:00Z">
        <w:r>
          <w:tab/>
          <w:t>(f)</w:t>
        </w:r>
        <w:r>
          <w:tab/>
          <w:t xml:space="preserve">during the assessment year, the owner — </w:t>
        </w:r>
      </w:ins>
    </w:p>
    <w:p>
      <w:pPr>
        <w:pStyle w:val="Indenti"/>
        <w:rPr>
          <w:ins w:id="587" w:author="svcMRProcess" w:date="2020-02-17T23:51:00Z"/>
        </w:rPr>
      </w:pPr>
      <w:ins w:id="588" w:author="svcMRProcess" w:date="2020-02-17T23:51:00Z">
        <w:r>
          <w:tab/>
          <w:t>(i)</w:t>
        </w:r>
        <w:r>
          <w:tab/>
          <w:t>sold or otherwise disposed of the property the owner acquired first; and</w:t>
        </w:r>
      </w:ins>
    </w:p>
    <w:p>
      <w:pPr>
        <w:pStyle w:val="Indenti"/>
        <w:rPr>
          <w:ins w:id="589" w:author="svcMRProcess" w:date="2020-02-17T23:51:00Z"/>
        </w:rPr>
      </w:pPr>
      <w:ins w:id="590" w:author="svcMRProcess" w:date="2020-02-17T23:51:00Z">
        <w:r>
          <w:tab/>
          <w:t>(ii)</w:t>
        </w:r>
        <w:r>
          <w:tab/>
          <w:t>delivered possession of that property to the new owner.</w:t>
        </w:r>
      </w:ins>
    </w:p>
    <w:p>
      <w:pPr>
        <w:pStyle w:val="Subsection"/>
      </w:pPr>
      <w:ins w:id="591" w:author="svcMRProcess" w:date="2020-02-17T23:51:00Z">
        <w:r>
          <w:tab/>
          <w:t>(2)</w:t>
        </w:r>
        <w:r>
          <w:tab/>
          <w:t>However, property A is not exempt if, while the owner owned both properties, the owner or any other person derived income from the property that was not being used as the individual’s</w:t>
        </w:r>
      </w:ins>
      <w:r>
        <w:t xml:space="preserve"> primary residence.</w:t>
      </w:r>
    </w:p>
    <w:p>
      <w:pPr>
        <w:pStyle w:val="Subsection"/>
        <w:rPr>
          <w:ins w:id="592" w:author="svcMRProcess" w:date="2020-02-17T23:51:00Z"/>
        </w:rPr>
      </w:pPr>
      <w:del w:id="593" w:author="svcMRProcess" w:date="2020-02-17T23:51:00Z">
        <w:r>
          <w:tab/>
          <w:delText>(4)</w:delText>
        </w:r>
        <w:r>
          <w:tab/>
          <w:delText xml:space="preserve">On receiving an application under subsection (2), the Commissioner </w:delText>
        </w:r>
      </w:del>
      <w:ins w:id="594" w:author="svcMRProcess" w:date="2020-02-17T23:51:00Z">
        <w:r>
          <w:tab/>
          <w:t>(3)</w:t>
        </w:r>
        <w:r>
          <w:tab/>
          <w:t>The owner must notify the Commissioner in the approved form of when the disposal and delivery of possession of the property acquired first occurs.</w:t>
        </w:r>
      </w:ins>
    </w:p>
    <w:p>
      <w:pPr>
        <w:pStyle w:val="Subsection"/>
      </w:pPr>
      <w:ins w:id="595" w:author="svcMRProcess" w:date="2020-02-17T23:51:00Z">
        <w:r>
          <w:tab/>
          <w:t>(4)</w:t>
        </w:r>
        <w:r>
          <w:tab/>
          <w:t xml:space="preserve">The Commissioner </w:t>
        </w:r>
      </w:ins>
      <w:r>
        <w:t>is to make any reassessment necessary to give effect to this section.</w:t>
      </w:r>
    </w:p>
    <w:p>
      <w:pPr>
        <w:pStyle w:val="Footnotesection"/>
        <w:rPr>
          <w:ins w:id="596" w:author="svcMRProcess" w:date="2020-02-17T23:51:00Z"/>
        </w:rPr>
      </w:pPr>
      <w:bookmarkStart w:id="597" w:name="_Toc134247042"/>
      <w:bookmarkStart w:id="598" w:name="_Toc135547955"/>
      <w:bookmarkStart w:id="599" w:name="_Toc139791540"/>
      <w:bookmarkStart w:id="600" w:name="_Toc139791848"/>
      <w:ins w:id="601" w:author="svcMRProcess" w:date="2020-02-17T23:51:00Z">
        <w:r>
          <w:tab/>
          <w:t>[Section 27 inserted by No. 31 of 2006 s. 23.]</w:t>
        </w:r>
      </w:ins>
    </w:p>
    <w:p>
      <w:pPr>
        <w:pStyle w:val="Heading5"/>
        <w:rPr>
          <w:ins w:id="602" w:author="svcMRProcess" w:date="2020-02-17T23:51:00Z"/>
        </w:rPr>
      </w:pPr>
      <w:bookmarkStart w:id="603" w:name="_Toc170183942"/>
      <w:bookmarkStart w:id="604" w:name="_Toc170184022"/>
      <w:ins w:id="605" w:author="svcMRProcess" w:date="2020-02-17T23:51:00Z">
        <w:r>
          <w:rPr>
            <w:rStyle w:val="CharSectno"/>
          </w:rPr>
          <w:t>27A</w:t>
        </w:r>
        <w:r>
          <w:t>.</w:t>
        </w:r>
        <w:r>
          <w:tab/>
          <w:t>Construction or refurbishment of second private residence — exemption for 2 assessment years</w:t>
        </w:r>
        <w:bookmarkEnd w:id="597"/>
        <w:bookmarkEnd w:id="598"/>
        <w:bookmarkEnd w:id="599"/>
        <w:bookmarkEnd w:id="600"/>
        <w:bookmarkEnd w:id="603"/>
        <w:bookmarkEnd w:id="604"/>
      </w:ins>
    </w:p>
    <w:p>
      <w:pPr>
        <w:pStyle w:val="Subsection"/>
        <w:rPr>
          <w:ins w:id="606" w:author="svcMRProcess" w:date="2020-02-17T23:51:00Z"/>
        </w:rPr>
      </w:pPr>
      <w:ins w:id="607" w:author="svcMRProcess" w:date="2020-02-17T23:51:00Z">
        <w:r>
          <w:tab/>
          <w:t>(1)</w:t>
        </w:r>
        <w:r>
          <w:tab/>
          <w:t xml:space="preserve">Private residential property is exempt for 2 consecutive assessment years if — </w:t>
        </w:r>
      </w:ins>
    </w:p>
    <w:p>
      <w:pPr>
        <w:pStyle w:val="Indenta"/>
        <w:rPr>
          <w:ins w:id="608" w:author="svcMRProcess" w:date="2020-02-17T23:51:00Z"/>
        </w:rPr>
      </w:pPr>
      <w:ins w:id="609" w:author="svcMRProcess" w:date="2020-02-17T23:51:00Z">
        <w:r>
          <w:tab/>
          <w:t>(a)</w:t>
        </w:r>
        <w:r>
          <w:tab/>
          <w:t>at midnight on 30 June immediately before the first assessment year, the owner owned that property and another private residential property that the owner had acquired before that property; and</w:t>
        </w:r>
      </w:ins>
    </w:p>
    <w:p>
      <w:pPr>
        <w:pStyle w:val="Indenta"/>
        <w:rPr>
          <w:ins w:id="610" w:author="svcMRProcess" w:date="2020-02-17T23:51:00Z"/>
        </w:rPr>
      </w:pPr>
      <w:ins w:id="611" w:author="svcMRProcess" w:date="2020-02-17T23:51:00Z">
        <w:r>
          <w:tab/>
          <w:t>(b)</w:t>
        </w:r>
        <w:r>
          <w:tab/>
          <w:t>the property the owner acquired first is exempt for the first assessment year because of its use by an individual at midnight on 30 June in the previous financial year as the individual’s primary residence; and</w:t>
        </w:r>
      </w:ins>
    </w:p>
    <w:p>
      <w:pPr>
        <w:pStyle w:val="Indenta"/>
        <w:rPr>
          <w:ins w:id="612" w:author="svcMRProcess" w:date="2020-02-17T23:51:00Z"/>
        </w:rPr>
      </w:pPr>
      <w:ins w:id="613" w:author="svcMRProcess" w:date="2020-02-17T23:51:00Z">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ins>
    </w:p>
    <w:p>
      <w:pPr>
        <w:pStyle w:val="Indenta"/>
        <w:rPr>
          <w:ins w:id="614" w:author="svcMRProcess" w:date="2020-02-17T23:51:00Z"/>
        </w:rPr>
      </w:pPr>
      <w:ins w:id="615" w:author="svcMRProcess" w:date="2020-02-17T23:51:00Z">
        <w:r>
          <w:tab/>
          <w:t>(d)</w:t>
        </w:r>
        <w:r>
          <w:tab/>
          <w:t>the property acquired second was acquired in the previous financial year; and</w:t>
        </w:r>
      </w:ins>
    </w:p>
    <w:p>
      <w:pPr>
        <w:pStyle w:val="Indenta"/>
        <w:rPr>
          <w:ins w:id="616" w:author="svcMRProcess" w:date="2020-02-17T23:51:00Z"/>
        </w:rPr>
      </w:pPr>
      <w:ins w:id="617" w:author="svcMRProcess" w:date="2020-02-17T23:51:00Z">
        <w:r>
          <w:tab/>
          <w:t>(e)</w:t>
        </w:r>
        <w:r>
          <w:tab/>
          <w:t xml:space="preserve">the commencement date for the construction or refurbishment of the private residence that forms part of the property acquired second — </w:t>
        </w:r>
      </w:ins>
    </w:p>
    <w:p>
      <w:pPr>
        <w:pStyle w:val="Indenti"/>
        <w:rPr>
          <w:ins w:id="618" w:author="svcMRProcess" w:date="2020-02-17T23:51:00Z"/>
        </w:rPr>
      </w:pPr>
      <w:ins w:id="619" w:author="svcMRProcess" w:date="2020-02-17T23:51:00Z">
        <w:r>
          <w:tab/>
          <w:t>(i)</w:t>
        </w:r>
        <w:r>
          <w:tab/>
          <w:t>is in the first assessment year; or</w:t>
        </w:r>
      </w:ins>
    </w:p>
    <w:p>
      <w:pPr>
        <w:pStyle w:val="Indenti"/>
        <w:rPr>
          <w:ins w:id="620" w:author="svcMRProcess" w:date="2020-02-17T23:51:00Z"/>
        </w:rPr>
      </w:pPr>
      <w:ins w:id="621" w:author="svcMRProcess" w:date="2020-02-17T23:51:00Z">
        <w:r>
          <w:tab/>
          <w:t>(ii)</w:t>
        </w:r>
        <w:r>
          <w:tab/>
          <w:t>is in the previous financial year and part of the construction or refurbishment is carried out in the first assessment year;</w:t>
        </w:r>
      </w:ins>
    </w:p>
    <w:p>
      <w:pPr>
        <w:pStyle w:val="Indenta"/>
        <w:rPr>
          <w:ins w:id="622" w:author="svcMRProcess" w:date="2020-02-17T23:51:00Z"/>
        </w:rPr>
      </w:pPr>
      <w:ins w:id="623" w:author="svcMRProcess" w:date="2020-02-17T23:51:00Z">
        <w:r>
          <w:tab/>
        </w:r>
        <w:r>
          <w:tab/>
          <w:t>and</w:t>
        </w:r>
      </w:ins>
    </w:p>
    <w:p>
      <w:pPr>
        <w:pStyle w:val="Indenta"/>
        <w:rPr>
          <w:ins w:id="624" w:author="svcMRProcess" w:date="2020-02-17T23:51:00Z"/>
        </w:rPr>
      </w:pPr>
      <w:ins w:id="625" w:author="svcMRProcess" w:date="2020-02-17T23:51:00Z">
        <w:r>
          <w:tab/>
          <w:t>(f)</w:t>
        </w:r>
        <w:r>
          <w:tab/>
          <w:t>the completion date for the construction or refurbishment of the private residence that forms part of the property acquired second is in the second assessment year; and</w:t>
        </w:r>
      </w:ins>
    </w:p>
    <w:p>
      <w:pPr>
        <w:pStyle w:val="Indenta"/>
        <w:rPr>
          <w:ins w:id="626" w:author="svcMRProcess" w:date="2020-02-17T23:51:00Z"/>
        </w:rPr>
      </w:pPr>
      <w:ins w:id="627" w:author="svcMRProcess" w:date="2020-02-17T23:51:00Z">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ins>
    </w:p>
    <w:p>
      <w:pPr>
        <w:pStyle w:val="Indenta"/>
        <w:rPr>
          <w:ins w:id="628" w:author="svcMRProcess" w:date="2020-02-17T23:51:00Z"/>
        </w:rPr>
      </w:pPr>
      <w:ins w:id="629" w:author="svcMRProcess" w:date="2020-02-17T23:51:00Z">
        <w:r>
          <w:tab/>
          <w:t>(h)</w:t>
        </w:r>
        <w:r>
          <w:tab/>
          <w:t>the individual is the first occupant of the private residence that forms part of the property acquired second since its construction or refurbishment; and</w:t>
        </w:r>
      </w:ins>
    </w:p>
    <w:p>
      <w:pPr>
        <w:pStyle w:val="Indenta"/>
        <w:rPr>
          <w:ins w:id="630" w:author="svcMRProcess" w:date="2020-02-17T23:51:00Z"/>
        </w:rPr>
      </w:pPr>
      <w:ins w:id="631" w:author="svcMRProcess" w:date="2020-02-17T23:51:00Z">
        <w:r>
          <w:tab/>
          <w:t>(i)</w:t>
        </w:r>
        <w:r>
          <w:tab/>
          <w:t>the individual uses the private residence that forms part of the property acquired second as his or her primary residence during the second assessment year; and</w:t>
        </w:r>
      </w:ins>
    </w:p>
    <w:p>
      <w:pPr>
        <w:pStyle w:val="Indenta"/>
        <w:rPr>
          <w:ins w:id="632" w:author="svcMRProcess" w:date="2020-02-17T23:51:00Z"/>
        </w:rPr>
      </w:pPr>
      <w:ins w:id="633" w:author="svcMRProcess" w:date="2020-02-17T23:51:00Z">
        <w:r>
          <w:tab/>
          <w:t>(j)</w:t>
        </w:r>
        <w:r>
          <w:tab/>
          <w:t xml:space="preserve">by the end of the second assessment year, the owner — </w:t>
        </w:r>
      </w:ins>
    </w:p>
    <w:p>
      <w:pPr>
        <w:pStyle w:val="Indenti"/>
        <w:rPr>
          <w:ins w:id="634" w:author="svcMRProcess" w:date="2020-02-17T23:51:00Z"/>
        </w:rPr>
      </w:pPr>
      <w:ins w:id="635" w:author="svcMRProcess" w:date="2020-02-17T23:51:00Z">
        <w:r>
          <w:tab/>
          <w:t>(i)</w:t>
        </w:r>
        <w:r>
          <w:tab/>
          <w:t>has sold or otherwise disposed of the property acquired first; and</w:t>
        </w:r>
      </w:ins>
    </w:p>
    <w:p>
      <w:pPr>
        <w:pStyle w:val="Indenti"/>
        <w:rPr>
          <w:ins w:id="636" w:author="svcMRProcess" w:date="2020-02-17T23:51:00Z"/>
        </w:rPr>
      </w:pPr>
      <w:ins w:id="637" w:author="svcMRProcess" w:date="2020-02-17T23:51:00Z">
        <w:r>
          <w:tab/>
          <w:t>(ii)</w:t>
        </w:r>
        <w:r>
          <w:tab/>
          <w:t>has delivered possession of that property to the new owner.</w:t>
        </w:r>
      </w:ins>
    </w:p>
    <w:p>
      <w:pPr>
        <w:pStyle w:val="Subsection"/>
        <w:rPr>
          <w:ins w:id="638" w:author="svcMRProcess" w:date="2020-02-17T23:51:00Z"/>
        </w:rPr>
      </w:pPr>
      <w:ins w:id="639" w:author="svcMRProcess" w:date="2020-02-17T23:51:00Z">
        <w:r>
          <w:tab/>
          <w:t>(2)</w:t>
        </w:r>
        <w:r>
          <w:tab/>
          <w:t>However, the property acquired second is not exempt if, while the owner owned both properties, the owner or any other person derived income from the property that was not being used as the individual’s primary residence.</w:t>
        </w:r>
      </w:ins>
    </w:p>
    <w:p>
      <w:pPr>
        <w:pStyle w:val="Subsection"/>
        <w:rPr>
          <w:ins w:id="640" w:author="svcMRProcess" w:date="2020-02-17T23:51:00Z"/>
        </w:rPr>
      </w:pPr>
      <w:ins w:id="641" w:author="svcMRProcess" w:date="2020-02-17T23:51:00Z">
        <w:r>
          <w:tab/>
          <w:t>(3)</w:t>
        </w:r>
        <w:r>
          <w:tab/>
          <w:t>The owner may apply for the exemption in the approved form after the commencement date for the construction or refurbishment.</w:t>
        </w:r>
      </w:ins>
    </w:p>
    <w:p>
      <w:pPr>
        <w:pStyle w:val="Subsection"/>
        <w:rPr>
          <w:ins w:id="642" w:author="svcMRProcess" w:date="2020-02-17T23:51:00Z"/>
        </w:rPr>
      </w:pPr>
      <w:ins w:id="643" w:author="svcMRProcess" w:date="2020-02-17T23:51:00Z">
        <w:r>
          <w:tab/>
          <w:t>(4)</w:t>
        </w:r>
        <w:r>
          <w:tab/>
          <w:t xml:space="preserve">The owner must notify the Commissioner in the approved form of — </w:t>
        </w:r>
      </w:ins>
    </w:p>
    <w:p>
      <w:pPr>
        <w:pStyle w:val="Indenta"/>
        <w:rPr>
          <w:ins w:id="644" w:author="svcMRProcess" w:date="2020-02-17T23:51:00Z"/>
        </w:rPr>
      </w:pPr>
      <w:ins w:id="645" w:author="svcMRProcess" w:date="2020-02-17T23:51:00Z">
        <w:r>
          <w:tab/>
          <w:t>(a)</w:t>
        </w:r>
        <w:r>
          <w:tab/>
          <w:t>the completion date for the construction or refurbishment; and</w:t>
        </w:r>
      </w:ins>
    </w:p>
    <w:p>
      <w:pPr>
        <w:pStyle w:val="Indenta"/>
        <w:rPr>
          <w:ins w:id="646" w:author="svcMRProcess" w:date="2020-02-17T23:51:00Z"/>
        </w:rPr>
      </w:pPr>
      <w:ins w:id="647" w:author="svcMRProcess" w:date="2020-02-17T23:51:00Z">
        <w:r>
          <w:tab/>
          <w:t>(b)</w:t>
        </w:r>
        <w:r>
          <w:tab/>
          <w:t>when the individual occupies the property acquired second; and</w:t>
        </w:r>
      </w:ins>
    </w:p>
    <w:p>
      <w:pPr>
        <w:pStyle w:val="Indenta"/>
        <w:rPr>
          <w:ins w:id="648" w:author="svcMRProcess" w:date="2020-02-17T23:51:00Z"/>
        </w:rPr>
      </w:pPr>
      <w:ins w:id="649" w:author="svcMRProcess" w:date="2020-02-17T23:51:00Z">
        <w:r>
          <w:tab/>
          <w:t>(c)</w:t>
        </w:r>
        <w:r>
          <w:tab/>
          <w:t>when the disposal and delivery of possession of the property acquired first occurs.</w:t>
        </w:r>
      </w:ins>
    </w:p>
    <w:p>
      <w:pPr>
        <w:pStyle w:val="Subsection"/>
        <w:rPr>
          <w:ins w:id="650" w:author="svcMRProcess" w:date="2020-02-17T23:51:00Z"/>
        </w:rPr>
      </w:pPr>
      <w:ins w:id="651" w:author="svcMRProcess" w:date="2020-02-17T23:51:00Z">
        <w:r>
          <w:tab/>
          <w:t>(5)</w:t>
        </w:r>
        <w:r>
          <w:tab/>
          <w:t>The Commissioner is to make any reassessment necessary to give effect to this section.</w:t>
        </w:r>
      </w:ins>
    </w:p>
    <w:p>
      <w:pPr>
        <w:pStyle w:val="Footnotesection"/>
        <w:rPr>
          <w:ins w:id="652" w:author="svcMRProcess" w:date="2020-02-17T23:51:00Z"/>
        </w:rPr>
      </w:pPr>
      <w:ins w:id="653" w:author="svcMRProcess" w:date="2020-02-17T23:51:00Z">
        <w:r>
          <w:tab/>
          <w:t>[Section 27A inserted by No. 31 of 2006 s. 23.]</w:t>
        </w:r>
      </w:ins>
    </w:p>
    <w:p>
      <w:pPr>
        <w:pStyle w:val="Heading5"/>
      </w:pPr>
      <w:bookmarkStart w:id="654" w:name="_Toc170183943"/>
      <w:bookmarkStart w:id="655" w:name="_Toc170184023"/>
      <w:bookmarkStart w:id="656" w:name="_Toc389662726"/>
      <w:bookmarkStart w:id="657" w:name="_Toc389662796"/>
      <w:r>
        <w:rPr>
          <w:rStyle w:val="CharSectno"/>
        </w:rPr>
        <w:t>28</w:t>
      </w:r>
      <w:r>
        <w:t>.</w:t>
      </w:r>
      <w:r>
        <w:tab/>
        <w:t>Rebate for inner city residential property</w:t>
      </w:r>
      <w:bookmarkEnd w:id="443"/>
      <w:bookmarkEnd w:id="444"/>
      <w:bookmarkEnd w:id="654"/>
      <w:bookmarkEnd w:id="655"/>
      <w:bookmarkEnd w:id="656"/>
      <w:bookmarkEnd w:id="65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rPr>
          <w:del w:id="658" w:author="svcMRProcess" w:date="2020-02-17T23:51:00Z"/>
        </w:rPr>
      </w:pPr>
      <w:del w:id="659" w:author="svcMRProcess" w:date="2020-02-17T23:5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6.3pt" fillcolor="window">
              <v:imagedata r:id="rId15" o:title=""/>
            </v:shape>
          </w:pict>
        </w:r>
      </w:del>
    </w:p>
    <w:p>
      <w:pPr>
        <w:pStyle w:val="Equation"/>
        <w:tabs>
          <w:tab w:val="left" w:pos="1560"/>
        </w:tabs>
        <w:spacing w:before="80"/>
        <w:ind w:firstLine="879"/>
        <w:rPr>
          <w:ins w:id="660" w:author="svcMRProcess" w:date="2020-02-17T23:51:00Z"/>
        </w:rPr>
      </w:pPr>
      <w:ins w:id="661" w:author="svcMRProcess" w:date="2020-02-17T23:51:00Z">
        <w:r>
          <w:rPr>
            <w:position w:val="-10"/>
          </w:rPr>
          <w:pict>
            <v:shape id="_x0000_i1026" type="#_x0000_t75" style="width:71.45pt;height:15.75pt" fillcolor="window">
              <v:imagedata r:id="rId15" o:title=""/>
            </v:shape>
          </w:pict>
        </w:r>
      </w:ins>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662" w:name="_Toc76895235"/>
      <w:bookmarkStart w:id="663" w:name="_Toc92863992"/>
      <w:bookmarkStart w:id="664" w:name="_Toc113164566"/>
      <w:bookmarkStart w:id="665" w:name="_Toc113165032"/>
      <w:bookmarkStart w:id="666" w:name="_Toc113165254"/>
      <w:bookmarkStart w:id="667" w:name="_Toc113169644"/>
      <w:bookmarkStart w:id="668" w:name="_Toc113943398"/>
      <w:bookmarkStart w:id="669" w:name="_Toc113943468"/>
      <w:bookmarkStart w:id="670" w:name="_Toc122765827"/>
      <w:bookmarkStart w:id="671" w:name="_Toc131397847"/>
      <w:bookmarkStart w:id="672" w:name="_Toc170183944"/>
      <w:bookmarkStart w:id="673" w:name="_Toc170184024"/>
      <w:bookmarkStart w:id="674" w:name="_Toc389662727"/>
      <w:bookmarkStart w:id="675" w:name="_Toc389662797"/>
      <w:r>
        <w:rPr>
          <w:rStyle w:val="CharDivNo"/>
        </w:rPr>
        <w:t>Division 3</w:t>
      </w:r>
      <w:r>
        <w:t xml:space="preserve"> — </w:t>
      </w:r>
      <w:r>
        <w:rPr>
          <w:rStyle w:val="CharDivText"/>
        </w:rPr>
        <w:t>Rural business land</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Hlt527253993"/>
      <w:bookmarkStart w:id="677" w:name="_Hlt527254012"/>
      <w:bookmarkStart w:id="678" w:name="_Toc472848669"/>
      <w:bookmarkStart w:id="679" w:name="_Toc472916272"/>
      <w:bookmarkStart w:id="680" w:name="_Toc27491803"/>
      <w:bookmarkStart w:id="681" w:name="_Toc92863993"/>
      <w:bookmarkStart w:id="682" w:name="_Toc170183945"/>
      <w:bookmarkStart w:id="683" w:name="_Toc170184025"/>
      <w:bookmarkStart w:id="684" w:name="_Toc389662728"/>
      <w:bookmarkStart w:id="685" w:name="_Toc389662798"/>
      <w:bookmarkEnd w:id="676"/>
      <w:bookmarkEnd w:id="677"/>
      <w:r>
        <w:rPr>
          <w:rStyle w:val="CharSectno"/>
        </w:rPr>
        <w:t>29</w:t>
      </w:r>
      <w:r>
        <w:t>.</w:t>
      </w:r>
      <w:r>
        <w:tab/>
        <w:t>Land used solely or principally for a rural business</w:t>
      </w:r>
      <w:bookmarkEnd w:id="678"/>
      <w:bookmarkEnd w:id="679"/>
      <w:bookmarkEnd w:id="680"/>
      <w:bookmarkEnd w:id="681"/>
      <w:bookmarkEnd w:id="682"/>
      <w:bookmarkEnd w:id="683"/>
      <w:bookmarkEnd w:id="684"/>
      <w:bookmarkEnd w:id="685"/>
    </w:p>
    <w:p>
      <w:pPr>
        <w:pStyle w:val="Subsection"/>
      </w:pPr>
      <w:r>
        <w:tab/>
      </w:r>
      <w:bookmarkStart w:id="686" w:name="_Hlt527253252"/>
      <w:bookmarkEnd w:id="686"/>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687" w:name="_Hlt527260179"/>
      <w:bookmarkEnd w:id="687"/>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688" w:name="_Hlt527260259"/>
      <w:bookmarkEnd w:id="688"/>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689" w:name="_Hlt527253997"/>
      <w:bookmarkStart w:id="690" w:name="_Toc27491804"/>
      <w:bookmarkStart w:id="691" w:name="_Toc92863994"/>
      <w:bookmarkStart w:id="692" w:name="_Toc170183946"/>
      <w:bookmarkStart w:id="693" w:name="_Toc170184026"/>
      <w:bookmarkStart w:id="694" w:name="_Toc389662729"/>
      <w:bookmarkStart w:id="695" w:name="_Toc389662799"/>
      <w:bookmarkEnd w:id="689"/>
      <w:r>
        <w:rPr>
          <w:rStyle w:val="CharSectno"/>
        </w:rPr>
        <w:t>30</w:t>
      </w:r>
      <w:r>
        <w:t>.</w:t>
      </w:r>
      <w:r>
        <w:tab/>
        <w:t>Concessional rates for other rural business land</w:t>
      </w:r>
      <w:bookmarkEnd w:id="690"/>
      <w:bookmarkEnd w:id="691"/>
      <w:bookmarkEnd w:id="692"/>
      <w:bookmarkEnd w:id="693"/>
      <w:bookmarkEnd w:id="694"/>
      <w:bookmarkEnd w:id="695"/>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696" w:name="_Toc76895238"/>
      <w:bookmarkStart w:id="697" w:name="_Toc92863995"/>
      <w:bookmarkStart w:id="698" w:name="_Toc113164569"/>
      <w:bookmarkStart w:id="699" w:name="_Toc113165035"/>
      <w:bookmarkStart w:id="700" w:name="_Toc113165257"/>
      <w:bookmarkStart w:id="701" w:name="_Toc113169647"/>
      <w:bookmarkStart w:id="702" w:name="_Toc113943401"/>
      <w:bookmarkStart w:id="703" w:name="_Toc113943471"/>
      <w:bookmarkStart w:id="704" w:name="_Toc122765830"/>
      <w:bookmarkStart w:id="705" w:name="_Toc131397850"/>
      <w:bookmarkStart w:id="706" w:name="_Toc170183947"/>
      <w:bookmarkStart w:id="707" w:name="_Toc170184027"/>
      <w:bookmarkStart w:id="708" w:name="_Toc389662730"/>
      <w:bookmarkStart w:id="709" w:name="_Toc389662800"/>
      <w:r>
        <w:rPr>
          <w:rStyle w:val="CharDivNo"/>
        </w:rPr>
        <w:t>Division 4</w:t>
      </w:r>
      <w:r>
        <w:t xml:space="preserve"> — </w:t>
      </w:r>
      <w:r>
        <w:rPr>
          <w:rStyle w:val="CharDivText"/>
        </w:rPr>
        <w:t>Crown land and other land used for public purposes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pPr>
      <w:bookmarkStart w:id="710" w:name="_Hlt530539634"/>
      <w:bookmarkStart w:id="711" w:name="_Toc472848671"/>
      <w:bookmarkStart w:id="712" w:name="_Toc472916274"/>
      <w:bookmarkStart w:id="713" w:name="_Toc27491805"/>
      <w:bookmarkStart w:id="714" w:name="_Toc92863996"/>
      <w:bookmarkStart w:id="715" w:name="_Toc170183948"/>
      <w:bookmarkStart w:id="716" w:name="_Toc170184028"/>
      <w:bookmarkStart w:id="717" w:name="_Toc389662731"/>
      <w:bookmarkStart w:id="718" w:name="_Toc389662801"/>
      <w:bookmarkEnd w:id="710"/>
      <w:r>
        <w:rPr>
          <w:rStyle w:val="CharSectno"/>
        </w:rPr>
        <w:t>31</w:t>
      </w:r>
      <w:r>
        <w:t>.</w:t>
      </w:r>
      <w:r>
        <w:tab/>
        <w:t>Land owned by the Crown or other public authorities</w:t>
      </w:r>
      <w:bookmarkEnd w:id="711"/>
      <w:bookmarkEnd w:id="712"/>
      <w:bookmarkEnd w:id="713"/>
      <w:bookmarkEnd w:id="714"/>
      <w:bookmarkEnd w:id="715"/>
      <w:bookmarkEnd w:id="716"/>
      <w:bookmarkEnd w:id="717"/>
      <w:bookmarkEnd w:id="718"/>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719" w:name="_Hlt530539237"/>
      <w:r>
        <w:t>7</w:t>
      </w:r>
      <w:bookmarkEnd w:id="719"/>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rPr>
          <w:del w:id="720" w:author="svcMRProcess" w:date="2020-02-17T23:51:00Z"/>
        </w:rPr>
      </w:pPr>
      <w:del w:id="721" w:author="svcMRProcess" w:date="2020-02-17T23:51:00Z">
        <w:r>
          <w:rPr>
            <w:position w:val="-10"/>
          </w:rPr>
          <w:pict>
            <v:shape id="_x0000_i1027" type="#_x0000_t75" style="width:93.95pt;height:16.3pt">
              <v:imagedata r:id="rId16" o:title=""/>
            </v:shape>
          </w:pict>
        </w:r>
      </w:del>
    </w:p>
    <w:p>
      <w:pPr>
        <w:pStyle w:val="Equation"/>
        <w:spacing w:before="120"/>
        <w:jc w:val="center"/>
        <w:rPr>
          <w:ins w:id="722" w:author="svcMRProcess" w:date="2020-02-17T23:51:00Z"/>
        </w:rPr>
      </w:pPr>
      <w:ins w:id="723" w:author="svcMRProcess" w:date="2020-02-17T23:51:00Z">
        <w:r>
          <w:rPr>
            <w:position w:val="-10"/>
          </w:rPr>
          <w:pict>
            <v:shape id="_x0000_i1028" type="#_x0000_t75" style="width:93.95pt;height:15.75pt">
              <v:imagedata r:id="rId16" o:title=""/>
            </v:shape>
          </w:pict>
        </w:r>
      </w:ins>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724" w:name="_Toc472848672"/>
      <w:bookmarkStart w:id="725" w:name="_Toc472916275"/>
      <w:bookmarkStart w:id="726" w:name="_Toc27491806"/>
      <w:bookmarkStart w:id="727" w:name="_Toc92863997"/>
      <w:bookmarkStart w:id="728" w:name="_Toc170183949"/>
      <w:bookmarkStart w:id="729" w:name="_Toc170184029"/>
      <w:bookmarkStart w:id="730" w:name="_Toc389662732"/>
      <w:bookmarkStart w:id="731" w:name="_Toc389662802"/>
      <w:r>
        <w:rPr>
          <w:rStyle w:val="CharSectno"/>
        </w:rPr>
        <w:t>32</w:t>
      </w:r>
      <w:r>
        <w:t>.</w:t>
      </w:r>
      <w:r>
        <w:tab/>
        <w:t>Land owned by religious bodies</w:t>
      </w:r>
      <w:bookmarkEnd w:id="724"/>
      <w:bookmarkEnd w:id="725"/>
      <w:bookmarkEnd w:id="726"/>
      <w:bookmarkEnd w:id="727"/>
      <w:bookmarkEnd w:id="728"/>
      <w:bookmarkEnd w:id="729"/>
      <w:bookmarkEnd w:id="730"/>
      <w:bookmarkEnd w:id="73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732" w:name="_Hlt527258545"/>
      <w:bookmarkEnd w:id="732"/>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733" w:name="_Toc472848673"/>
      <w:bookmarkStart w:id="734" w:name="_Toc472916276"/>
      <w:bookmarkStart w:id="735" w:name="_Toc27491807"/>
      <w:bookmarkStart w:id="736" w:name="_Toc92863998"/>
      <w:bookmarkStart w:id="737" w:name="_Toc170183950"/>
      <w:bookmarkStart w:id="738" w:name="_Toc170184030"/>
      <w:bookmarkStart w:id="739" w:name="_Toc389662733"/>
      <w:bookmarkStart w:id="740" w:name="_Toc389662803"/>
      <w:r>
        <w:rPr>
          <w:rStyle w:val="CharSectno"/>
        </w:rPr>
        <w:t>33</w:t>
      </w:r>
      <w:r>
        <w:t>.</w:t>
      </w:r>
      <w:r>
        <w:tab/>
        <w:t>Land owned by educational institutions</w:t>
      </w:r>
      <w:bookmarkEnd w:id="733"/>
      <w:bookmarkEnd w:id="734"/>
      <w:bookmarkEnd w:id="735"/>
      <w:bookmarkEnd w:id="736"/>
      <w:bookmarkEnd w:id="737"/>
      <w:bookmarkEnd w:id="738"/>
      <w:bookmarkEnd w:id="739"/>
      <w:bookmarkEnd w:id="74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741" w:name="_Hlt527258580"/>
      <w:bookmarkEnd w:id="74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742" w:name="_Toc472848674"/>
      <w:bookmarkStart w:id="743" w:name="_Toc472916277"/>
      <w:bookmarkStart w:id="744" w:name="_Toc27491808"/>
      <w:bookmarkStart w:id="745" w:name="_Toc92863999"/>
      <w:bookmarkStart w:id="746" w:name="_Toc170183951"/>
      <w:bookmarkStart w:id="747" w:name="_Toc170184031"/>
      <w:bookmarkStart w:id="748" w:name="_Toc389662734"/>
      <w:bookmarkStart w:id="749" w:name="_Toc389662804"/>
      <w:r>
        <w:rPr>
          <w:rStyle w:val="CharSectno"/>
        </w:rPr>
        <w:t>34</w:t>
      </w:r>
      <w:r>
        <w:t>.</w:t>
      </w:r>
      <w:r>
        <w:tab/>
        <w:t>Land used for public or religious hospitals</w:t>
      </w:r>
      <w:bookmarkEnd w:id="742"/>
      <w:bookmarkEnd w:id="743"/>
      <w:bookmarkEnd w:id="744"/>
      <w:bookmarkEnd w:id="745"/>
      <w:bookmarkEnd w:id="746"/>
      <w:bookmarkEnd w:id="747"/>
      <w:bookmarkEnd w:id="748"/>
      <w:bookmarkEnd w:id="749"/>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750" w:name="_Toc472848675"/>
      <w:bookmarkStart w:id="751" w:name="_Toc472916278"/>
      <w:bookmarkStart w:id="752" w:name="_Toc27491809"/>
      <w:bookmarkStart w:id="753" w:name="_Toc92864000"/>
      <w:bookmarkStart w:id="754" w:name="_Toc170183952"/>
      <w:bookmarkStart w:id="755" w:name="_Toc170184032"/>
      <w:bookmarkStart w:id="756" w:name="_Toc389662735"/>
      <w:bookmarkStart w:id="757" w:name="_Toc389662805"/>
      <w:r>
        <w:rPr>
          <w:rStyle w:val="CharSectno"/>
        </w:rPr>
        <w:t>35</w:t>
      </w:r>
      <w:r>
        <w:t>.</w:t>
      </w:r>
      <w:r>
        <w:tab/>
        <w:t>Mining tenements</w:t>
      </w:r>
      <w:bookmarkEnd w:id="750"/>
      <w:bookmarkEnd w:id="751"/>
      <w:bookmarkEnd w:id="752"/>
      <w:bookmarkEnd w:id="753"/>
      <w:bookmarkEnd w:id="754"/>
      <w:bookmarkEnd w:id="755"/>
      <w:bookmarkEnd w:id="756"/>
      <w:bookmarkEnd w:id="757"/>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758" w:name="_Toc472848676"/>
      <w:bookmarkStart w:id="759" w:name="_Toc472916279"/>
      <w:bookmarkStart w:id="760" w:name="_Toc27491810"/>
      <w:bookmarkStart w:id="761" w:name="_Toc92864001"/>
      <w:bookmarkStart w:id="762" w:name="_Toc170183953"/>
      <w:bookmarkStart w:id="763" w:name="_Toc170184033"/>
      <w:bookmarkStart w:id="764" w:name="_Toc389662736"/>
      <w:bookmarkStart w:id="765" w:name="_Toc389662806"/>
      <w:r>
        <w:rPr>
          <w:rStyle w:val="CharSectno"/>
        </w:rPr>
        <w:t>36</w:t>
      </w:r>
      <w:r>
        <w:t>.</w:t>
      </w:r>
      <w:r>
        <w:tab/>
        <w:t>Land used for various public purposes</w:t>
      </w:r>
      <w:bookmarkEnd w:id="758"/>
      <w:bookmarkEnd w:id="759"/>
      <w:bookmarkEnd w:id="760"/>
      <w:bookmarkEnd w:id="761"/>
      <w:bookmarkEnd w:id="762"/>
      <w:bookmarkEnd w:id="763"/>
      <w:bookmarkEnd w:id="764"/>
      <w:bookmarkEnd w:id="765"/>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 historical society, a public museum or other public purposes; and</w:t>
      </w:r>
    </w:p>
    <w:p>
      <w:pPr>
        <w:pStyle w:val="Indenta"/>
      </w:pPr>
      <w:r>
        <w:tab/>
        <w:t>(b)</w:t>
      </w:r>
      <w:r>
        <w:tab/>
        <w:t>it is used for those purposes.</w:t>
      </w:r>
    </w:p>
    <w:p>
      <w:pPr>
        <w:pStyle w:val="Heading5"/>
      </w:pPr>
      <w:bookmarkStart w:id="766" w:name="_Toc472848677"/>
      <w:bookmarkStart w:id="767" w:name="_Toc472916280"/>
      <w:bookmarkStart w:id="768" w:name="_Toc27491811"/>
      <w:bookmarkStart w:id="769" w:name="_Toc92864002"/>
      <w:bookmarkStart w:id="770" w:name="_Toc170183954"/>
      <w:bookmarkStart w:id="771" w:name="_Toc170184034"/>
      <w:bookmarkStart w:id="772" w:name="_Toc389662737"/>
      <w:bookmarkStart w:id="773" w:name="_Toc389662807"/>
      <w:r>
        <w:rPr>
          <w:rStyle w:val="CharSectno"/>
        </w:rPr>
        <w:t>37</w:t>
      </w:r>
      <w:r>
        <w:t>.</w:t>
      </w:r>
      <w:r>
        <w:tab/>
        <w:t>Land owned by public charitable or benevolent institutions</w:t>
      </w:r>
      <w:bookmarkEnd w:id="766"/>
      <w:bookmarkEnd w:id="767"/>
      <w:bookmarkEnd w:id="768"/>
      <w:bookmarkEnd w:id="769"/>
      <w:bookmarkEnd w:id="770"/>
      <w:bookmarkEnd w:id="771"/>
      <w:bookmarkEnd w:id="772"/>
      <w:bookmarkEnd w:id="773"/>
    </w:p>
    <w:p>
      <w:pPr>
        <w:pStyle w:val="Subsection"/>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774" w:name="_Toc472848678"/>
      <w:bookmarkStart w:id="775" w:name="_Toc472916281"/>
      <w:bookmarkStart w:id="776" w:name="_Toc27491812"/>
      <w:bookmarkStart w:id="777" w:name="_Toc92864003"/>
      <w:bookmarkStart w:id="778" w:name="_Toc170183955"/>
      <w:bookmarkStart w:id="779" w:name="_Toc170184035"/>
      <w:bookmarkStart w:id="780" w:name="_Toc389662738"/>
      <w:bookmarkStart w:id="781" w:name="_Toc389662808"/>
      <w:r>
        <w:rPr>
          <w:rStyle w:val="CharSectno"/>
        </w:rPr>
        <w:t>38</w:t>
      </w:r>
      <w:r>
        <w:t>.</w:t>
      </w:r>
      <w:r>
        <w:tab/>
        <w:t>Land owned by various non</w:t>
      </w:r>
      <w:r>
        <w:noBreakHyphen/>
        <w:t>profit organisations</w:t>
      </w:r>
      <w:bookmarkEnd w:id="774"/>
      <w:bookmarkEnd w:id="775"/>
      <w:bookmarkEnd w:id="776"/>
      <w:bookmarkEnd w:id="777"/>
      <w:bookmarkEnd w:id="778"/>
      <w:bookmarkEnd w:id="779"/>
      <w:bookmarkEnd w:id="780"/>
      <w:bookmarkEnd w:id="78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782" w:name="_Toc472848679"/>
      <w:bookmarkStart w:id="783" w:name="_Toc472916282"/>
      <w:bookmarkStart w:id="784" w:name="_Toc27491813"/>
      <w:bookmarkStart w:id="785" w:name="_Toc92864004"/>
      <w:bookmarkStart w:id="786" w:name="_Toc170183956"/>
      <w:bookmarkStart w:id="787" w:name="_Toc170184036"/>
      <w:bookmarkStart w:id="788" w:name="_Toc389662739"/>
      <w:bookmarkStart w:id="789" w:name="_Toc389662809"/>
      <w:r>
        <w:rPr>
          <w:rStyle w:val="CharSectno"/>
        </w:rPr>
        <w:t>39</w:t>
      </w:r>
      <w:r>
        <w:t>.</w:t>
      </w:r>
      <w:r>
        <w:tab/>
        <w:t>Land used for retirement villages</w:t>
      </w:r>
      <w:bookmarkEnd w:id="782"/>
      <w:bookmarkEnd w:id="783"/>
      <w:bookmarkEnd w:id="784"/>
      <w:bookmarkEnd w:id="785"/>
      <w:bookmarkEnd w:id="786"/>
      <w:bookmarkEnd w:id="787"/>
      <w:bookmarkEnd w:id="788"/>
      <w:bookmarkEnd w:id="789"/>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pPr>
      <w:r>
        <w:tab/>
        <w:t>(b)</w:t>
      </w:r>
      <w:r>
        <w:tab/>
        <w:t xml:space="preserve">all approvals necessary for the village under Part XV of the </w:t>
      </w:r>
      <w:r>
        <w:rPr>
          <w:i/>
        </w:rPr>
        <w:t>Local Government (Miscellaneous Provisions) Act 1960</w:t>
      </w:r>
      <w:r>
        <w:t xml:space="preserve"> are in force at that time.</w:t>
      </w:r>
    </w:p>
    <w:p>
      <w:pPr>
        <w:pStyle w:val="Heading3"/>
      </w:pPr>
      <w:bookmarkStart w:id="790" w:name="_Toc113164579"/>
      <w:bookmarkStart w:id="791" w:name="_Toc113165045"/>
      <w:bookmarkStart w:id="792" w:name="_Toc113165267"/>
      <w:bookmarkStart w:id="793" w:name="_Toc113169657"/>
      <w:bookmarkStart w:id="794" w:name="_Toc113943411"/>
      <w:bookmarkStart w:id="795" w:name="_Toc113943481"/>
      <w:bookmarkStart w:id="796" w:name="_Toc122765840"/>
      <w:bookmarkStart w:id="797" w:name="_Toc131397860"/>
      <w:bookmarkStart w:id="798" w:name="_Toc170183957"/>
      <w:bookmarkStart w:id="799" w:name="_Toc170184037"/>
      <w:bookmarkStart w:id="800" w:name="_Toc389662740"/>
      <w:bookmarkStart w:id="801" w:name="_Toc389662810"/>
      <w:bookmarkStart w:id="802" w:name="_Toc76895248"/>
      <w:bookmarkStart w:id="803" w:name="_Toc92864005"/>
      <w:r>
        <w:rPr>
          <w:rStyle w:val="CharDivNo"/>
        </w:rPr>
        <w:t>Division 4A</w:t>
      </w:r>
      <w:r>
        <w:t> — </w:t>
      </w:r>
      <w:r>
        <w:rPr>
          <w:rStyle w:val="CharDivText"/>
        </w:rPr>
        <w:t>Land used for non</w:t>
      </w:r>
      <w:r>
        <w:rPr>
          <w:rStyle w:val="CharDivText"/>
        </w:rPr>
        <w:noBreakHyphen/>
        <w:t>permanent residences</w:t>
      </w:r>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by No. 10 of 2005 s. 7.]</w:t>
      </w:r>
    </w:p>
    <w:p>
      <w:pPr>
        <w:pStyle w:val="Heading5"/>
      </w:pPr>
      <w:bookmarkStart w:id="804" w:name="_Toc170183958"/>
      <w:bookmarkStart w:id="805" w:name="_Toc170184038"/>
      <w:bookmarkStart w:id="806" w:name="_Toc389662741"/>
      <w:bookmarkStart w:id="807" w:name="_Toc389662811"/>
      <w:r>
        <w:rPr>
          <w:rStyle w:val="CharSectno"/>
        </w:rPr>
        <w:t>39A</w:t>
      </w:r>
      <w:r>
        <w:t>.</w:t>
      </w:r>
      <w:r>
        <w:tab/>
        <w:t>Land to which section 39B applies</w:t>
      </w:r>
      <w:bookmarkEnd w:id="804"/>
      <w:bookmarkEnd w:id="805"/>
      <w:bookmarkEnd w:id="806"/>
      <w:bookmarkEnd w:id="807"/>
    </w:p>
    <w:p>
      <w:pPr>
        <w:pStyle w:val="Subsection"/>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pPr>
      <w:r>
        <w:tab/>
        <w:t>(a)</w:t>
      </w:r>
      <w:r>
        <w:tab/>
        <w:t>the purpose of use as sites on which caravans, caravans and camps, or park homes, are or may be situated for habitation; and</w:t>
      </w:r>
    </w:p>
    <w:p>
      <w:pPr>
        <w:pStyle w:val="Defpara"/>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pPr>
      <w:r>
        <w:tab/>
        <w:t>(a)</w:t>
      </w:r>
      <w:r>
        <w:tab/>
        <w:t>as a hotel, motel, hostel, lodging house or boarding house; or</w:t>
      </w:r>
    </w:p>
    <w:p>
      <w:pPr>
        <w:pStyle w:val="Defpara"/>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808" w:name="_Toc170183959"/>
      <w:bookmarkStart w:id="809" w:name="_Toc170184039"/>
      <w:bookmarkStart w:id="810" w:name="_Toc389662742"/>
      <w:bookmarkStart w:id="811" w:name="_Toc389662812"/>
      <w:r>
        <w:rPr>
          <w:rStyle w:val="CharSectno"/>
        </w:rPr>
        <w:t>39B</w:t>
      </w:r>
      <w:r>
        <w:t>.</w:t>
      </w:r>
      <w:r>
        <w:tab/>
        <w:t>Concessional rates for land to which this section applies</w:t>
      </w:r>
      <w:bookmarkEnd w:id="808"/>
      <w:bookmarkEnd w:id="809"/>
      <w:bookmarkEnd w:id="810"/>
      <w:bookmarkEnd w:id="811"/>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812" w:name="_Toc113164582"/>
      <w:r>
        <w:tab/>
        <w:t>[Section 39B inserted by No. 10 of 2005 s. 7.]</w:t>
      </w:r>
    </w:p>
    <w:p>
      <w:pPr>
        <w:pStyle w:val="Heading3"/>
      </w:pPr>
      <w:bookmarkStart w:id="813" w:name="_Toc113165048"/>
      <w:bookmarkStart w:id="814" w:name="_Toc113165270"/>
      <w:bookmarkStart w:id="815" w:name="_Toc113169660"/>
      <w:bookmarkStart w:id="816" w:name="_Toc113943414"/>
      <w:bookmarkStart w:id="817" w:name="_Toc113943484"/>
      <w:bookmarkStart w:id="818" w:name="_Toc122765843"/>
      <w:bookmarkStart w:id="819" w:name="_Toc131397863"/>
      <w:bookmarkStart w:id="820" w:name="_Toc170183960"/>
      <w:bookmarkStart w:id="821" w:name="_Toc170184040"/>
      <w:bookmarkStart w:id="822" w:name="_Toc389662743"/>
      <w:bookmarkStart w:id="823" w:name="_Toc389662813"/>
      <w:r>
        <w:rPr>
          <w:rStyle w:val="CharDivNo"/>
        </w:rPr>
        <w:t>Division 5</w:t>
      </w:r>
      <w:r>
        <w:t xml:space="preserve"> — </w:t>
      </w:r>
      <w:r>
        <w:rPr>
          <w:rStyle w:val="CharDivText"/>
        </w:rPr>
        <w:t>Other exemptions and concessions</w:t>
      </w:r>
      <w:bookmarkEnd w:id="802"/>
      <w:bookmarkEnd w:id="803"/>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472848680"/>
      <w:bookmarkStart w:id="825" w:name="_Toc472916283"/>
      <w:bookmarkStart w:id="826" w:name="_Toc27491814"/>
      <w:bookmarkStart w:id="827" w:name="_Toc92864006"/>
      <w:bookmarkStart w:id="828" w:name="_Toc170183961"/>
      <w:bookmarkStart w:id="829" w:name="_Toc170184041"/>
      <w:bookmarkStart w:id="830" w:name="_Toc389662744"/>
      <w:bookmarkStart w:id="831" w:name="_Toc389662814"/>
      <w:r>
        <w:rPr>
          <w:rStyle w:val="CharSectno"/>
        </w:rPr>
        <w:t>40</w:t>
      </w:r>
      <w:r>
        <w:t>.</w:t>
      </w:r>
      <w:r>
        <w:tab/>
        <w:t>Land owned by veteran’s surviving partner or mother</w:t>
      </w:r>
      <w:bookmarkEnd w:id="824"/>
      <w:bookmarkEnd w:id="825"/>
      <w:bookmarkEnd w:id="826"/>
      <w:bookmarkEnd w:id="827"/>
      <w:bookmarkEnd w:id="828"/>
      <w:bookmarkEnd w:id="829"/>
      <w:bookmarkEnd w:id="830"/>
      <w:bookmarkEnd w:id="831"/>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832" w:name="_Hlt527253196"/>
      <w:bookmarkStart w:id="833" w:name="_Hlt530538499"/>
      <w:bookmarkStart w:id="834" w:name="_Toc92864007"/>
      <w:bookmarkStart w:id="835" w:name="_Toc170183962"/>
      <w:bookmarkStart w:id="836" w:name="_Toc170184042"/>
      <w:bookmarkStart w:id="837" w:name="_Toc389662745"/>
      <w:bookmarkStart w:id="838" w:name="_Toc389662815"/>
      <w:bookmarkStart w:id="839" w:name="_Toc27491816"/>
      <w:bookmarkEnd w:id="832"/>
      <w:bookmarkEnd w:id="833"/>
      <w:r>
        <w:rPr>
          <w:rStyle w:val="CharSectno"/>
        </w:rPr>
        <w:t>41</w:t>
      </w:r>
      <w:r>
        <w:t>.</w:t>
      </w:r>
      <w:r>
        <w:tab/>
        <w:t>Land under a conservation covenant</w:t>
      </w:r>
      <w:bookmarkEnd w:id="834"/>
      <w:bookmarkEnd w:id="835"/>
      <w:bookmarkEnd w:id="836"/>
      <w:bookmarkEnd w:id="837"/>
      <w:bookmarkEnd w:id="838"/>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840" w:name="_Toc92864008"/>
      <w:bookmarkStart w:id="841" w:name="_Toc170183963"/>
      <w:bookmarkStart w:id="842" w:name="_Toc170184043"/>
      <w:bookmarkStart w:id="843" w:name="_Toc389662746"/>
      <w:bookmarkStart w:id="844" w:name="_Toc389662816"/>
      <w:r>
        <w:rPr>
          <w:rStyle w:val="CharSectno"/>
        </w:rPr>
        <w:t>42</w:t>
      </w:r>
      <w:r>
        <w:t>.</w:t>
      </w:r>
      <w:r>
        <w:tab/>
        <w:t>Land vacated for sale by mortgagee</w:t>
      </w:r>
      <w:bookmarkEnd w:id="839"/>
      <w:bookmarkEnd w:id="840"/>
      <w:bookmarkEnd w:id="841"/>
      <w:bookmarkEnd w:id="842"/>
      <w:bookmarkEnd w:id="843"/>
      <w:bookmarkEnd w:id="844"/>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845" w:name="_Hlt530538536"/>
      <w:bookmarkEnd w:id="845"/>
      <w:r>
        <w:t>(3)</w:t>
      </w:r>
      <w:r>
        <w:tab/>
        <w:t xml:space="preserve">However, the property is not exempt if — </w:t>
      </w:r>
    </w:p>
    <w:p>
      <w:pPr>
        <w:pStyle w:val="Indenta"/>
      </w:pPr>
      <w:r>
        <w:tab/>
        <w:t>(a)</w:t>
      </w:r>
      <w:r>
        <w:tab/>
        <w:t>the owner is entitled to an exemption in respect of any other property under the same provision or under section 21, 22, 23, 24</w:t>
      </w:r>
      <w:ins w:id="846" w:author="svcMRProcess" w:date="2020-02-17T23:51:00Z">
        <w:r>
          <w:t>, 24A, 25</w:t>
        </w:r>
      </w:ins>
      <w:r>
        <w:t xml:space="preserve"> or </w:t>
      </w:r>
      <w:del w:id="847" w:author="svcMRProcess" w:date="2020-02-17T23:51:00Z">
        <w:r>
          <w:delText>25</w:delText>
        </w:r>
      </w:del>
      <w:ins w:id="848" w:author="svcMRProcess" w:date="2020-02-17T23:51:00Z">
        <w:r>
          <w:t>25A</w:t>
        </w:r>
      </w:ins>
      <w:r>
        <w:t>;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rPr>
          <w:ins w:id="849" w:author="svcMRProcess" w:date="2020-02-17T23:51:00Z"/>
        </w:rPr>
      </w:pPr>
      <w:bookmarkStart w:id="850" w:name="_Toc76895252"/>
      <w:bookmarkStart w:id="851" w:name="_Toc92864009"/>
      <w:bookmarkStart w:id="852" w:name="_Toc113164586"/>
      <w:bookmarkStart w:id="853" w:name="_Toc113165052"/>
      <w:bookmarkStart w:id="854" w:name="_Toc113165274"/>
      <w:bookmarkStart w:id="855" w:name="_Toc113169664"/>
      <w:bookmarkStart w:id="856" w:name="_Toc113943418"/>
      <w:bookmarkStart w:id="857" w:name="_Toc113943488"/>
      <w:bookmarkStart w:id="858" w:name="_Toc122765847"/>
      <w:bookmarkStart w:id="859" w:name="_Toc131397867"/>
      <w:ins w:id="860" w:author="svcMRProcess" w:date="2020-02-17T23:51:00Z">
        <w:r>
          <w:tab/>
          <w:t>[Section 42 amended by No. 31 of 2006 s. 24.]</w:t>
        </w:r>
      </w:ins>
    </w:p>
    <w:p>
      <w:pPr>
        <w:pStyle w:val="Heading2"/>
      </w:pPr>
      <w:bookmarkStart w:id="861" w:name="_Toc170183964"/>
      <w:bookmarkStart w:id="862" w:name="_Toc170184044"/>
      <w:bookmarkStart w:id="863" w:name="_Toc389662747"/>
      <w:bookmarkStart w:id="864" w:name="_Toc389662817"/>
      <w:r>
        <w:rPr>
          <w:rStyle w:val="CharPartNo"/>
        </w:rPr>
        <w:t>Part 4</w:t>
      </w:r>
      <w:r>
        <w:rPr>
          <w:rStyle w:val="CharDivNo"/>
        </w:rPr>
        <w:t xml:space="preserve"> </w:t>
      </w:r>
      <w:r>
        <w:t>—</w:t>
      </w:r>
      <w:r>
        <w:rPr>
          <w:rStyle w:val="CharDivText"/>
        </w:rPr>
        <w:t xml:space="preserve"> </w:t>
      </w:r>
      <w:r>
        <w:rPr>
          <w:rStyle w:val="CharPartText"/>
        </w:rPr>
        <w:t>Miscellaneous</w:t>
      </w:r>
      <w:bookmarkEnd w:id="850"/>
      <w:bookmarkEnd w:id="851"/>
      <w:bookmarkEnd w:id="852"/>
      <w:bookmarkEnd w:id="853"/>
      <w:bookmarkEnd w:id="854"/>
      <w:bookmarkEnd w:id="855"/>
      <w:bookmarkEnd w:id="856"/>
      <w:bookmarkEnd w:id="857"/>
      <w:bookmarkEnd w:id="858"/>
      <w:bookmarkEnd w:id="859"/>
      <w:bookmarkEnd w:id="861"/>
      <w:bookmarkEnd w:id="862"/>
      <w:bookmarkEnd w:id="863"/>
      <w:bookmarkEnd w:id="864"/>
    </w:p>
    <w:p>
      <w:pPr>
        <w:pStyle w:val="Heading5"/>
      </w:pPr>
      <w:bookmarkStart w:id="865" w:name="_Toc472848682"/>
      <w:bookmarkStart w:id="866" w:name="_Toc472916285"/>
      <w:bookmarkStart w:id="867" w:name="_Toc27491817"/>
      <w:bookmarkStart w:id="868" w:name="_Toc92864010"/>
      <w:bookmarkStart w:id="869" w:name="_Toc170183965"/>
      <w:bookmarkStart w:id="870" w:name="_Toc170184045"/>
      <w:bookmarkStart w:id="871" w:name="_Toc389662748"/>
      <w:bookmarkStart w:id="872" w:name="_Toc389662818"/>
      <w:r>
        <w:rPr>
          <w:rStyle w:val="CharSectno"/>
        </w:rPr>
        <w:t>43</w:t>
      </w:r>
      <w:r>
        <w:t>.</w:t>
      </w:r>
      <w:r>
        <w:tab/>
        <w:t>Information to be given by occupier or person in possession</w:t>
      </w:r>
      <w:bookmarkEnd w:id="865"/>
      <w:bookmarkEnd w:id="866"/>
      <w:bookmarkEnd w:id="867"/>
      <w:bookmarkEnd w:id="868"/>
      <w:bookmarkEnd w:id="869"/>
      <w:bookmarkEnd w:id="870"/>
      <w:bookmarkEnd w:id="871"/>
      <w:bookmarkEnd w:id="87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873" w:name="_Toc472848683"/>
      <w:bookmarkStart w:id="874" w:name="_Toc472916286"/>
      <w:bookmarkStart w:id="875" w:name="_Toc27491818"/>
      <w:bookmarkStart w:id="876" w:name="_Toc92864011"/>
      <w:bookmarkStart w:id="877" w:name="_Toc170183966"/>
      <w:bookmarkStart w:id="878" w:name="_Toc170184046"/>
      <w:bookmarkStart w:id="879" w:name="_Toc389662749"/>
      <w:bookmarkStart w:id="880" w:name="_Toc389662819"/>
      <w:r>
        <w:rPr>
          <w:rStyle w:val="CharSectno"/>
        </w:rPr>
        <w:t>44</w:t>
      </w:r>
      <w:r>
        <w:t>.</w:t>
      </w:r>
      <w:r>
        <w:tab/>
        <w:t>Application of Act to university land</w:t>
      </w:r>
      <w:bookmarkEnd w:id="873"/>
      <w:bookmarkEnd w:id="874"/>
      <w:bookmarkEnd w:id="875"/>
      <w:bookmarkEnd w:id="876"/>
      <w:bookmarkEnd w:id="877"/>
      <w:bookmarkEnd w:id="878"/>
      <w:bookmarkEnd w:id="879"/>
      <w:bookmarkEnd w:id="88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881" w:name="_Toc472848684"/>
      <w:bookmarkStart w:id="882" w:name="_Toc472916287"/>
      <w:bookmarkStart w:id="883" w:name="_Toc27491819"/>
      <w:bookmarkStart w:id="884" w:name="_Toc92864012"/>
      <w:bookmarkStart w:id="885" w:name="_Toc170183967"/>
      <w:bookmarkStart w:id="886" w:name="_Toc170184047"/>
      <w:bookmarkStart w:id="887" w:name="_Toc389662750"/>
      <w:bookmarkStart w:id="888" w:name="_Toc389662820"/>
      <w:r>
        <w:rPr>
          <w:rStyle w:val="CharSectno"/>
        </w:rPr>
        <w:t>45</w:t>
      </w:r>
      <w:r>
        <w:t>.</w:t>
      </w:r>
      <w:r>
        <w:tab/>
        <w:t>Contracts ineffective to alter incidence of land tax</w:t>
      </w:r>
      <w:bookmarkEnd w:id="881"/>
      <w:bookmarkEnd w:id="882"/>
      <w:bookmarkEnd w:id="883"/>
      <w:bookmarkEnd w:id="884"/>
      <w:bookmarkEnd w:id="885"/>
      <w:bookmarkEnd w:id="886"/>
      <w:bookmarkEnd w:id="887"/>
      <w:bookmarkEnd w:id="888"/>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rPr>
          <w:ins w:id="889" w:author="svcMRProcess" w:date="2020-02-17T23:51:00Z"/>
        </w:rPr>
      </w:pPr>
      <w:bookmarkStart w:id="890" w:name="_Toc135547970"/>
      <w:bookmarkStart w:id="891" w:name="_Toc139791555"/>
      <w:bookmarkStart w:id="892" w:name="_Toc139791863"/>
      <w:bookmarkStart w:id="893" w:name="_Toc170183968"/>
      <w:bookmarkStart w:id="894" w:name="_Toc170184048"/>
      <w:bookmarkStart w:id="895" w:name="_Toc472848685"/>
      <w:bookmarkStart w:id="896" w:name="_Toc472916288"/>
      <w:bookmarkStart w:id="897" w:name="_Toc27491820"/>
      <w:bookmarkStart w:id="898" w:name="_Toc92864013"/>
      <w:ins w:id="899" w:author="svcMRProcess" w:date="2020-02-17T23:51:00Z">
        <w:r>
          <w:t>45A.</w:t>
        </w:r>
        <w:r>
          <w:tab/>
          <w:t>Commissioner may determine that minor interest is to be disregarded</w:t>
        </w:r>
        <w:bookmarkEnd w:id="890"/>
        <w:bookmarkEnd w:id="891"/>
        <w:bookmarkEnd w:id="892"/>
        <w:bookmarkEnd w:id="893"/>
        <w:bookmarkEnd w:id="894"/>
      </w:ins>
    </w:p>
    <w:p>
      <w:pPr>
        <w:pStyle w:val="Subsection"/>
        <w:rPr>
          <w:ins w:id="900" w:author="svcMRProcess" w:date="2020-02-17T23:51:00Z"/>
        </w:rPr>
      </w:pPr>
      <w:ins w:id="901" w:author="svcMRProcess" w:date="2020-02-17T23:51:00Z">
        <w:r>
          <w:tab/>
          <w:t>(1)</w:t>
        </w:r>
        <w:r>
          <w:tab/>
          <w:t>T</w:t>
        </w:r>
        <w:r>
          <w:rPr>
            <w:bCs/>
          </w:rPr>
          <w:t>he Commissioner may determine that an interest in a lot or parcel of land as a joint owner (whenever created) is to be disregarded for the purposes of this Act.</w:t>
        </w:r>
      </w:ins>
    </w:p>
    <w:p>
      <w:pPr>
        <w:pStyle w:val="Subsection"/>
        <w:rPr>
          <w:ins w:id="902" w:author="svcMRProcess" w:date="2020-02-17T23:51:00Z"/>
        </w:rPr>
      </w:pPr>
      <w:ins w:id="903" w:author="svcMRProcess" w:date="2020-02-17T23:51:00Z">
        <w:r>
          <w:tab/>
          <w:t>(2)</w:t>
        </w:r>
        <w:r>
          <w:tab/>
          <w:t xml:space="preserve">The Commissioner can only make a determination under subsection (1) if — </w:t>
        </w:r>
      </w:ins>
    </w:p>
    <w:p>
      <w:pPr>
        <w:pStyle w:val="Indenta"/>
        <w:rPr>
          <w:ins w:id="904" w:author="svcMRProcess" w:date="2020-02-17T23:51:00Z"/>
        </w:rPr>
      </w:pPr>
      <w:ins w:id="905" w:author="svcMRProcess" w:date="2020-02-17T23:51:00Z">
        <w:r>
          <w:tab/>
          <w:t>(a)</w:t>
        </w:r>
        <w:r>
          <w:tab/>
          <w:t>the interest is a minor interest in the lot or parcel of land; and</w:t>
        </w:r>
      </w:ins>
    </w:p>
    <w:p>
      <w:pPr>
        <w:pStyle w:val="Indenta"/>
        <w:rPr>
          <w:ins w:id="906" w:author="svcMRProcess" w:date="2020-02-17T23:51:00Z"/>
        </w:rPr>
      </w:pPr>
      <w:ins w:id="907" w:author="svcMRProcess" w:date="2020-02-17T23:51:00Z">
        <w:r>
          <w:tab/>
          <w:t>(b)</w:t>
        </w:r>
        <w:r>
          <w:tab/>
          <w:t>the Commissioner is of the opinion that the purpose, or one of the purposes, of the creation of the interest was to reduce the amount of land tax payable for that, or any other, lot or parcel of land.</w:t>
        </w:r>
      </w:ins>
    </w:p>
    <w:p>
      <w:pPr>
        <w:pStyle w:val="Subsection"/>
        <w:rPr>
          <w:ins w:id="908" w:author="svcMRProcess" w:date="2020-02-17T23:51:00Z"/>
        </w:rPr>
      </w:pPr>
      <w:ins w:id="909" w:author="svcMRProcess" w:date="2020-02-17T23:51:00Z">
        <w:r>
          <w:tab/>
          <w:t>(3)</w:t>
        </w:r>
        <w:r>
          <w:tab/>
          <w:t xml:space="preserve">For the purposes of subsection (2)(b), the Commissioner may have regard to — </w:t>
        </w:r>
      </w:ins>
    </w:p>
    <w:p>
      <w:pPr>
        <w:pStyle w:val="Indenta"/>
        <w:rPr>
          <w:ins w:id="910" w:author="svcMRProcess" w:date="2020-02-17T23:51:00Z"/>
        </w:rPr>
      </w:pPr>
      <w:ins w:id="911" w:author="svcMRProcess" w:date="2020-02-17T23:51:00Z">
        <w:r>
          <w:tab/>
          <w:t>(a)</w:t>
        </w:r>
        <w:r>
          <w:tab/>
          <w:t>the nature of any relationship between the owners of the lot or parcel of land; and</w:t>
        </w:r>
      </w:ins>
    </w:p>
    <w:p>
      <w:pPr>
        <w:pStyle w:val="Indenta"/>
        <w:rPr>
          <w:ins w:id="912" w:author="svcMRProcess" w:date="2020-02-17T23:51:00Z"/>
        </w:rPr>
      </w:pPr>
      <w:ins w:id="913" w:author="svcMRProcess" w:date="2020-02-17T23:51:00Z">
        <w:r>
          <w:tab/>
          <w:t>(b)</w:t>
        </w:r>
        <w:r>
          <w:tab/>
          <w:t>the form and substance of any transaction giving rise to the interest, including the legal and economic obligations of the parties and the economic and commercial substance of the transaction; and</w:t>
        </w:r>
      </w:ins>
    </w:p>
    <w:p>
      <w:pPr>
        <w:pStyle w:val="Indenta"/>
        <w:rPr>
          <w:ins w:id="914" w:author="svcMRProcess" w:date="2020-02-17T23:51:00Z"/>
        </w:rPr>
      </w:pPr>
      <w:ins w:id="915" w:author="svcMRProcess" w:date="2020-02-17T23:51:00Z">
        <w:r>
          <w:tab/>
          <w:t>(c)</w:t>
        </w:r>
        <w:r>
          <w:tab/>
          <w:t>the lack of consideration, or the amount or value and source of the consideration, for the transaction giving rise to the interest; and</w:t>
        </w:r>
      </w:ins>
    </w:p>
    <w:p>
      <w:pPr>
        <w:pStyle w:val="Indenta"/>
        <w:rPr>
          <w:ins w:id="916" w:author="svcMRProcess" w:date="2020-02-17T23:51:00Z"/>
        </w:rPr>
      </w:pPr>
      <w:ins w:id="917" w:author="svcMRProcess" w:date="2020-02-17T23:51:00Z">
        <w:r>
          <w:tab/>
          <w:t>(d)</w:t>
        </w:r>
        <w:r>
          <w:tab/>
          <w:t>whether any professional advice was received in relation to the transaction giving rise to the interest; and</w:t>
        </w:r>
      </w:ins>
    </w:p>
    <w:p>
      <w:pPr>
        <w:pStyle w:val="Indenta"/>
        <w:rPr>
          <w:ins w:id="918" w:author="svcMRProcess" w:date="2020-02-17T23:51:00Z"/>
        </w:rPr>
      </w:pPr>
      <w:ins w:id="919" w:author="svcMRProcess" w:date="2020-02-17T23:51:00Z">
        <w:r>
          <w:tab/>
          <w:t>(e)</w:t>
        </w:r>
        <w:r>
          <w:tab/>
          <w:t>the way in which the transaction giving rise to the interest was entered into or carried out; and</w:t>
        </w:r>
      </w:ins>
    </w:p>
    <w:p>
      <w:pPr>
        <w:pStyle w:val="Indenta"/>
        <w:rPr>
          <w:ins w:id="920" w:author="svcMRProcess" w:date="2020-02-17T23:51:00Z"/>
        </w:rPr>
      </w:pPr>
      <w:ins w:id="921" w:author="svcMRProcess" w:date="2020-02-17T23:51:00Z">
        <w:r>
          <w:tab/>
          <w:t>(f)</w:t>
        </w:r>
        <w:r>
          <w:tab/>
          <w:t>any other matter the Commissioner considers relevant.</w:t>
        </w:r>
      </w:ins>
    </w:p>
    <w:p>
      <w:pPr>
        <w:pStyle w:val="Subsection"/>
        <w:rPr>
          <w:ins w:id="922" w:author="svcMRProcess" w:date="2020-02-17T23:51:00Z"/>
        </w:rPr>
      </w:pPr>
      <w:ins w:id="923" w:author="svcMRProcess" w:date="2020-02-17T23:51:00Z">
        <w:r>
          <w:tab/>
          <w:t>(4)</w:t>
        </w:r>
        <w:r>
          <w:tab/>
          <w:t>On making a determination under subsection (1) in respect of a lot or parcel of land, the Commissioner must give to the owner of the lot or parcel of land a notice setting out the determination and the reasons for the determination.</w:t>
        </w:r>
      </w:ins>
    </w:p>
    <w:p>
      <w:pPr>
        <w:pStyle w:val="Subsection"/>
        <w:rPr>
          <w:ins w:id="924" w:author="svcMRProcess" w:date="2020-02-17T23:51:00Z"/>
        </w:rPr>
      </w:pPr>
      <w:ins w:id="925" w:author="svcMRProcess" w:date="2020-02-17T23:51:00Z">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ins>
    </w:p>
    <w:p>
      <w:pPr>
        <w:pStyle w:val="Footnotesection"/>
        <w:rPr>
          <w:ins w:id="926" w:author="svcMRProcess" w:date="2020-02-17T23:51:00Z"/>
        </w:rPr>
      </w:pPr>
      <w:bookmarkStart w:id="927" w:name="_Toc135547971"/>
      <w:bookmarkStart w:id="928" w:name="_Toc139791556"/>
      <w:bookmarkStart w:id="929" w:name="_Toc139791864"/>
      <w:ins w:id="930" w:author="svcMRProcess" w:date="2020-02-17T23:51:00Z">
        <w:r>
          <w:tab/>
          <w:t>[Section 45A inserted by No. 31 of 2006 s. 30.]</w:t>
        </w:r>
      </w:ins>
    </w:p>
    <w:p>
      <w:pPr>
        <w:pStyle w:val="Heading5"/>
        <w:rPr>
          <w:ins w:id="931" w:author="svcMRProcess" w:date="2020-02-17T23:51:00Z"/>
        </w:rPr>
      </w:pPr>
      <w:bookmarkStart w:id="932" w:name="_Toc170183969"/>
      <w:bookmarkStart w:id="933" w:name="_Toc170184049"/>
      <w:ins w:id="934" w:author="svcMRProcess" w:date="2020-02-17T23:51:00Z">
        <w:r>
          <w:rPr>
            <w:rStyle w:val="CharSectno"/>
          </w:rPr>
          <w:t>45B</w:t>
        </w:r>
        <w:r>
          <w:t>.</w:t>
        </w:r>
        <w:r>
          <w:tab/>
          <w:t>Effect of determination under section 45A</w:t>
        </w:r>
        <w:bookmarkEnd w:id="927"/>
        <w:bookmarkEnd w:id="928"/>
        <w:bookmarkEnd w:id="929"/>
        <w:bookmarkEnd w:id="932"/>
        <w:bookmarkEnd w:id="933"/>
      </w:ins>
    </w:p>
    <w:p>
      <w:pPr>
        <w:pStyle w:val="Subsection"/>
        <w:rPr>
          <w:ins w:id="935" w:author="svcMRProcess" w:date="2020-02-17T23:51:00Z"/>
        </w:rPr>
      </w:pPr>
      <w:ins w:id="936" w:author="svcMRProcess" w:date="2020-02-17T23:51:00Z">
        <w:r>
          <w:tab/>
        </w:r>
        <w:r>
          <w:tab/>
          <w:t xml:space="preserve">If the Commissioner makes a determination under section 45A that an interest in a lot or parcel of land is an interest that is to be disregarded — </w:t>
        </w:r>
      </w:ins>
    </w:p>
    <w:p>
      <w:pPr>
        <w:pStyle w:val="Indenta"/>
        <w:rPr>
          <w:ins w:id="937" w:author="svcMRProcess" w:date="2020-02-17T23:51:00Z"/>
        </w:rPr>
      </w:pPr>
      <w:ins w:id="938" w:author="svcMRProcess" w:date="2020-02-17T23:51:00Z">
        <w:r>
          <w:tab/>
          <w:t>(a)</w:t>
        </w:r>
        <w:r>
          <w:tab/>
          <w:t>the owner of the interest is to be taken not to be an owner of the lot or parcel of land for the purposes of this Act; and</w:t>
        </w:r>
      </w:ins>
    </w:p>
    <w:p>
      <w:pPr>
        <w:pStyle w:val="Indenta"/>
        <w:rPr>
          <w:ins w:id="939" w:author="svcMRProcess" w:date="2020-02-17T23:51:00Z"/>
        </w:rPr>
      </w:pPr>
      <w:ins w:id="940" w:author="svcMRProcess" w:date="2020-02-17T23:51:00Z">
        <w:r>
          <w:tab/>
          <w:t>(b)</w:t>
        </w:r>
        <w:r>
          <w:tab/>
          <w:t>the land tax payable on the land is to be assessed, and is payable, as if the land were wholly owned by the owner of the land who does not have an interest in the land in respect of which such a determination has been made.</w:t>
        </w:r>
      </w:ins>
    </w:p>
    <w:p>
      <w:pPr>
        <w:pStyle w:val="Footnotesection"/>
        <w:rPr>
          <w:ins w:id="941" w:author="svcMRProcess" w:date="2020-02-17T23:51:00Z"/>
        </w:rPr>
      </w:pPr>
      <w:ins w:id="942" w:author="svcMRProcess" w:date="2020-02-17T23:51:00Z">
        <w:r>
          <w:tab/>
          <w:t>[Section 45B inserted by No. 31 of 2006 s. 30.]</w:t>
        </w:r>
      </w:ins>
    </w:p>
    <w:p>
      <w:pPr>
        <w:pStyle w:val="Heading5"/>
      </w:pPr>
      <w:bookmarkStart w:id="943" w:name="_Toc170183970"/>
      <w:bookmarkStart w:id="944" w:name="_Toc170184050"/>
      <w:bookmarkStart w:id="945" w:name="_Toc389662751"/>
      <w:bookmarkStart w:id="946" w:name="_Toc389662821"/>
      <w:r>
        <w:rPr>
          <w:rStyle w:val="CharSectno"/>
        </w:rPr>
        <w:t>46</w:t>
      </w:r>
      <w:r>
        <w:t>.</w:t>
      </w:r>
      <w:r>
        <w:tab/>
        <w:t>Regulations</w:t>
      </w:r>
      <w:bookmarkEnd w:id="895"/>
      <w:bookmarkEnd w:id="896"/>
      <w:bookmarkEnd w:id="897"/>
      <w:bookmarkEnd w:id="898"/>
      <w:bookmarkEnd w:id="943"/>
      <w:bookmarkEnd w:id="944"/>
      <w:bookmarkEnd w:id="945"/>
      <w:bookmarkEnd w:id="946"/>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pPr>
      <w:r>
        <w:tab/>
        <w:t>(3)</w:t>
      </w:r>
      <w:r>
        <w:tab/>
        <w:t>Regulations may create offences and provide, in respect of an offence so created, for the imposition of a fine not exceeding $5 000.</w:t>
      </w:r>
    </w:p>
    <w:p>
      <w:pPr>
        <w:pStyle w:val="Heading5"/>
        <w:rPr>
          <w:ins w:id="947" w:author="svcMRProcess" w:date="2020-02-17T23:51:00Z"/>
        </w:rPr>
      </w:pPr>
      <w:bookmarkStart w:id="948" w:name="_Toc135547958"/>
      <w:bookmarkStart w:id="949" w:name="_Toc139791543"/>
      <w:bookmarkStart w:id="950" w:name="_Toc139791851"/>
      <w:bookmarkStart w:id="951" w:name="_Toc170183971"/>
      <w:bookmarkStart w:id="952" w:name="_Toc170184051"/>
      <w:ins w:id="953" w:author="svcMRProcess" w:date="2020-02-17T23:51:00Z">
        <w:r>
          <w:t>47.</w:t>
        </w:r>
        <w:r>
          <w:tab/>
          <w:t>Transitional provisions</w:t>
        </w:r>
        <w:bookmarkEnd w:id="948"/>
        <w:bookmarkEnd w:id="949"/>
        <w:bookmarkEnd w:id="950"/>
        <w:bookmarkEnd w:id="951"/>
        <w:bookmarkEnd w:id="952"/>
      </w:ins>
    </w:p>
    <w:p>
      <w:pPr>
        <w:pStyle w:val="Subsection"/>
        <w:rPr>
          <w:ins w:id="954" w:author="svcMRProcess" w:date="2020-02-17T23:51:00Z"/>
        </w:rPr>
      </w:pPr>
      <w:ins w:id="955" w:author="svcMRProcess" w:date="2020-02-17T23:51:00Z">
        <w:r>
          <w:tab/>
        </w:r>
        <w:r>
          <w:tab/>
          <w:t>Schedule 1 contains transitional provisions relating to amendments made to this Act.</w:t>
        </w:r>
      </w:ins>
    </w:p>
    <w:p>
      <w:pPr>
        <w:pStyle w:val="Footnotesection"/>
        <w:rPr>
          <w:ins w:id="956" w:author="svcMRProcess" w:date="2020-02-17T23:51:00Z"/>
        </w:rPr>
      </w:pPr>
      <w:ins w:id="957" w:author="svcMRProcess" w:date="2020-02-17T23:51:00Z">
        <w:r>
          <w:tab/>
          <w:t>[Section 47 inserted by No. 31 of 2006 s. 25.]</w:t>
        </w:r>
      </w:ins>
    </w:p>
    <w:p>
      <w:pPr>
        <w:rPr>
          <w:ins w:id="958" w:author="svcMRProcess" w:date="2020-02-17T23:51:00Z"/>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rPr>
          <w:ins w:id="959" w:author="svcMRProcess" w:date="2020-02-17T23:51:00Z"/>
        </w:rPr>
      </w:pPr>
      <w:bookmarkStart w:id="960" w:name="_Toc134264158"/>
      <w:bookmarkStart w:id="961" w:name="_Toc134323997"/>
      <w:bookmarkStart w:id="962" w:name="_Toc134324866"/>
      <w:bookmarkStart w:id="963" w:name="_Toc134324943"/>
      <w:bookmarkStart w:id="964" w:name="_Toc134325430"/>
      <w:bookmarkStart w:id="965" w:name="_Toc134331823"/>
      <w:bookmarkStart w:id="966" w:name="_Toc134331975"/>
      <w:bookmarkStart w:id="967" w:name="_Toc134412420"/>
      <w:bookmarkStart w:id="968" w:name="_Toc134412636"/>
      <w:bookmarkStart w:id="969" w:name="_Toc134412894"/>
      <w:bookmarkStart w:id="970" w:name="_Toc134413068"/>
      <w:bookmarkStart w:id="971" w:name="_Toc134429739"/>
      <w:bookmarkStart w:id="972" w:name="_Toc134430016"/>
      <w:bookmarkStart w:id="973" w:name="_Toc134430089"/>
      <w:bookmarkStart w:id="974" w:name="_Toc134434211"/>
      <w:bookmarkStart w:id="975" w:name="_Toc134434334"/>
      <w:bookmarkStart w:id="976" w:name="_Toc134437998"/>
      <w:bookmarkStart w:id="977" w:name="_Toc134501616"/>
      <w:bookmarkStart w:id="978" w:name="_Toc134504180"/>
      <w:bookmarkStart w:id="979" w:name="_Toc134504254"/>
      <w:bookmarkStart w:id="980" w:name="_Toc134506270"/>
      <w:bookmarkStart w:id="981" w:name="_Toc134506753"/>
      <w:bookmarkStart w:id="982" w:name="_Toc134507278"/>
      <w:bookmarkStart w:id="983" w:name="_Toc134508343"/>
      <w:bookmarkStart w:id="984" w:name="_Toc134508448"/>
      <w:bookmarkStart w:id="985" w:name="_Toc134508607"/>
      <w:bookmarkStart w:id="986" w:name="_Toc134508977"/>
      <w:bookmarkStart w:id="987" w:name="_Toc134522368"/>
      <w:bookmarkStart w:id="988" w:name="_Toc134583571"/>
      <w:bookmarkStart w:id="989" w:name="_Toc134583969"/>
      <w:bookmarkStart w:id="990" w:name="_Toc134603368"/>
      <w:bookmarkStart w:id="991" w:name="_Toc134608499"/>
      <w:bookmarkStart w:id="992" w:name="_Toc134608840"/>
      <w:bookmarkStart w:id="993" w:name="_Toc134609084"/>
      <w:bookmarkStart w:id="994" w:name="_Toc135026407"/>
      <w:bookmarkStart w:id="995" w:name="_Toc135040937"/>
      <w:bookmarkStart w:id="996" w:name="_Toc135041143"/>
      <w:bookmarkStart w:id="997" w:name="_Toc135041395"/>
      <w:bookmarkStart w:id="998" w:name="_Toc135101635"/>
      <w:bookmarkStart w:id="999" w:name="_Toc135101740"/>
      <w:bookmarkStart w:id="1000" w:name="_Toc135472333"/>
      <w:bookmarkStart w:id="1001" w:name="_Toc135544025"/>
      <w:bookmarkStart w:id="1002" w:name="_Toc135547960"/>
      <w:bookmarkStart w:id="1003" w:name="_Toc139791545"/>
      <w:bookmarkStart w:id="1004" w:name="_Toc139791853"/>
      <w:bookmarkStart w:id="1005" w:name="_Toc170183972"/>
      <w:bookmarkStart w:id="1006" w:name="_Toc170184052"/>
      <w:bookmarkStart w:id="1007" w:name="_Toc92864014"/>
      <w:bookmarkStart w:id="1008" w:name="_Toc113164591"/>
      <w:bookmarkStart w:id="1009" w:name="_Toc113165057"/>
      <w:bookmarkStart w:id="1010" w:name="_Toc113165279"/>
      <w:bookmarkStart w:id="1011" w:name="_Toc113169669"/>
      <w:bookmarkStart w:id="1012" w:name="_Toc113943423"/>
      <w:bookmarkStart w:id="1013" w:name="_Toc113943493"/>
      <w:bookmarkStart w:id="1014" w:name="_Toc122765852"/>
      <w:bookmarkStart w:id="1015" w:name="_Toc131397872"/>
      <w:ins w:id="1016" w:author="svcMRProcess" w:date="2020-02-17T23:51:00Z">
        <w:r>
          <w:rPr>
            <w:rStyle w:val="CharSchNo"/>
          </w:rPr>
          <w:t>Schedule 1</w:t>
        </w:r>
        <w:r>
          <w:t> — </w:t>
        </w:r>
        <w:r>
          <w:rPr>
            <w:rStyle w:val="CharSchText"/>
          </w:rPr>
          <w:t>Transitional provisions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ins>
    </w:p>
    <w:p>
      <w:pPr>
        <w:pStyle w:val="yShoulderClause"/>
        <w:rPr>
          <w:ins w:id="1017" w:author="svcMRProcess" w:date="2020-02-17T23:51:00Z"/>
        </w:rPr>
      </w:pPr>
      <w:ins w:id="1018" w:author="svcMRProcess" w:date="2020-02-17T23:51:00Z">
        <w:r>
          <w:t>[s. 47]</w:t>
        </w:r>
      </w:ins>
    </w:p>
    <w:p>
      <w:pPr>
        <w:pStyle w:val="yFootnoteheading"/>
        <w:rPr>
          <w:ins w:id="1019" w:author="svcMRProcess" w:date="2020-02-17T23:51:00Z"/>
        </w:rPr>
      </w:pPr>
      <w:ins w:id="1020" w:author="svcMRProcess" w:date="2020-02-17T23:51:00Z">
        <w:r>
          <w:tab/>
          <w:t>[Heading inserted by No. 31 of 2006 s. 26.]</w:t>
        </w:r>
      </w:ins>
    </w:p>
    <w:p>
      <w:pPr>
        <w:pStyle w:val="yHeading3"/>
        <w:rPr>
          <w:ins w:id="1021" w:author="svcMRProcess" w:date="2020-02-17T23:51:00Z"/>
        </w:rPr>
      </w:pPr>
      <w:bookmarkStart w:id="1022" w:name="_Toc134331824"/>
      <w:bookmarkStart w:id="1023" w:name="_Toc134331976"/>
      <w:bookmarkStart w:id="1024" w:name="_Toc134412421"/>
      <w:bookmarkStart w:id="1025" w:name="_Toc134412637"/>
      <w:bookmarkStart w:id="1026" w:name="_Toc134412895"/>
      <w:bookmarkStart w:id="1027" w:name="_Toc134413069"/>
      <w:bookmarkStart w:id="1028" w:name="_Toc134429740"/>
      <w:bookmarkStart w:id="1029" w:name="_Toc134430017"/>
      <w:bookmarkStart w:id="1030" w:name="_Toc134430090"/>
      <w:bookmarkStart w:id="1031" w:name="_Toc134434212"/>
      <w:bookmarkStart w:id="1032" w:name="_Toc134434335"/>
      <w:bookmarkStart w:id="1033" w:name="_Toc134437999"/>
      <w:bookmarkStart w:id="1034" w:name="_Toc134501617"/>
      <w:bookmarkStart w:id="1035" w:name="_Toc134504181"/>
      <w:bookmarkStart w:id="1036" w:name="_Toc134504255"/>
      <w:bookmarkStart w:id="1037" w:name="_Toc134506271"/>
      <w:bookmarkStart w:id="1038" w:name="_Toc134506754"/>
      <w:bookmarkStart w:id="1039" w:name="_Toc134507279"/>
      <w:bookmarkStart w:id="1040" w:name="_Toc134508344"/>
      <w:bookmarkStart w:id="1041" w:name="_Toc134508449"/>
      <w:bookmarkStart w:id="1042" w:name="_Toc134508608"/>
      <w:bookmarkStart w:id="1043" w:name="_Toc134508978"/>
      <w:bookmarkStart w:id="1044" w:name="_Toc134522369"/>
      <w:bookmarkStart w:id="1045" w:name="_Toc134583572"/>
      <w:bookmarkStart w:id="1046" w:name="_Toc134583970"/>
      <w:bookmarkStart w:id="1047" w:name="_Toc134603369"/>
      <w:bookmarkStart w:id="1048" w:name="_Toc134608500"/>
      <w:bookmarkStart w:id="1049" w:name="_Toc134608841"/>
      <w:bookmarkStart w:id="1050" w:name="_Toc134609085"/>
      <w:bookmarkStart w:id="1051" w:name="_Toc135026408"/>
      <w:bookmarkStart w:id="1052" w:name="_Toc135040938"/>
      <w:bookmarkStart w:id="1053" w:name="_Toc135041144"/>
      <w:bookmarkStart w:id="1054" w:name="_Toc135041396"/>
      <w:bookmarkStart w:id="1055" w:name="_Toc135101636"/>
      <w:bookmarkStart w:id="1056" w:name="_Toc135101741"/>
      <w:bookmarkStart w:id="1057" w:name="_Toc135472334"/>
      <w:bookmarkStart w:id="1058" w:name="_Toc135544026"/>
      <w:bookmarkStart w:id="1059" w:name="_Toc135547961"/>
      <w:bookmarkStart w:id="1060" w:name="_Toc139791546"/>
      <w:bookmarkStart w:id="1061" w:name="_Toc139791854"/>
      <w:bookmarkStart w:id="1062" w:name="_Toc170183973"/>
      <w:bookmarkStart w:id="1063" w:name="_Toc170184053"/>
      <w:ins w:id="1064" w:author="svcMRProcess" w:date="2020-02-17T23:51:00Z">
        <w:r>
          <w:rPr>
            <w:rStyle w:val="CharSDivNo"/>
          </w:rPr>
          <w:t>Division 1</w:t>
        </w:r>
        <w:r>
          <w:rPr>
            <w:b w:val="0"/>
          </w:rPr>
          <w:t> — </w:t>
        </w:r>
        <w:r>
          <w:rPr>
            <w:rStyle w:val="CharSDivText"/>
          </w:rPr>
          <w:t xml:space="preserve">Provision for </w:t>
        </w:r>
        <w:r>
          <w:rPr>
            <w:rStyle w:val="CharSDivText"/>
            <w:i/>
            <w:iCs/>
          </w:rPr>
          <w:t>Revenue Laws Amendment Act 2006</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ins>
    </w:p>
    <w:p>
      <w:pPr>
        <w:pStyle w:val="yFootnoteheading"/>
        <w:rPr>
          <w:ins w:id="1065" w:author="svcMRProcess" w:date="2020-02-17T23:51:00Z"/>
        </w:rPr>
      </w:pPr>
      <w:bookmarkStart w:id="1066" w:name="_Toc135547962"/>
      <w:bookmarkStart w:id="1067" w:name="_Toc139791547"/>
      <w:bookmarkStart w:id="1068" w:name="_Toc139791855"/>
      <w:ins w:id="1069" w:author="svcMRProcess" w:date="2020-02-17T23:51:00Z">
        <w:r>
          <w:tab/>
          <w:t>[Heading inserted by No. 31 of 2006 s. 26.]</w:t>
        </w:r>
      </w:ins>
    </w:p>
    <w:p>
      <w:pPr>
        <w:pStyle w:val="yHeading5"/>
        <w:rPr>
          <w:ins w:id="1070" w:author="svcMRProcess" w:date="2020-02-17T23:51:00Z"/>
        </w:rPr>
      </w:pPr>
      <w:bookmarkStart w:id="1071" w:name="_Toc170183974"/>
      <w:bookmarkStart w:id="1072" w:name="_Toc170184054"/>
      <w:ins w:id="1073" w:author="svcMRProcess" w:date="2020-02-17T23:51:00Z">
        <w:r>
          <w:rPr>
            <w:rStyle w:val="CharSClsNo"/>
          </w:rPr>
          <w:t>1</w:t>
        </w:r>
        <w:r>
          <w:t>.</w:t>
        </w:r>
        <w:r>
          <w:rPr>
            <w:b w:val="0"/>
          </w:rPr>
          <w:tab/>
        </w:r>
        <w:r>
          <w:t>Application of sections 24A, 25A and 27A</w:t>
        </w:r>
        <w:bookmarkEnd w:id="1066"/>
        <w:bookmarkEnd w:id="1067"/>
        <w:bookmarkEnd w:id="1068"/>
        <w:bookmarkEnd w:id="1071"/>
        <w:bookmarkEnd w:id="1072"/>
      </w:ins>
    </w:p>
    <w:p>
      <w:pPr>
        <w:pStyle w:val="ySubsection"/>
        <w:rPr>
          <w:ins w:id="1074" w:author="svcMRProcess" w:date="2020-02-17T23:51:00Z"/>
        </w:rPr>
      </w:pPr>
      <w:ins w:id="1075" w:author="svcMRProcess" w:date="2020-02-17T23:51:00Z">
        <w:r>
          <w:tab/>
        </w:r>
        <w:r>
          <w:tab/>
          <w:t xml:space="preserve">Private residential property is exempt under section 24A, 25A or 27A (as inserted by Part 4 Division 2 of the </w:t>
        </w:r>
        <w:r>
          <w:rPr>
            <w:i/>
            <w:iCs/>
          </w:rPr>
          <w:t>Revenue Laws Amendment Act 2006</w:t>
        </w:r>
        <w:r>
          <w:t>) if the completion date for the construction or refurbishment of the private residence that forms part of the property is on or after 1 July 2006.</w:t>
        </w:r>
      </w:ins>
    </w:p>
    <w:p>
      <w:pPr>
        <w:pStyle w:val="yFootnoteheading"/>
        <w:rPr>
          <w:ins w:id="1076" w:author="svcMRProcess" w:date="2020-02-17T23:51:00Z"/>
        </w:rPr>
      </w:pPr>
      <w:ins w:id="1077" w:author="svcMRProcess" w:date="2020-02-17T23:51:00Z">
        <w:r>
          <w:tab/>
          <w:t>[Clause 1 inserted by No. 31 of 2006 s. 26.]</w:t>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ageBreakBefore w:val="0"/>
      </w:pPr>
      <w:bookmarkStart w:id="1078" w:name="_Toc170183975"/>
      <w:bookmarkStart w:id="1079" w:name="_Toc170184055"/>
      <w:bookmarkStart w:id="1080" w:name="_Toc389662752"/>
      <w:bookmarkStart w:id="1081" w:name="_Toc389662822"/>
      <w:r>
        <w:rPr>
          <w:rStyle w:val="CharSchNo"/>
        </w:rPr>
        <w:t>Glossary</w:t>
      </w:r>
      <w:bookmarkEnd w:id="1007"/>
      <w:bookmarkEnd w:id="1008"/>
      <w:bookmarkEnd w:id="1009"/>
      <w:bookmarkEnd w:id="1010"/>
      <w:bookmarkEnd w:id="1011"/>
      <w:bookmarkEnd w:id="1012"/>
      <w:bookmarkEnd w:id="1013"/>
      <w:bookmarkEnd w:id="1014"/>
      <w:bookmarkEnd w:id="1015"/>
      <w:bookmarkEnd w:id="1078"/>
      <w:bookmarkEnd w:id="1079"/>
      <w:bookmarkEnd w:id="1080"/>
      <w:bookmarkEnd w:id="1081"/>
      <w:ins w:id="1082" w:author="svcMRProcess" w:date="2020-02-17T23:51:00Z">
        <w:r>
          <w:rPr>
            <w:rStyle w:val="CharSchText"/>
          </w:rPr>
          <w:t xml:space="preserve"> </w:t>
        </w:r>
      </w:ins>
    </w:p>
    <w:p>
      <w:pPr>
        <w:pStyle w:val="yShoulderClause"/>
      </w:pPr>
      <w:r>
        <w:t>[s.</w:t>
      </w:r>
      <w:bookmarkStart w:id="1083" w:name="_Hlt528387880"/>
      <w:r>
        <w:t xml:space="preserve"> 4</w:t>
      </w:r>
      <w:bookmarkEnd w:id="1083"/>
      <w:r>
        <w:t>]</w:t>
      </w:r>
    </w:p>
    <w:p>
      <w:pPr>
        <w:pStyle w:val="yHeading5"/>
      </w:pPr>
      <w:bookmarkStart w:id="1084" w:name="_Toc27491821"/>
      <w:bookmarkStart w:id="1085" w:name="_Toc92864015"/>
      <w:bookmarkStart w:id="1086" w:name="_Toc170183976"/>
      <w:bookmarkStart w:id="1087" w:name="_Toc170184056"/>
      <w:bookmarkStart w:id="1088" w:name="_Toc389662753"/>
      <w:bookmarkStart w:id="1089" w:name="_Toc389662823"/>
      <w:r>
        <w:rPr>
          <w:rStyle w:val="CharSClsNo"/>
        </w:rPr>
        <w:t>1</w:t>
      </w:r>
      <w:r>
        <w:t>.</w:t>
      </w:r>
      <w:r>
        <w:tab/>
        <w:t>Definitions</w:t>
      </w:r>
      <w:bookmarkEnd w:id="1084"/>
      <w:bookmarkEnd w:id="1085"/>
      <w:bookmarkEnd w:id="1086"/>
      <w:bookmarkEnd w:id="1087"/>
      <w:bookmarkEnd w:id="1088"/>
      <w:bookmarkEnd w:id="1089"/>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rPr>
          <w:ins w:id="1090" w:author="svcMRProcess" w:date="2020-02-17T23:51:00Z"/>
        </w:rPr>
      </w:pPr>
      <w:ins w:id="1091" w:author="svcMRProcess" w:date="2020-02-17T23:51:00Z">
        <w:r>
          <w:rPr>
            <w:b/>
          </w:rPr>
          <w:tab/>
          <w:t>“</w:t>
        </w:r>
        <w:r>
          <w:rPr>
            <w:rStyle w:val="CharDefText"/>
          </w:rPr>
          <w:t>building contract</w:t>
        </w:r>
        <w:r>
          <w:rPr>
            <w:b/>
          </w:rPr>
          <w:t xml:space="preserve">” — </w:t>
        </w:r>
      </w:ins>
    </w:p>
    <w:p>
      <w:pPr>
        <w:pStyle w:val="yDefpara"/>
        <w:rPr>
          <w:ins w:id="1092" w:author="svcMRProcess" w:date="2020-02-17T23:51:00Z"/>
        </w:rPr>
      </w:pPr>
      <w:ins w:id="1093" w:author="svcMRProcess" w:date="2020-02-17T23:51:00Z">
        <w:r>
          <w:tab/>
          <w:t>(a)</w:t>
        </w:r>
        <w:r>
          <w:tab/>
          <w:t>means a contract under which a builder undertakes to construct or refurbish a private residence from the inception of the building work to the completion of that work; and</w:t>
        </w:r>
      </w:ins>
    </w:p>
    <w:p>
      <w:pPr>
        <w:pStyle w:val="yDefpara"/>
        <w:rPr>
          <w:ins w:id="1094" w:author="svcMRProcess" w:date="2020-02-17T23:51:00Z"/>
        </w:rPr>
      </w:pPr>
      <w:ins w:id="1095" w:author="svcMRProcess" w:date="2020-02-17T23:51:00Z">
        <w:r>
          <w:tab/>
          <w:t>(b)</w:t>
        </w:r>
        <w:r>
          <w:tab/>
          <w:t>if, for any reason, the work to be carried out under such a contract is not completed — includes any further contract under which the work is to be completed;</w:t>
        </w:r>
      </w:ins>
    </w:p>
    <w:p>
      <w:pPr>
        <w:pStyle w:val="yDefstart"/>
      </w:pPr>
      <w:r>
        <w:tab/>
      </w:r>
      <w:r>
        <w:rPr>
          <w:b/>
        </w:rPr>
        <w:t>“</w:t>
      </w:r>
      <w:r>
        <w:rPr>
          <w:rStyle w:val="CharDefText"/>
        </w:rPr>
        <w:t>clause</w:t>
      </w:r>
      <w:r>
        <w:rPr>
          <w:b/>
        </w:rPr>
        <w:t>”</w:t>
      </w:r>
      <w:r>
        <w:t xml:space="preserve"> means a clause of this Glossary;</w:t>
      </w:r>
    </w:p>
    <w:p>
      <w:pPr>
        <w:pStyle w:val="yDefstart"/>
        <w:rPr>
          <w:ins w:id="1096" w:author="svcMRProcess" w:date="2020-02-17T23:51:00Z"/>
        </w:rPr>
      </w:pPr>
      <w:ins w:id="1097" w:author="svcMRProcess" w:date="2020-02-17T23:51:00Z">
        <w:r>
          <w:rPr>
            <w:b/>
          </w:rPr>
          <w:tab/>
          <w:t>“</w:t>
        </w:r>
        <w:r>
          <w:rPr>
            <w:rStyle w:val="CharDefText"/>
          </w:rPr>
          <w:t>commencement date</w:t>
        </w:r>
        <w:r>
          <w:rPr>
            <w:b/>
          </w:rPr>
          <w:t>”</w:t>
        </w:r>
        <w:r>
          <w:t xml:space="preserve">, for the construction or refurbishment of a private residence, means — </w:t>
        </w:r>
      </w:ins>
    </w:p>
    <w:p>
      <w:pPr>
        <w:pStyle w:val="yDefpara"/>
        <w:rPr>
          <w:ins w:id="1098" w:author="svcMRProcess" w:date="2020-02-17T23:51:00Z"/>
        </w:rPr>
      </w:pPr>
      <w:ins w:id="1099" w:author="svcMRProcess" w:date="2020-02-17T23:51:00Z">
        <w:r>
          <w:tab/>
          <w:t>(a)</w:t>
        </w:r>
        <w:r>
          <w:tab/>
          <w:t>if the residence is to be constructed or refurbished under a building contract — the date when the contract is made; or</w:t>
        </w:r>
      </w:ins>
    </w:p>
    <w:p>
      <w:pPr>
        <w:pStyle w:val="yDefpara"/>
        <w:rPr>
          <w:ins w:id="1100" w:author="svcMRProcess" w:date="2020-02-17T23:51:00Z"/>
        </w:rPr>
      </w:pPr>
      <w:ins w:id="1101" w:author="svcMRProcess" w:date="2020-02-17T23:51:00Z">
        <w:r>
          <w:tab/>
          <w:t>(b)</w:t>
        </w:r>
        <w:r>
          <w:tab/>
          <w:t>if the residence is to be constructed or refurbished by an owner</w:t>
        </w:r>
        <w:r>
          <w:noBreakHyphen/>
          <w:t xml:space="preserve">builder — the date when the building licence for the construction or refurbishment is issued under Part XV of the </w:t>
        </w:r>
        <w:r>
          <w:rPr>
            <w:i/>
            <w:iCs/>
          </w:rPr>
          <w:t>Local Government (Miscellaneous Provisions) Act 1960</w:t>
        </w:r>
        <w:r>
          <w:t>;</w:t>
        </w:r>
      </w:ins>
    </w:p>
    <w:p>
      <w:pPr>
        <w:pStyle w:val="yDefstart"/>
        <w:rPr>
          <w:ins w:id="1102" w:author="svcMRProcess" w:date="2020-02-17T23:51:00Z"/>
        </w:rPr>
      </w:pPr>
      <w:ins w:id="1103" w:author="svcMRProcess" w:date="2020-02-17T23:51:00Z">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ins>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bookmarkStart w:id="1104" w:name="UpToHere"/>
      <w:r>
        <w:rPr>
          <w:iCs/>
        </w:rPr>
        <w:t xml:space="preserve"> </w:t>
      </w:r>
      <w:bookmarkEnd w:id="1104"/>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 xml:space="preserve">in relation to any liability to pay land tax for land (including an interest in a home unit), if a person or body is taken to be the owner of the land under section </w:t>
      </w:r>
      <w:bookmarkStart w:id="1105" w:name="_Hlt527261140"/>
      <w:r>
        <w:t>8</w:t>
      </w:r>
      <w:bookmarkEnd w:id="1105"/>
      <w:r>
        <w:t>, means the person or body;</w:t>
      </w:r>
    </w:p>
    <w:p>
      <w:pPr>
        <w:pStyle w:val="yDefstart"/>
        <w:rPr>
          <w:ins w:id="1106" w:author="svcMRProcess" w:date="2020-02-17T23:51:00Z"/>
        </w:rPr>
      </w:pPr>
      <w:ins w:id="1107" w:author="svcMRProcess" w:date="2020-02-17T23:51:00Z">
        <w:r>
          <w:rPr>
            <w:b/>
          </w:rPr>
          <w:tab/>
          <w:t>“</w:t>
        </w:r>
        <w:r>
          <w:rPr>
            <w:rStyle w:val="CharDefText"/>
          </w:rPr>
          <w:t>owner</w:t>
        </w:r>
        <w:r>
          <w:rPr>
            <w:rStyle w:val="CharDefText"/>
          </w:rPr>
          <w:noBreakHyphen/>
          <w:t>builder</w:t>
        </w:r>
        <w:r>
          <w:rPr>
            <w:b/>
          </w:rPr>
          <w:t>”</w:t>
        </w:r>
        <w:r>
          <w:rPr>
            <w:bCs/>
          </w:rPr>
          <w:t xml:space="preserve"> means </w:t>
        </w:r>
        <w:r>
          <w:t>an owner of private residential property who constructs or refurbishes a private residence that forms part of that property without entering into a building contract;</w:t>
        </w:r>
      </w:ins>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 xml:space="preserve">for the purposes of sections 24, </w:t>
      </w:r>
      <w:ins w:id="1108" w:author="svcMRProcess" w:date="2020-02-17T23:51:00Z">
        <w:r>
          <w:t xml:space="preserve">24A, </w:t>
        </w:r>
      </w:ins>
      <w:r>
        <w:t>27</w:t>
      </w:r>
      <w:ins w:id="1109" w:author="svcMRProcess" w:date="2020-02-17T23:51:00Z">
        <w:r>
          <w:t>, 27A</w:t>
        </w:r>
      </w:ins>
      <w:r>
        <w:t xml:space="preserve">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 or the Department of Mines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1110" w:name="_Hlt527253899"/>
      <w:r>
        <w:t>5</w:t>
      </w:r>
      <w:bookmarkEnd w:id="1110"/>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xml:space="preserve">, for the purposes of section </w:t>
      </w:r>
      <w:bookmarkStart w:id="1111" w:name="_Hlt530539603"/>
      <w:r>
        <w:t>9</w:t>
      </w:r>
      <w:bookmarkEnd w:id="1111"/>
      <w:r>
        <w:t xml:space="preserve"> or 31, has the meaning given in the respective section;</w:t>
      </w:r>
    </w:p>
    <w:p>
      <w:pPr>
        <w:pStyle w:val="yDefstart"/>
      </w:pPr>
      <w:r>
        <w:tab/>
      </w:r>
      <w:r>
        <w:rPr>
          <w:b/>
        </w:rPr>
        <w:t>“</w:t>
      </w:r>
      <w:r>
        <w:rPr>
          <w:rStyle w:val="CharDefText"/>
        </w:rPr>
        <w:t>total net income</w:t>
      </w:r>
      <w:r>
        <w:rPr>
          <w:b/>
        </w:rPr>
        <w:t>”</w:t>
      </w:r>
      <w:r>
        <w:t xml:space="preserve">, in relation to the owner of a rural business, has the meaning given in clause </w:t>
      </w:r>
      <w:bookmarkStart w:id="1112" w:name="_Hlt530545193"/>
      <w:r>
        <w:t>5</w:t>
      </w:r>
      <w:bookmarkEnd w:id="1112"/>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Ednotedefpara"/>
      </w:pPr>
      <w:bookmarkStart w:id="1113" w:name="_Toc27491822"/>
      <w:r>
        <w:tab/>
        <w:t>[(c)</w:t>
      </w:r>
      <w:r>
        <w:tab/>
        <w:t>deleted]</w:t>
      </w:r>
    </w:p>
    <w:p>
      <w:pPr>
        <w:pStyle w:val="yFootnotesection"/>
      </w:pPr>
      <w:r>
        <w:tab/>
        <w:t>[Clause 1 amended by No. 40 of 2003 s. 6; No</w:t>
      </w:r>
      <w:r>
        <w:rPr>
          <w:sz w:val="24"/>
        </w:rPr>
        <w:t>. 12 of 2004 s. 5; No. 12 of 2005 s. 5</w:t>
      </w:r>
      <w:r>
        <w:t>; No. 38 of 2005 s. </w:t>
      </w:r>
      <w:del w:id="1114" w:author="svcMRProcess" w:date="2020-02-17T23:51:00Z">
        <w:r>
          <w:delText>15</w:delText>
        </w:r>
      </w:del>
      <w:ins w:id="1115" w:author="svcMRProcess" w:date="2020-02-17T23:51:00Z">
        <w:r>
          <w:t>15; No. 31 of 2006 s. 27</w:t>
        </w:r>
      </w:ins>
      <w:r>
        <w:t>.]</w:t>
      </w:r>
    </w:p>
    <w:p>
      <w:pPr>
        <w:pStyle w:val="yHeading5"/>
      </w:pPr>
      <w:bookmarkStart w:id="1116" w:name="_Toc92864016"/>
      <w:bookmarkStart w:id="1117" w:name="_Toc170183977"/>
      <w:bookmarkStart w:id="1118" w:name="_Toc170184057"/>
      <w:bookmarkStart w:id="1119" w:name="_Toc389662754"/>
      <w:bookmarkStart w:id="1120" w:name="_Toc389662824"/>
      <w:r>
        <w:rPr>
          <w:rStyle w:val="CharSClsNo"/>
        </w:rPr>
        <w:t>2</w:t>
      </w:r>
      <w:r>
        <w:t>.</w:t>
      </w:r>
      <w:r>
        <w:tab/>
      </w:r>
      <w:bookmarkStart w:id="1121" w:name="_Hlt527252755"/>
      <w:bookmarkStart w:id="1122" w:name="_Toc472848687"/>
      <w:bookmarkStart w:id="1123" w:name="_Toc472916290"/>
      <w:bookmarkEnd w:id="1121"/>
      <w:r>
        <w:t>Lots and parcels of land</w:t>
      </w:r>
      <w:bookmarkEnd w:id="1113"/>
      <w:bookmarkEnd w:id="1116"/>
      <w:bookmarkEnd w:id="1117"/>
      <w:bookmarkEnd w:id="1118"/>
      <w:bookmarkEnd w:id="1122"/>
      <w:bookmarkEnd w:id="1123"/>
      <w:bookmarkEnd w:id="1119"/>
      <w:bookmarkEnd w:id="1120"/>
    </w:p>
    <w:p>
      <w:pPr>
        <w:pStyle w:val="ySubsection"/>
      </w:pPr>
      <w:r>
        <w:tab/>
        <w:t>(1)</w:t>
      </w:r>
      <w:r>
        <w:tab/>
        <w:t>A reference to a lot of land is a reference to a defined portion of land —</w:t>
      </w:r>
    </w:p>
    <w:p>
      <w:pPr>
        <w:pStyle w:val="yIndenta"/>
      </w:pPr>
      <w:r>
        <w:tab/>
        <w:t>(a)</w:t>
      </w:r>
      <w:r>
        <w:tab/>
        <w:t xml:space="preserve">that is depicted on a plan or diagram publicly exhibited in the public office of the Department of Land Administration,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 xml:space="preserve">lot shown on a plan of subdivision or diagram deposited in the Department of Land Administration,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1124" w:name="_Toc27491823"/>
      <w:bookmarkStart w:id="1125" w:name="_Toc92864017"/>
      <w:bookmarkStart w:id="1126" w:name="_Toc170183978"/>
      <w:bookmarkStart w:id="1127" w:name="_Toc170184058"/>
      <w:bookmarkStart w:id="1128" w:name="_Toc389662755"/>
      <w:bookmarkStart w:id="1129" w:name="_Toc389662825"/>
      <w:r>
        <w:rPr>
          <w:rStyle w:val="CharSClsNo"/>
        </w:rPr>
        <w:t>3</w:t>
      </w:r>
      <w:r>
        <w:t>.</w:t>
      </w:r>
      <w:r>
        <w:tab/>
      </w:r>
      <w:bookmarkStart w:id="1130" w:name="_Hlt527253890"/>
      <w:bookmarkStart w:id="1131" w:name="_Toc472848688"/>
      <w:bookmarkStart w:id="1132" w:name="_Toc472916291"/>
      <w:bookmarkEnd w:id="1130"/>
      <w:r>
        <w:t>Subdivided land</w:t>
      </w:r>
      <w:bookmarkEnd w:id="1124"/>
      <w:bookmarkEnd w:id="1125"/>
      <w:bookmarkEnd w:id="1126"/>
      <w:bookmarkEnd w:id="1127"/>
      <w:bookmarkEnd w:id="1131"/>
      <w:bookmarkEnd w:id="1132"/>
      <w:bookmarkEnd w:id="1128"/>
      <w:bookmarkEnd w:id="1129"/>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133" w:name="_Toc27491824"/>
      <w:bookmarkStart w:id="1134" w:name="_Toc92864018"/>
      <w:r>
        <w:tab/>
        <w:t>[Clause 3 amended by No. 38 of 2005 s. 15.]</w:t>
      </w:r>
    </w:p>
    <w:p>
      <w:pPr>
        <w:pStyle w:val="yHeading5"/>
      </w:pPr>
      <w:bookmarkStart w:id="1135" w:name="_Toc170183979"/>
      <w:bookmarkStart w:id="1136" w:name="_Toc170184059"/>
      <w:bookmarkStart w:id="1137" w:name="_Toc389662756"/>
      <w:bookmarkStart w:id="1138" w:name="_Toc389662826"/>
      <w:r>
        <w:rPr>
          <w:rStyle w:val="CharSClsNo"/>
        </w:rPr>
        <w:t>4</w:t>
      </w:r>
      <w:r>
        <w:t>.</w:t>
      </w:r>
      <w:r>
        <w:tab/>
      </w:r>
      <w:bookmarkStart w:id="1139" w:name="_Hlt527261080"/>
      <w:bookmarkStart w:id="1140" w:name="_Toc472848689"/>
      <w:bookmarkStart w:id="1141" w:name="_Toc472916292"/>
      <w:bookmarkEnd w:id="1139"/>
      <w:r>
        <w:t>Land in a non</w:t>
      </w:r>
      <w:r>
        <w:noBreakHyphen/>
        <w:t>rural zone</w:t>
      </w:r>
      <w:bookmarkEnd w:id="1133"/>
      <w:bookmarkEnd w:id="1134"/>
      <w:bookmarkEnd w:id="1135"/>
      <w:bookmarkEnd w:id="1136"/>
      <w:bookmarkEnd w:id="1140"/>
      <w:bookmarkEnd w:id="1141"/>
      <w:bookmarkEnd w:id="1137"/>
      <w:bookmarkEnd w:id="1138"/>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1142" w:name="_Hlt530545202"/>
      <w:bookmarkStart w:id="1143" w:name="_Toc27491825"/>
      <w:bookmarkStart w:id="1144" w:name="_Toc92864019"/>
      <w:bookmarkEnd w:id="1142"/>
      <w:r>
        <w:tab/>
        <w:t>[Clause 4 amended by No. 38 of 2005 s. 15.]</w:t>
      </w:r>
    </w:p>
    <w:p>
      <w:pPr>
        <w:pStyle w:val="yHeading5"/>
      </w:pPr>
      <w:bookmarkStart w:id="1145" w:name="_Toc170183980"/>
      <w:bookmarkStart w:id="1146" w:name="_Toc170184060"/>
      <w:bookmarkStart w:id="1147" w:name="_Toc389662757"/>
      <w:bookmarkStart w:id="1148" w:name="_Toc389662827"/>
      <w:r>
        <w:rPr>
          <w:rStyle w:val="CharSClsNo"/>
        </w:rPr>
        <w:t>5</w:t>
      </w:r>
      <w:r>
        <w:t>.</w:t>
      </w:r>
      <w:r>
        <w:tab/>
      </w:r>
      <w:bookmarkStart w:id="1149" w:name="_Hlt527253872"/>
      <w:bookmarkStart w:id="1150" w:name="_Hlt527261213"/>
      <w:bookmarkStart w:id="1151" w:name="_Toc472848691"/>
      <w:bookmarkStart w:id="1152" w:name="_Toc472916294"/>
      <w:bookmarkEnd w:id="1149"/>
      <w:bookmarkEnd w:id="1150"/>
      <w:r>
        <w:t>Total net income of rural business owners</w:t>
      </w:r>
      <w:bookmarkEnd w:id="1143"/>
      <w:bookmarkEnd w:id="1144"/>
      <w:bookmarkEnd w:id="1145"/>
      <w:bookmarkEnd w:id="1146"/>
      <w:bookmarkEnd w:id="1151"/>
      <w:bookmarkEnd w:id="1152"/>
      <w:bookmarkEnd w:id="1147"/>
      <w:bookmarkEnd w:id="1148"/>
    </w:p>
    <w:p>
      <w:pPr>
        <w:pStyle w:val="ySubsection"/>
      </w:pPr>
      <w:r>
        <w:tab/>
        <w:t>(1)</w:t>
      </w:r>
      <w:r>
        <w:tab/>
        <w:t xml:space="preserve">For the purposes of sections 29 and </w:t>
      </w:r>
      <w:bookmarkStart w:id="1153" w:name="_Hlt527253994"/>
      <w:r>
        <w:t>30</w:t>
      </w:r>
      <w:bookmarkEnd w:id="1153"/>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Footnotesection"/>
      </w:pPr>
      <w:r>
        <w:tab/>
        <w:t>[Glossary amended by No. 40 of 2003 s. 6; No. 12 of 2004 s. 5; No. 55 of 2004 s. 584; No. 38 of 2005 s. 15.]</w:t>
      </w:r>
    </w:p>
    <w:p>
      <w:pPr>
        <w:sectPr>
          <w:headerReference w:type="even" r:id="rId26"/>
          <w:headerReference w:type="default" r:id="rId27"/>
          <w:pgSz w:w="11906" w:h="16838" w:code="9"/>
          <w:pgMar w:top="2376" w:right="2404" w:bottom="3544" w:left="2404" w:header="709" w:footer="3379" w:gutter="0"/>
          <w:cols w:space="720"/>
          <w:noEndnote/>
          <w:docGrid w:linePitch="326"/>
        </w:sectPr>
      </w:pPr>
    </w:p>
    <w:p>
      <w:pPr>
        <w:pStyle w:val="nHeading2"/>
        <w:pageBreakBefore/>
      </w:pPr>
      <w:bookmarkStart w:id="1154" w:name="_Toc76895263"/>
      <w:bookmarkStart w:id="1155" w:name="_Toc92864020"/>
      <w:bookmarkStart w:id="1156" w:name="_Toc113164597"/>
      <w:bookmarkStart w:id="1157" w:name="_Toc113165063"/>
      <w:bookmarkStart w:id="1158" w:name="_Toc113165285"/>
      <w:bookmarkStart w:id="1159" w:name="_Toc113169675"/>
      <w:bookmarkStart w:id="1160" w:name="_Toc113943429"/>
      <w:bookmarkStart w:id="1161" w:name="_Toc113943499"/>
      <w:bookmarkStart w:id="1162" w:name="_Toc122765858"/>
      <w:bookmarkStart w:id="1163" w:name="_Toc131397878"/>
      <w:bookmarkStart w:id="1164" w:name="_Toc170183981"/>
      <w:bookmarkStart w:id="1165" w:name="_Toc170184061"/>
      <w:bookmarkStart w:id="1166" w:name="_Toc389662758"/>
      <w:bookmarkStart w:id="1167" w:name="_Toc389662828"/>
      <w:r>
        <w:t>Notes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p>
    <w:p>
      <w:pPr>
        <w:pStyle w:val="nHeading3"/>
        <w:rPr>
          <w:snapToGrid w:val="0"/>
        </w:rPr>
      </w:pPr>
      <w:bookmarkStart w:id="1168" w:name="_Toc170183982"/>
      <w:bookmarkStart w:id="1169" w:name="_Toc170184062"/>
      <w:bookmarkStart w:id="1170" w:name="_Toc389662759"/>
      <w:bookmarkStart w:id="1171" w:name="_Toc389662829"/>
      <w:r>
        <w:rPr>
          <w:snapToGrid w:val="0"/>
        </w:rPr>
        <w:t>Compilation table</w:t>
      </w:r>
      <w:bookmarkEnd w:id="1168"/>
      <w:bookmarkEnd w:id="1169"/>
      <w:bookmarkEnd w:id="1170"/>
      <w:bookmarkEnd w:id="1171"/>
    </w:p>
    <w:tbl>
      <w:tblPr>
        <w:tblW w:w="7086"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1"/>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1"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2</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1"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3</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1"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1" w:type="dxa"/>
          </w:tcPr>
          <w:p>
            <w:pPr>
              <w:pStyle w:val="nTable"/>
              <w:spacing w:after="40"/>
              <w:rPr>
                <w:iCs/>
                <w:noProof/>
                <w:snapToGrid w:val="0"/>
                <w:sz w:val="19"/>
              </w:rPr>
            </w:pPr>
            <w:r>
              <w:rPr>
                <w:iCs/>
                <w:noProof/>
                <w:snapToGrid w:val="0"/>
                <w:sz w:val="19"/>
              </w:rPr>
              <w:t>s. 5: 1 Jul 2003 (see s. 2(2));</w:t>
            </w:r>
            <w:r>
              <w:rPr>
                <w:iCs/>
                <w:noProof/>
                <w:snapToGrid w:val="0"/>
                <w:sz w:val="19"/>
              </w:rPr>
              <w:br/>
              <w:t>balance: 30 Aug 2005 (see s. (2(1))</w:t>
            </w:r>
          </w:p>
        </w:tc>
      </w:tr>
      <w:tr>
        <w:trPr>
          <w:cantSplit/>
        </w:trPr>
        <w:tc>
          <w:tcPr>
            <w:tcW w:w="2266"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5" w:type="dxa"/>
          </w:tcPr>
          <w:p>
            <w:pPr>
              <w:pStyle w:val="nTable"/>
              <w:spacing w:after="40"/>
              <w:rPr>
                <w:iCs/>
                <w:noProof/>
                <w:snapToGrid w:val="0"/>
                <w:sz w:val="19"/>
              </w:rPr>
            </w:pPr>
            <w:r>
              <w:rPr>
                <w:iCs/>
                <w:noProof/>
                <w:snapToGrid w:val="0"/>
                <w:sz w:val="19"/>
                <w:lang w:val="en-US"/>
              </w:rPr>
              <w:t>38 of 2005</w:t>
            </w:r>
          </w:p>
        </w:tc>
        <w:tc>
          <w:tcPr>
            <w:tcW w:w="1134" w:type="dxa"/>
          </w:tcPr>
          <w:p>
            <w:pPr>
              <w:pStyle w:val="nTable"/>
              <w:spacing w:after="40"/>
              <w:rPr>
                <w:iCs/>
                <w:noProof/>
                <w:snapToGrid w:val="0"/>
                <w:sz w:val="19"/>
              </w:rPr>
            </w:pPr>
            <w:r>
              <w:rPr>
                <w:iCs/>
                <w:noProof/>
                <w:snapToGrid w:val="0"/>
                <w:sz w:val="19"/>
              </w:rPr>
              <w:t>12 Dec 2005</w:t>
            </w:r>
          </w:p>
        </w:tc>
        <w:tc>
          <w:tcPr>
            <w:tcW w:w="2551" w:type="dxa"/>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r>
        <w:trPr>
          <w:cantSplit/>
          <w:ins w:id="1172" w:author="svcMRProcess" w:date="2020-02-17T23:51:00Z"/>
        </w:trPr>
        <w:tc>
          <w:tcPr>
            <w:tcW w:w="2266" w:type="dxa"/>
            <w:tcBorders>
              <w:bottom w:val="single" w:sz="8" w:space="0" w:color="auto"/>
            </w:tcBorders>
          </w:tcPr>
          <w:p>
            <w:pPr>
              <w:pStyle w:val="nTable"/>
              <w:spacing w:after="40"/>
              <w:rPr>
                <w:ins w:id="1173" w:author="svcMRProcess" w:date="2020-02-17T23:51:00Z"/>
                <w:i/>
                <w:noProof/>
                <w:snapToGrid w:val="0"/>
                <w:sz w:val="19"/>
                <w:lang w:val="en-US"/>
              </w:rPr>
            </w:pPr>
            <w:ins w:id="1174" w:author="svcMRProcess" w:date="2020-02-17T23:51:00Z">
              <w:r>
                <w:rPr>
                  <w:i/>
                </w:rPr>
                <w:t xml:space="preserve">Revenue Laws Amendment Act 2006 </w:t>
              </w:r>
              <w:r>
                <w:t>Pt. 4 (s. 20-27, 29</w:t>
              </w:r>
              <w:r>
                <w:noBreakHyphen/>
                <w:t>30)</w:t>
              </w:r>
            </w:ins>
          </w:p>
        </w:tc>
        <w:tc>
          <w:tcPr>
            <w:tcW w:w="1135" w:type="dxa"/>
            <w:tcBorders>
              <w:bottom w:val="single" w:sz="8" w:space="0" w:color="auto"/>
            </w:tcBorders>
          </w:tcPr>
          <w:p>
            <w:pPr>
              <w:pStyle w:val="nTable"/>
              <w:spacing w:after="40"/>
              <w:rPr>
                <w:ins w:id="1175" w:author="svcMRProcess" w:date="2020-02-17T23:51:00Z"/>
                <w:iCs/>
                <w:noProof/>
                <w:snapToGrid w:val="0"/>
                <w:sz w:val="19"/>
                <w:lang w:val="en-US"/>
              </w:rPr>
            </w:pPr>
            <w:ins w:id="1176" w:author="svcMRProcess" w:date="2020-02-17T23:51:00Z">
              <w:r>
                <w:rPr>
                  <w:iCs/>
                  <w:noProof/>
                  <w:snapToGrid w:val="0"/>
                  <w:sz w:val="19"/>
                  <w:lang w:val="en-US"/>
                </w:rPr>
                <w:t>31 of 2006</w:t>
              </w:r>
            </w:ins>
          </w:p>
        </w:tc>
        <w:tc>
          <w:tcPr>
            <w:tcW w:w="1134" w:type="dxa"/>
            <w:tcBorders>
              <w:bottom w:val="single" w:sz="8" w:space="0" w:color="auto"/>
            </w:tcBorders>
          </w:tcPr>
          <w:p>
            <w:pPr>
              <w:pStyle w:val="nTable"/>
              <w:spacing w:after="40"/>
              <w:rPr>
                <w:ins w:id="1177" w:author="svcMRProcess" w:date="2020-02-17T23:51:00Z"/>
                <w:iCs/>
                <w:noProof/>
                <w:snapToGrid w:val="0"/>
                <w:sz w:val="19"/>
              </w:rPr>
            </w:pPr>
            <w:ins w:id="1178" w:author="svcMRProcess" w:date="2020-02-17T23:51:00Z">
              <w:r>
                <w:t>4 Jul 2006</w:t>
              </w:r>
            </w:ins>
          </w:p>
        </w:tc>
        <w:tc>
          <w:tcPr>
            <w:tcW w:w="2551" w:type="dxa"/>
            <w:tcBorders>
              <w:bottom w:val="single" w:sz="8" w:space="0" w:color="auto"/>
            </w:tcBorders>
          </w:tcPr>
          <w:p>
            <w:pPr>
              <w:pStyle w:val="nTable"/>
              <w:rPr>
                <w:ins w:id="1179" w:author="svcMRProcess" w:date="2020-02-17T23:51:00Z"/>
                <w:iCs/>
                <w:noProof/>
                <w:snapToGrid w:val="0"/>
                <w:sz w:val="19"/>
              </w:rPr>
            </w:pPr>
            <w:ins w:id="1180" w:author="svcMRProcess" w:date="2020-02-17T23:51:00Z">
              <w:r>
                <w:t>s. 20-27 and 29-30:</w:t>
              </w:r>
              <w:r>
                <w:br/>
                <w:t>1 Jul 2006 (see s. 2(5))</w:t>
              </w:r>
            </w:ins>
          </w:p>
        </w:tc>
      </w:tr>
    </w:tbl>
    <w:p>
      <w:pPr>
        <w:pStyle w:val="nSubsection"/>
      </w:pPr>
      <w:r>
        <w:rPr>
          <w:vertAlign w:val="superscript"/>
        </w:rPr>
        <w:t>2</w:t>
      </w:r>
      <w:r>
        <w:tab/>
        <w:t xml:space="preserve">The </w:t>
      </w:r>
      <w:r>
        <w:rPr>
          <w:i/>
        </w:rPr>
        <w:t>Business Tax Review (Assessment) Act 2003</w:t>
      </w:r>
      <w:r>
        <w:t xml:space="preserve"> s. 7 and s. 10 read as follows:</w:t>
      </w:r>
    </w:p>
    <w:p>
      <w:pPr>
        <w:pStyle w:val="MiscOpen"/>
      </w:pPr>
      <w:r>
        <w:t>“</w:t>
      </w:r>
    </w:p>
    <w:p>
      <w:pPr>
        <w:pStyle w:val="nzHeading5"/>
      </w:pPr>
      <w:bookmarkStart w:id="1181" w:name="_Toc31792822"/>
      <w:bookmarkStart w:id="1182" w:name="_Toc32047023"/>
      <w:bookmarkStart w:id="1183" w:name="_Toc44304785"/>
      <w:r>
        <w:rPr>
          <w:rStyle w:val="CharSectno"/>
        </w:rPr>
        <w:t>7</w:t>
      </w:r>
      <w:r>
        <w:t>.</w:t>
      </w:r>
      <w:r>
        <w:tab/>
        <w:t>Financial years before the commencement day</w:t>
      </w:r>
      <w:bookmarkEnd w:id="1181"/>
      <w:bookmarkEnd w:id="1182"/>
      <w:bookmarkEnd w:id="1183"/>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rStyle w:val="CharDefText"/>
        </w:rPr>
        <w:t>commencement day</w:t>
      </w:r>
      <w:r>
        <w:rPr>
          <w:b/>
        </w:rPr>
        <w:t>”</w:t>
      </w:r>
      <w:r>
        <w:t xml:space="preserve"> means the day on which this Part comes into operation.</w:t>
      </w:r>
    </w:p>
    <w:p>
      <w:pPr>
        <w:pStyle w:val="nzHeading5"/>
      </w:pPr>
      <w:bookmarkStart w:id="1184" w:name="_Toc32047026"/>
      <w:bookmarkStart w:id="1185" w:name="_Toc44304788"/>
      <w:r>
        <w:rPr>
          <w:rStyle w:val="CharSectno"/>
        </w:rPr>
        <w:t>10</w:t>
      </w:r>
      <w:r>
        <w:t>.</w:t>
      </w:r>
      <w:r>
        <w:tab/>
        <w:t>Requirement to reassess</w:t>
      </w:r>
      <w:bookmarkEnd w:id="1184"/>
      <w:bookmarkEnd w:id="1185"/>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4" w:bottom="3544" w:left="2404" w:header="709" w:footer="3379" w:gutter="0"/>
          <w:cols w:space="720"/>
          <w:noEndnote/>
          <w:docGrid w:linePitch="326"/>
        </w:sectPr>
      </w:pPr>
    </w:p>
    <w:p/>
    <w:sectPr>
      <w:headerReference w:type="even" r:id="rId31"/>
      <w:headerReference w:type="default" r:id="rId32"/>
      <w:pgSz w:w="11907" w:h="16840" w:code="9"/>
      <w:pgMar w:top="567" w:right="2410" w:bottom="567" w:left="2410" w:header="720" w:footer="3379"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Style w:val="PageNumber"/>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Land tax liability and assessment</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Liability to land tax</w:t>
            </w:r>
          </w:fldSimple>
        </w:p>
      </w:tc>
      <w:tc>
        <w:tcPr>
          <w:tcW w:w="1548" w:type="dxa"/>
        </w:tcPr>
        <w:p>
          <w:pPr>
            <w:pStyle w:val="HeaderNumberRight"/>
            <w:ind w:right="17"/>
          </w:pPr>
          <w:fldSimple w:instr=" styleref CharDivNo ">
            <w:r>
              <w:rPr>
                <w:noProof/>
              </w:rPr>
              <w:t>Division 1</w:t>
            </w:r>
          </w:fldSimple>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3949"/>
    <w:docVar w:name="WAFER_20151204113949" w:val="RemoveTrackChanges"/>
    <w:docVar w:name="WAFER_20151204113949_GUID" w:val="56774afe-6f75-4605-bd39-f0f002fd0b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3"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index 3"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3292">
      <w:bodyDiv w:val="1"/>
      <w:marLeft w:val="0"/>
      <w:marRight w:val="0"/>
      <w:marTop w:val="0"/>
      <w:marBottom w:val="0"/>
      <w:divBdr>
        <w:top w:val="none" w:sz="0" w:space="0" w:color="auto"/>
        <w:left w:val="none" w:sz="0" w:space="0" w:color="auto"/>
        <w:bottom w:val="none" w:sz="0" w:space="0" w:color="auto"/>
        <w:right w:val="none" w:sz="0" w:space="0" w:color="auto"/>
      </w:divBdr>
    </w:div>
    <w:div w:id="470902112">
      <w:bodyDiv w:val="1"/>
      <w:marLeft w:val="0"/>
      <w:marRight w:val="0"/>
      <w:marTop w:val="0"/>
      <w:marBottom w:val="0"/>
      <w:divBdr>
        <w:top w:val="none" w:sz="0" w:space="0" w:color="auto"/>
        <w:left w:val="none" w:sz="0" w:space="0" w:color="auto"/>
        <w:bottom w:val="none" w:sz="0" w:space="0" w:color="auto"/>
        <w:right w:val="none" w:sz="0" w:space="0" w:color="auto"/>
      </w:divBdr>
    </w:div>
    <w:div w:id="957832330">
      <w:bodyDiv w:val="1"/>
      <w:marLeft w:val="0"/>
      <w:marRight w:val="0"/>
      <w:marTop w:val="0"/>
      <w:marBottom w:val="0"/>
      <w:divBdr>
        <w:top w:val="none" w:sz="0" w:space="0" w:color="auto"/>
        <w:left w:val="none" w:sz="0" w:space="0" w:color="auto"/>
        <w:bottom w:val="none" w:sz="0" w:space="0" w:color="auto"/>
        <w:right w:val="none" w:sz="0" w:space="0" w:color="auto"/>
      </w:divBdr>
    </w:div>
    <w:div w:id="1037193359">
      <w:bodyDiv w:val="1"/>
      <w:marLeft w:val="0"/>
      <w:marRight w:val="0"/>
      <w:marTop w:val="0"/>
      <w:marBottom w:val="0"/>
      <w:divBdr>
        <w:top w:val="none" w:sz="0" w:space="0" w:color="auto"/>
        <w:left w:val="none" w:sz="0" w:space="0" w:color="auto"/>
        <w:bottom w:val="none" w:sz="0" w:space="0" w:color="auto"/>
        <w:right w:val="none" w:sz="0" w:space="0" w:color="auto"/>
      </w:divBdr>
    </w:div>
    <w:div w:id="1228342892">
      <w:bodyDiv w:val="1"/>
      <w:marLeft w:val="0"/>
      <w:marRight w:val="0"/>
      <w:marTop w:val="0"/>
      <w:marBottom w:val="0"/>
      <w:divBdr>
        <w:top w:val="none" w:sz="0" w:space="0" w:color="auto"/>
        <w:left w:val="none" w:sz="0" w:space="0" w:color="auto"/>
        <w:bottom w:val="none" w:sz="0" w:space="0" w:color="auto"/>
        <w:right w:val="none" w:sz="0" w:space="0" w:color="auto"/>
      </w:divBdr>
    </w:div>
    <w:div w:id="1786466681">
      <w:bodyDiv w:val="1"/>
      <w:marLeft w:val="0"/>
      <w:marRight w:val="0"/>
      <w:marTop w:val="0"/>
      <w:marBottom w:val="0"/>
      <w:divBdr>
        <w:top w:val="none" w:sz="0" w:space="0" w:color="auto"/>
        <w:left w:val="none" w:sz="0" w:space="0" w:color="auto"/>
        <w:bottom w:val="none" w:sz="0" w:space="0" w:color="auto"/>
        <w:right w:val="none" w:sz="0" w:space="0" w:color="auto"/>
      </w:divBdr>
    </w:div>
    <w:div w:id="18678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15926</Words>
  <Characters>73739</Characters>
  <Application>Microsoft Office Word</Application>
  <DocSecurity>0</DocSecurity>
  <Lines>1890</Lines>
  <Paragraphs>943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88722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00-i0-07 - 00-j0-06</dc:title>
  <dc:subject/>
  <dc:creator/>
  <cp:keywords/>
  <dc:description/>
  <cp:lastModifiedBy>svcMRProcess</cp:lastModifiedBy>
  <cp:revision>2</cp:revision>
  <cp:lastPrinted>2003-06-28T05:38:00Z</cp:lastPrinted>
  <dcterms:created xsi:type="dcterms:W3CDTF">2020-02-17T15:51:00Z</dcterms:created>
  <dcterms:modified xsi:type="dcterms:W3CDTF">2020-02-17T15:51:00Z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6341</vt:i4>
  </property>
  <property fmtid="{D5CDD505-2E9C-101B-9397-08002B2CF9AE}" pid="6" name="FromSuffix">
    <vt:lpwstr>00-i0-07</vt:lpwstr>
  </property>
  <property fmtid="{D5CDD505-2E9C-101B-9397-08002B2CF9AE}" pid="7" name="FromAsAtDate">
    <vt:lpwstr>09 Apr 2006</vt:lpwstr>
  </property>
  <property fmtid="{D5CDD505-2E9C-101B-9397-08002B2CF9AE}" pid="8" name="ToSuffix">
    <vt:lpwstr>00-j0-06</vt:lpwstr>
  </property>
  <property fmtid="{D5CDD505-2E9C-101B-9397-08002B2CF9AE}" pid="9" name="ToAsAtDate">
    <vt:lpwstr>01 Jul 2006</vt:lpwstr>
  </property>
</Properties>
</file>