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Alcohol and Drug Authority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01-d0-05</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Alcohol and Drug Authority Act 1974 </w:t>
      </w:r>
    </w:p>
    <w:p>
      <w:pPr>
        <w:pStyle w:val="LongTitle"/>
        <w:rPr>
          <w:snapToGrid w:val="0"/>
        </w:rPr>
      </w:pPr>
      <w:r>
        <w:rPr>
          <w:snapToGrid w:val="0"/>
        </w:rPr>
        <w:t>A</w:t>
      </w:r>
      <w:bookmarkStart w:id="0" w:name="_GoBack"/>
      <w:bookmarkEnd w:id="0"/>
      <w:r>
        <w:rPr>
          <w:snapToGrid w:val="0"/>
        </w:rPr>
        <w:t xml:space="preserve">n Act for the purposes of constituting a body corporate with the functions of providing treatment, management, care, and rehabilitation of persons who are suffering from the consumption or use of alcoholic or other intoxicating liquors or drugs to excess; promoting and subsidising research and educational facilities directed at prevention and treatment of alcohol and drug abuse, and with further functions related thereto, and for incidental and other purposes. </w:t>
      </w:r>
    </w:p>
    <w:p>
      <w:pPr>
        <w:pStyle w:val="Heading2"/>
      </w:pPr>
      <w:bookmarkStart w:id="1" w:name="_Toc157315749"/>
      <w:bookmarkStart w:id="2" w:name="_Toc157831486"/>
      <w:bookmarkStart w:id="3" w:name="_Toc199815179"/>
      <w:bookmarkStart w:id="4" w:name="_Toc21547388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517588109"/>
      <w:bookmarkStart w:id="6" w:name="_Toc517588239"/>
      <w:bookmarkStart w:id="7" w:name="_Toc518096088"/>
      <w:bookmarkStart w:id="8" w:name="_Toc215473888"/>
      <w:bookmarkStart w:id="9" w:name="_Toc199815180"/>
      <w:r>
        <w:rPr>
          <w:rStyle w:val="CharSectno"/>
        </w:rPr>
        <w:t>1</w:t>
      </w:r>
      <w:r>
        <w:rPr>
          <w:snapToGrid w:val="0"/>
        </w:rPr>
        <w:t>.</w:t>
      </w:r>
      <w:r>
        <w:rPr>
          <w:snapToGrid w:val="0"/>
        </w:rPr>
        <w:tab/>
        <w:t>Short title</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Alcohol and Drug Authority Act 1974 </w:t>
      </w:r>
      <w:r>
        <w:rPr>
          <w:i/>
          <w:snapToGrid w:val="0"/>
          <w:vertAlign w:val="superscript"/>
        </w:rPr>
        <w:t>1</w:t>
      </w:r>
      <w:r>
        <w:rPr>
          <w:snapToGrid w:val="0"/>
        </w:rPr>
        <w:t>.</w:t>
      </w:r>
    </w:p>
    <w:p>
      <w:pPr>
        <w:pStyle w:val="Heading5"/>
        <w:rPr>
          <w:snapToGrid w:val="0"/>
        </w:rPr>
      </w:pPr>
      <w:bookmarkStart w:id="10" w:name="_Toc517588110"/>
      <w:bookmarkStart w:id="11" w:name="_Toc517588240"/>
      <w:bookmarkStart w:id="12" w:name="_Toc518096089"/>
      <w:bookmarkStart w:id="13" w:name="_Toc215473889"/>
      <w:bookmarkStart w:id="14" w:name="_Toc199815181"/>
      <w:r>
        <w:rPr>
          <w:rStyle w:val="CharSectno"/>
        </w:rPr>
        <w:t>2</w:t>
      </w:r>
      <w:r>
        <w:rPr>
          <w:snapToGrid w:val="0"/>
        </w:rPr>
        <w:t>.</w:t>
      </w:r>
      <w:r>
        <w:rPr>
          <w:snapToGrid w:val="0"/>
        </w:rPr>
        <w:tab/>
        <w:t>Commencement</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r>
      <w:r>
        <w:tab/>
      </w:r>
      <w:del w:id="15" w:author="svcMRProcess" w:date="2018-08-20T11:24:00Z">
        <w:r>
          <w:delText>Repealed</w:delText>
        </w:r>
      </w:del>
      <w:ins w:id="16" w:author="svcMRProcess" w:date="2018-08-20T11:24:00Z">
        <w:r>
          <w:t>Deleted</w:t>
        </w:r>
      </w:ins>
      <w:r>
        <w:t xml:space="preserve"> by No. 10 of 1998 s.76.]</w:t>
      </w:r>
    </w:p>
    <w:p>
      <w:pPr>
        <w:pStyle w:val="Heading5"/>
        <w:rPr>
          <w:snapToGrid w:val="0"/>
        </w:rPr>
      </w:pPr>
      <w:bookmarkStart w:id="17" w:name="_Toc517588111"/>
      <w:bookmarkStart w:id="18" w:name="_Toc517588241"/>
      <w:bookmarkStart w:id="19" w:name="_Toc518096090"/>
      <w:bookmarkStart w:id="20" w:name="_Toc215473890"/>
      <w:bookmarkStart w:id="21" w:name="_Toc199815182"/>
      <w:r>
        <w:rPr>
          <w:rStyle w:val="CharSectno"/>
        </w:rPr>
        <w:t>4</w:t>
      </w:r>
      <w:r>
        <w:rPr>
          <w:snapToGrid w:val="0"/>
        </w:rPr>
        <w:t>.</w:t>
      </w:r>
      <w:r>
        <w:rPr>
          <w:snapToGrid w:val="0"/>
        </w:rPr>
        <w:tab/>
        <w:t>Interpretation</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Authority</w:t>
      </w:r>
      <w:r>
        <w:t xml:space="preserve"> means the Western Australian Alcohol and Drug Authority established under this Act;</w:t>
      </w:r>
    </w:p>
    <w:p>
      <w:pPr>
        <w:pStyle w:val="Defstart"/>
      </w:pPr>
      <w:r>
        <w:rPr>
          <w:b/>
        </w:rPr>
        <w:tab/>
      </w:r>
      <w:r>
        <w:rPr>
          <w:rStyle w:val="CharDefText"/>
        </w:rPr>
        <w:t>Chairman</w:t>
      </w:r>
      <w:r>
        <w:t xml:space="preserve"> means the Chairman of the Authority;</w:t>
      </w:r>
    </w:p>
    <w:p>
      <w:pPr>
        <w:pStyle w:val="Defstart"/>
      </w:pPr>
      <w:r>
        <w:rPr>
          <w:b/>
        </w:rPr>
        <w:tab/>
      </w:r>
      <w:r>
        <w:rPr>
          <w:rStyle w:val="CharDefText"/>
        </w:rPr>
        <w:t>Centre</w:t>
      </w:r>
      <w:r>
        <w:t xml:space="preserve"> means premises maintained by the Authority for the assessment, treatment, management, care, or rehabilitation of persons suffering from alcohol or drug abuse;</w:t>
      </w:r>
    </w:p>
    <w:p>
      <w:pPr>
        <w:pStyle w:val="Defstart"/>
      </w:pPr>
      <w:r>
        <w:rPr>
          <w:b/>
        </w:rPr>
        <w:tab/>
      </w:r>
      <w:r>
        <w:rPr>
          <w:rStyle w:val="CharDefText"/>
        </w:rPr>
        <w:t>Deputy Chairman</w:t>
      </w:r>
      <w:r>
        <w:t xml:space="preserve"> means the Deputy Chairman of the Authority;</w:t>
      </w:r>
    </w:p>
    <w:p>
      <w:pPr>
        <w:pStyle w:val="Defstart"/>
      </w:pPr>
      <w:r>
        <w:rPr>
          <w:b/>
        </w:rPr>
        <w:tab/>
      </w:r>
      <w:r>
        <w:rPr>
          <w:b/>
          <w:bCs/>
          <w:i/>
          <w:iCs/>
        </w:rPr>
        <w:t>medical practitioner</w:t>
      </w:r>
      <w:r>
        <w:t xml:space="preserve"> has the meaning </w:t>
      </w:r>
      <w:del w:id="22" w:author="svcMRProcess" w:date="2018-08-20T11:24:00Z">
        <w:r>
          <w:delText>assigned</w:delText>
        </w:r>
      </w:del>
      <w:ins w:id="23" w:author="svcMRProcess" w:date="2018-08-20T11:24:00Z">
        <w:r>
          <w:t>given</w:t>
        </w:r>
      </w:ins>
      <w:r>
        <w:t xml:space="preserve"> to </w:t>
      </w:r>
      <w:del w:id="24" w:author="svcMRProcess" w:date="2018-08-20T11:24:00Z">
        <w:r>
          <w:delText>it</w:delText>
        </w:r>
      </w:del>
      <w:ins w:id="25" w:author="svcMRProcess" w:date="2018-08-20T11:24:00Z">
        <w:r>
          <w:t>that term</w:t>
        </w:r>
      </w:ins>
      <w:r>
        <w:t xml:space="preserve"> in </w:t>
      </w:r>
      <w:del w:id="26" w:author="svcMRProcess" w:date="2018-08-20T11:24:00Z">
        <w:r>
          <w:delText xml:space="preserve">section 3 of </w:delText>
        </w:r>
      </w:del>
      <w:r>
        <w:t xml:space="preserve">the </w:t>
      </w:r>
      <w:r>
        <w:rPr>
          <w:i/>
        </w:rPr>
        <w:t xml:space="preserve">Medical </w:t>
      </w:r>
      <w:ins w:id="27" w:author="svcMRProcess" w:date="2018-08-20T11:24:00Z">
        <w:r>
          <w:rPr>
            <w:i/>
          </w:rPr>
          <w:t xml:space="preserve">Practitioners </w:t>
        </w:r>
      </w:ins>
      <w:r>
        <w:rPr>
          <w:i/>
        </w:rPr>
        <w:t xml:space="preserve">Act </w:t>
      </w:r>
      <w:del w:id="28" w:author="svcMRProcess" w:date="2018-08-20T11:24:00Z">
        <w:r>
          <w:rPr>
            <w:i/>
          </w:rPr>
          <w:delText>1894</w:delText>
        </w:r>
      </w:del>
      <w:ins w:id="29" w:author="svcMRProcess" w:date="2018-08-20T11:24:00Z">
        <w:r>
          <w:rPr>
            <w:i/>
          </w:rPr>
          <w:t>2008</w:t>
        </w:r>
        <w:r>
          <w:t xml:space="preserve"> section 4</w:t>
        </w:r>
      </w:ins>
      <w:r>
        <w:t>;</w:t>
      </w:r>
    </w:p>
    <w:p>
      <w:pPr>
        <w:pStyle w:val="Defstart"/>
      </w:pPr>
      <w:r>
        <w:rPr>
          <w:b/>
        </w:rPr>
        <w:tab/>
      </w:r>
      <w:r>
        <w:rPr>
          <w:rStyle w:val="CharDefText"/>
        </w:rPr>
        <w:t>member</w:t>
      </w:r>
      <w:r>
        <w:t xml:space="preserve"> means a member of the Authority;</w:t>
      </w:r>
    </w:p>
    <w:p>
      <w:pPr>
        <w:pStyle w:val="Defstart"/>
      </w:pPr>
      <w:r>
        <w:rPr>
          <w:b/>
        </w:rPr>
        <w:tab/>
      </w:r>
      <w:r>
        <w:rPr>
          <w:rStyle w:val="CharDefText"/>
        </w:rPr>
        <w:t>section</w:t>
      </w:r>
      <w:r>
        <w:t xml:space="preserve"> means section of this Act;</w:t>
      </w:r>
    </w:p>
    <w:p>
      <w:pPr>
        <w:pStyle w:val="Defstart"/>
      </w:pPr>
      <w:r>
        <w:rPr>
          <w:b/>
        </w:rPr>
        <w:tab/>
      </w:r>
      <w:bookmarkStart w:id="30" w:name="endcomma"/>
      <w:bookmarkEnd w:id="30"/>
      <w:r>
        <w:rPr>
          <w:rStyle w:val="CharDefText"/>
        </w:rPr>
        <w:t>subsection</w:t>
      </w:r>
      <w:r>
        <w:t xml:space="preserve"> </w:t>
      </w:r>
      <w:bookmarkStart w:id="31" w:name="comma"/>
      <w:bookmarkEnd w:id="31"/>
      <w:r>
        <w:t>means a subsection of the section wherein the term is used.</w:t>
      </w:r>
    </w:p>
    <w:p>
      <w:pPr>
        <w:pStyle w:val="Footnotesection"/>
      </w:pPr>
      <w:r>
        <w:tab/>
        <w:t>[Section 4 amended by No. 32 of 1994 s.19</w:t>
      </w:r>
      <w:del w:id="32" w:author="svcMRProcess" w:date="2018-08-20T11:24:00Z">
        <w:r>
          <w:delText>.]</w:delText>
        </w:r>
      </w:del>
      <w:ins w:id="33" w:author="svcMRProcess" w:date="2018-08-20T11:24:00Z">
        <w:r>
          <w:t>; No. 22 of 2008 s. 162.]</w:t>
        </w:r>
      </w:ins>
      <w:r>
        <w:t xml:space="preserve"> </w:t>
      </w:r>
    </w:p>
    <w:p>
      <w:pPr>
        <w:pStyle w:val="Heading2"/>
      </w:pPr>
      <w:bookmarkStart w:id="34" w:name="_Toc157315753"/>
      <w:bookmarkStart w:id="35" w:name="_Toc157831490"/>
      <w:bookmarkStart w:id="36" w:name="_Toc199815183"/>
      <w:bookmarkStart w:id="37" w:name="_Toc215473891"/>
      <w:r>
        <w:rPr>
          <w:rStyle w:val="CharPartNo"/>
        </w:rPr>
        <w:t>Part II</w:t>
      </w:r>
      <w:r>
        <w:t> — </w:t>
      </w:r>
      <w:r>
        <w:rPr>
          <w:rStyle w:val="CharPartText"/>
        </w:rPr>
        <w:t>Alcohol and Drug Authority</w:t>
      </w:r>
      <w:bookmarkEnd w:id="34"/>
      <w:bookmarkEnd w:id="35"/>
      <w:bookmarkEnd w:id="36"/>
      <w:bookmarkEnd w:id="37"/>
      <w:r>
        <w:rPr>
          <w:rStyle w:val="CharPartText"/>
        </w:rPr>
        <w:t xml:space="preserve"> </w:t>
      </w:r>
    </w:p>
    <w:p>
      <w:pPr>
        <w:pStyle w:val="Heading3"/>
        <w:rPr>
          <w:snapToGrid w:val="0"/>
        </w:rPr>
      </w:pPr>
      <w:bookmarkStart w:id="38" w:name="_Toc157315754"/>
      <w:bookmarkStart w:id="39" w:name="_Toc157831491"/>
      <w:bookmarkStart w:id="40" w:name="_Toc199815184"/>
      <w:bookmarkStart w:id="41" w:name="_Toc215473892"/>
      <w:r>
        <w:rPr>
          <w:rStyle w:val="CharDivNo"/>
        </w:rPr>
        <w:t>Division 1</w:t>
      </w:r>
      <w:r>
        <w:rPr>
          <w:snapToGrid w:val="0"/>
        </w:rPr>
        <w:t> — </w:t>
      </w:r>
      <w:r>
        <w:rPr>
          <w:rStyle w:val="CharDivText"/>
        </w:rPr>
        <w:t>Establishment and terms of office</w:t>
      </w:r>
      <w:bookmarkEnd w:id="38"/>
      <w:bookmarkEnd w:id="39"/>
      <w:bookmarkEnd w:id="40"/>
      <w:bookmarkEnd w:id="41"/>
      <w:r>
        <w:rPr>
          <w:rStyle w:val="CharDivText"/>
        </w:rPr>
        <w:t xml:space="preserve"> </w:t>
      </w:r>
    </w:p>
    <w:p>
      <w:pPr>
        <w:pStyle w:val="Heading5"/>
        <w:rPr>
          <w:snapToGrid w:val="0"/>
        </w:rPr>
      </w:pPr>
      <w:bookmarkStart w:id="42" w:name="_Toc517588112"/>
      <w:bookmarkStart w:id="43" w:name="_Toc517588242"/>
      <w:bookmarkStart w:id="44" w:name="_Toc518096091"/>
      <w:bookmarkStart w:id="45" w:name="_Toc215473893"/>
      <w:bookmarkStart w:id="46" w:name="_Toc199815185"/>
      <w:r>
        <w:rPr>
          <w:rStyle w:val="CharSectno"/>
        </w:rPr>
        <w:t>5</w:t>
      </w:r>
      <w:r>
        <w:rPr>
          <w:snapToGrid w:val="0"/>
        </w:rPr>
        <w:t>.</w:t>
      </w:r>
      <w:r>
        <w:rPr>
          <w:snapToGrid w:val="0"/>
        </w:rPr>
        <w:tab/>
        <w:t>Establishment and incorporation</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For the purposes of this Act an authority shall be established consisting of 4 members appointed by the Governor, one at least of whom shall be a medical practitioner.</w:t>
      </w:r>
    </w:p>
    <w:p>
      <w:pPr>
        <w:pStyle w:val="Subsection"/>
        <w:rPr>
          <w:snapToGrid w:val="0"/>
        </w:rPr>
      </w:pPr>
      <w:r>
        <w:rPr>
          <w:snapToGrid w:val="0"/>
        </w:rPr>
        <w:tab/>
        <w:t>(2)</w:t>
      </w:r>
      <w:r>
        <w:rPr>
          <w:snapToGrid w:val="0"/>
        </w:rPr>
        <w:tab/>
        <w:t>The Governor shall appoint one member to be Chairman and another member to be Deputy Chairman of the Authority.</w:t>
      </w:r>
    </w:p>
    <w:p>
      <w:pPr>
        <w:pStyle w:val="Subsection"/>
        <w:rPr>
          <w:snapToGrid w:val="0"/>
        </w:rPr>
      </w:pPr>
      <w:r>
        <w:rPr>
          <w:snapToGrid w:val="0"/>
        </w:rPr>
        <w:tab/>
        <w:t>(3)</w:t>
      </w:r>
      <w:r>
        <w:rPr>
          <w:snapToGrid w:val="0"/>
        </w:rPr>
        <w:tab/>
        <w:t xml:space="preserve">The Minister shall cause notice of appointments to the respective offices of members to be published in the </w:t>
      </w:r>
      <w:r>
        <w:rPr>
          <w:i/>
          <w:snapToGrid w:val="0"/>
        </w:rPr>
        <w:t>Government Gazette</w:t>
      </w:r>
      <w:r>
        <w:rPr>
          <w:snapToGrid w:val="0"/>
        </w:rPr>
        <w:t>.</w:t>
      </w:r>
    </w:p>
    <w:p>
      <w:pPr>
        <w:pStyle w:val="Subsection"/>
        <w:rPr>
          <w:snapToGrid w:val="0"/>
        </w:rPr>
      </w:pPr>
      <w:r>
        <w:rPr>
          <w:snapToGrid w:val="0"/>
        </w:rPr>
        <w:tab/>
        <w:t>(4)</w:t>
      </w:r>
      <w:r>
        <w:rPr>
          <w:snapToGrid w:val="0"/>
        </w:rPr>
        <w:tab/>
        <w:t>When notice of the appointment of the first 4 members is so published the Authority is thereby incorporated as a body corporate by the name of “Western Australian Alcohol and Drug Authority” and under that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Authority;</w:t>
      </w:r>
    </w:p>
    <w:p>
      <w:pPr>
        <w:pStyle w:val="Indenta"/>
        <w:rPr>
          <w:snapToGrid w:val="0"/>
        </w:rPr>
      </w:pPr>
      <w:r>
        <w:rPr>
          <w:snapToGrid w:val="0"/>
        </w:rPr>
        <w:tab/>
        <w:t>(e)</w:t>
      </w:r>
      <w:r>
        <w:rPr>
          <w:snapToGrid w:val="0"/>
        </w:rPr>
        <w:tab/>
        <w:t>may, with the approval of the Governor, sell, alienate, mortgage, charge, and demise real or personal property;</w:t>
      </w:r>
    </w:p>
    <w:p>
      <w:pPr>
        <w:pStyle w:val="Indenta"/>
        <w:rPr>
          <w:snapToGrid w:val="0"/>
        </w:rPr>
      </w:pPr>
      <w:r>
        <w:rPr>
          <w:snapToGrid w:val="0"/>
        </w:rPr>
        <w:tab/>
        <w:t>(f)</w:t>
      </w:r>
      <w:r>
        <w:rPr>
          <w:snapToGrid w:val="0"/>
        </w:rPr>
        <w:tab/>
        <w:t>may sell, assign, or charge personal property; and</w:t>
      </w:r>
    </w:p>
    <w:p>
      <w:pPr>
        <w:pStyle w:val="Indenta"/>
        <w:rPr>
          <w:snapToGrid w:val="0"/>
        </w:rPr>
      </w:pPr>
      <w:r>
        <w:rPr>
          <w:snapToGrid w:val="0"/>
        </w:rPr>
        <w:tab/>
        <w:t>(g)</w:t>
      </w:r>
      <w:r>
        <w:rPr>
          <w:snapToGrid w:val="0"/>
        </w:rPr>
        <w:tab/>
        <w:t>may do and suffer all other things which bodies corporate may by law do and suffer.</w:t>
      </w:r>
    </w:p>
    <w:p>
      <w:pPr>
        <w:pStyle w:val="Subsection"/>
        <w:rPr>
          <w:snapToGrid w:val="0"/>
        </w:rPr>
      </w:pPr>
      <w:r>
        <w:rPr>
          <w:snapToGrid w:val="0"/>
        </w:rPr>
        <w:tab/>
        <w:t>(5)</w:t>
      </w:r>
      <w:r>
        <w:rPr>
          <w:snapToGrid w:val="0"/>
        </w:rPr>
        <w:tab/>
        <w:t>All courts, judges, and persons acting judicially shall take judicial notice of the common seal of the Authority affixed to a document, and presume it was duly affixed.</w:t>
      </w:r>
    </w:p>
    <w:p>
      <w:pPr>
        <w:pStyle w:val="Heading5"/>
        <w:rPr>
          <w:snapToGrid w:val="0"/>
        </w:rPr>
      </w:pPr>
      <w:bookmarkStart w:id="47" w:name="_Toc517588113"/>
      <w:bookmarkStart w:id="48" w:name="_Toc517588243"/>
      <w:bookmarkStart w:id="49" w:name="_Toc518096092"/>
      <w:bookmarkStart w:id="50" w:name="_Toc215473894"/>
      <w:bookmarkStart w:id="51" w:name="_Toc199815186"/>
      <w:r>
        <w:rPr>
          <w:rStyle w:val="CharSectno"/>
        </w:rPr>
        <w:t>6</w:t>
      </w:r>
      <w:r>
        <w:rPr>
          <w:snapToGrid w:val="0"/>
        </w:rPr>
        <w:t>.</w:t>
      </w:r>
      <w:r>
        <w:rPr>
          <w:snapToGrid w:val="0"/>
        </w:rPr>
        <w:tab/>
        <w:t>Term of office</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Subject to this Act, each member shall hold office for such period not exceeding 3 years as the Governor may fix at the time of the member’s appointment.</w:t>
      </w:r>
    </w:p>
    <w:p>
      <w:pPr>
        <w:pStyle w:val="Heading5"/>
        <w:rPr>
          <w:snapToGrid w:val="0"/>
        </w:rPr>
      </w:pPr>
      <w:bookmarkStart w:id="52" w:name="_Toc517588114"/>
      <w:bookmarkStart w:id="53" w:name="_Toc517588244"/>
      <w:bookmarkStart w:id="54" w:name="_Toc518096093"/>
      <w:bookmarkStart w:id="55" w:name="_Toc215473895"/>
      <w:bookmarkStart w:id="56" w:name="_Toc199815187"/>
      <w:r>
        <w:rPr>
          <w:rStyle w:val="CharSectno"/>
        </w:rPr>
        <w:t>7</w:t>
      </w:r>
      <w:r>
        <w:rPr>
          <w:snapToGrid w:val="0"/>
        </w:rPr>
        <w:t>.</w:t>
      </w:r>
      <w:r>
        <w:rPr>
          <w:snapToGrid w:val="0"/>
        </w:rPr>
        <w:tab/>
        <w:t>Re</w:t>
      </w:r>
      <w:r>
        <w:rPr>
          <w:snapToGrid w:val="0"/>
        </w:rPr>
        <w:noBreakHyphen/>
        <w:t>appointment</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All members, on the expiration of their term are, unless otherwise disqualified, eligible for re</w:t>
      </w:r>
      <w:r>
        <w:rPr>
          <w:snapToGrid w:val="0"/>
        </w:rPr>
        <w:noBreakHyphen/>
        <w:t>appointment.</w:t>
      </w:r>
    </w:p>
    <w:p>
      <w:pPr>
        <w:pStyle w:val="Heading5"/>
        <w:rPr>
          <w:snapToGrid w:val="0"/>
        </w:rPr>
      </w:pPr>
      <w:bookmarkStart w:id="57" w:name="_Toc517588115"/>
      <w:bookmarkStart w:id="58" w:name="_Toc517588245"/>
      <w:bookmarkStart w:id="59" w:name="_Toc518096094"/>
      <w:bookmarkStart w:id="60" w:name="_Toc215473896"/>
      <w:bookmarkStart w:id="61" w:name="_Toc199815188"/>
      <w:r>
        <w:rPr>
          <w:rStyle w:val="CharSectno"/>
        </w:rPr>
        <w:t>8</w:t>
      </w:r>
      <w:r>
        <w:rPr>
          <w:snapToGrid w:val="0"/>
        </w:rPr>
        <w:t>.</w:t>
      </w:r>
      <w:r>
        <w:rPr>
          <w:snapToGrid w:val="0"/>
        </w:rPr>
        <w:tab/>
        <w:t>Leave of absence</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Authority may grant leave of absence to a member on such terms and conditions as the Authority determines.</w:t>
      </w:r>
    </w:p>
    <w:p>
      <w:pPr>
        <w:pStyle w:val="Heading5"/>
        <w:rPr>
          <w:snapToGrid w:val="0"/>
        </w:rPr>
      </w:pPr>
      <w:bookmarkStart w:id="62" w:name="_Toc517588116"/>
      <w:bookmarkStart w:id="63" w:name="_Toc517588246"/>
      <w:bookmarkStart w:id="64" w:name="_Toc518096095"/>
      <w:bookmarkStart w:id="65" w:name="_Toc215473897"/>
      <w:bookmarkStart w:id="66" w:name="_Toc199815189"/>
      <w:r>
        <w:rPr>
          <w:rStyle w:val="CharSectno"/>
        </w:rPr>
        <w:t>9</w:t>
      </w:r>
      <w:r>
        <w:rPr>
          <w:snapToGrid w:val="0"/>
        </w:rPr>
        <w:t>.</w:t>
      </w:r>
      <w:r>
        <w:rPr>
          <w:snapToGrid w:val="0"/>
        </w:rPr>
        <w:tab/>
        <w:t>Dismissal of members</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Governor may terminate the appointment of a member for inability, inefficiency, or misbehaviour.</w:t>
      </w:r>
    </w:p>
    <w:p>
      <w:pPr>
        <w:pStyle w:val="Heading5"/>
        <w:rPr>
          <w:snapToGrid w:val="0"/>
        </w:rPr>
      </w:pPr>
      <w:bookmarkStart w:id="67" w:name="_Toc517588117"/>
      <w:bookmarkStart w:id="68" w:name="_Toc517588247"/>
      <w:bookmarkStart w:id="69" w:name="_Toc518096096"/>
      <w:bookmarkStart w:id="70" w:name="_Toc215473898"/>
      <w:bookmarkStart w:id="71" w:name="_Toc199815190"/>
      <w:r>
        <w:rPr>
          <w:rStyle w:val="CharSectno"/>
        </w:rPr>
        <w:t>10</w:t>
      </w:r>
      <w:r>
        <w:rPr>
          <w:snapToGrid w:val="0"/>
        </w:rPr>
        <w:t>.</w:t>
      </w:r>
      <w:r>
        <w:rPr>
          <w:snapToGrid w:val="0"/>
        </w:rPr>
        <w:tab/>
        <w:t>Vacation of office</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writing under his hand delivered to the Minister;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is an undischarged bankrupt or has his affairs under liquidation by arrangement with his creditors;</w:t>
      </w:r>
    </w:p>
    <w:p>
      <w:pPr>
        <w:pStyle w:val="Indenta"/>
        <w:rPr>
          <w:snapToGrid w:val="0"/>
        </w:rPr>
      </w:pPr>
      <w:r>
        <w:rPr>
          <w:snapToGrid w:val="0"/>
        </w:rPr>
        <w:tab/>
        <w:t>(e)</w:t>
      </w:r>
      <w:r>
        <w:rPr>
          <w:snapToGrid w:val="0"/>
        </w:rPr>
        <w:tab/>
        <w:t>is convicted of an indictable offence;</w:t>
      </w:r>
    </w:p>
    <w:p>
      <w:pPr>
        <w:pStyle w:val="Indenta"/>
        <w:rPr>
          <w:snapToGrid w:val="0"/>
        </w:rPr>
      </w:pPr>
      <w:r>
        <w:rPr>
          <w:snapToGrid w:val="0"/>
        </w:rPr>
        <w:tab/>
        <w:t>(f)</w:t>
      </w:r>
      <w:r>
        <w:rPr>
          <w:snapToGrid w:val="0"/>
        </w:rPr>
        <w:tab/>
        <w:t>is absent without leave of the Authority for more than 3 consecutive meetings of the Authority;</w:t>
      </w:r>
    </w:p>
    <w:p>
      <w:pPr>
        <w:pStyle w:val="Indenta"/>
        <w:rPr>
          <w:snapToGrid w:val="0"/>
        </w:rPr>
      </w:pPr>
      <w:r>
        <w:rPr>
          <w:snapToGrid w:val="0"/>
        </w:rPr>
        <w:tab/>
        <w:t>(g)</w:t>
      </w:r>
      <w:r>
        <w:rPr>
          <w:snapToGrid w:val="0"/>
        </w:rPr>
        <w:tab/>
        <w:t>has his appointment terminated under section 9; or</w:t>
      </w:r>
    </w:p>
    <w:p>
      <w:pPr>
        <w:pStyle w:val="Indenta"/>
        <w:rPr>
          <w:snapToGrid w:val="0"/>
        </w:rPr>
      </w:pPr>
      <w:r>
        <w:rPr>
          <w:snapToGrid w:val="0"/>
        </w:rPr>
        <w:tab/>
        <w:t>(h)</w:t>
      </w:r>
      <w:r>
        <w:rPr>
          <w:snapToGrid w:val="0"/>
        </w:rPr>
        <w:tab/>
        <w:t>being a medical practitioner at the time of his appointment ceases to be one,</w:t>
      </w:r>
    </w:p>
    <w:p>
      <w:pPr>
        <w:pStyle w:val="Subsection"/>
        <w:rPr>
          <w:snapToGrid w:val="0"/>
        </w:rPr>
      </w:pPr>
      <w:r>
        <w:rPr>
          <w:snapToGrid w:val="0"/>
        </w:rPr>
        <w:tab/>
      </w:r>
      <w:r>
        <w:rPr>
          <w:snapToGrid w:val="0"/>
        </w:rPr>
        <w:tab/>
        <w:t>his office shall become vacant and shall be filled as a casual vacancy in accordance with section 11.</w:t>
      </w:r>
    </w:p>
    <w:p>
      <w:pPr>
        <w:pStyle w:val="Footnotesection"/>
      </w:pPr>
      <w:r>
        <w:tab/>
        <w:t>[Section 10 amended by No. 24 of 1990 s.123.]</w:t>
      </w:r>
    </w:p>
    <w:p>
      <w:pPr>
        <w:pStyle w:val="Heading5"/>
        <w:rPr>
          <w:snapToGrid w:val="0"/>
        </w:rPr>
      </w:pPr>
      <w:bookmarkStart w:id="72" w:name="_Toc517588118"/>
      <w:bookmarkStart w:id="73" w:name="_Toc517588248"/>
      <w:bookmarkStart w:id="74" w:name="_Toc518096097"/>
      <w:bookmarkStart w:id="75" w:name="_Toc215473899"/>
      <w:bookmarkStart w:id="76" w:name="_Toc199815191"/>
      <w:r>
        <w:rPr>
          <w:rStyle w:val="CharSectno"/>
        </w:rPr>
        <w:t>11</w:t>
      </w:r>
      <w:r>
        <w:rPr>
          <w:snapToGrid w:val="0"/>
        </w:rPr>
        <w:t>.</w:t>
      </w:r>
      <w:r>
        <w:rPr>
          <w:snapToGrid w:val="0"/>
        </w:rPr>
        <w:tab/>
        <w:t>Casual vacancy</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Where a casual vacancy occurs in the office of a member the vacancy may be filled by such person as the Governor thinks fit, and the person who fills the vacancy shall, subject to this Act, hold office as member for the residue of his predecessor’s term of office, but, if by reason of the vacancy there is no member who is a medical practitioner, the person who fills the vacancy shall be a medical practitioner.</w:t>
      </w:r>
    </w:p>
    <w:p>
      <w:pPr>
        <w:pStyle w:val="Heading5"/>
        <w:rPr>
          <w:snapToGrid w:val="0"/>
        </w:rPr>
      </w:pPr>
      <w:bookmarkStart w:id="77" w:name="_Toc517588119"/>
      <w:bookmarkStart w:id="78" w:name="_Toc517588249"/>
      <w:bookmarkStart w:id="79" w:name="_Toc518096098"/>
      <w:bookmarkStart w:id="80" w:name="_Toc215473900"/>
      <w:bookmarkStart w:id="81" w:name="_Toc199815192"/>
      <w:r>
        <w:rPr>
          <w:rStyle w:val="CharSectno"/>
        </w:rPr>
        <w:t>12</w:t>
      </w:r>
      <w:r>
        <w:rPr>
          <w:snapToGrid w:val="0"/>
        </w:rPr>
        <w:t>.</w:t>
      </w:r>
      <w:r>
        <w:rPr>
          <w:snapToGrid w:val="0"/>
        </w:rPr>
        <w:tab/>
        <w:t>Acting members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Where the Minister is satisfied that a member is prevented by illness, absence, or other reasonable cause from performing his duties as a member, the Minister may appoint such person as the Minister thinks fit to be an acting member to act for the member and that person, while he so acts, shall be deemed to be a member, but, if the member is the only member who is a medical practitioner, the person appointed to act for him shall be a medical practitioner.</w:t>
      </w:r>
    </w:p>
    <w:p>
      <w:pPr>
        <w:pStyle w:val="Subsection"/>
        <w:rPr>
          <w:snapToGrid w:val="0"/>
        </w:rPr>
      </w:pPr>
      <w:r>
        <w:rPr>
          <w:snapToGrid w:val="0"/>
        </w:rPr>
        <w:tab/>
        <w:t>(2)</w:t>
      </w:r>
      <w:r>
        <w:rPr>
          <w:snapToGrid w:val="0"/>
        </w:rPr>
        <w:tab/>
        <w:t>The Minister may at any time terminate the appointment of an acting member.</w:t>
      </w:r>
    </w:p>
    <w:p>
      <w:pPr>
        <w:pStyle w:val="Heading5"/>
        <w:rPr>
          <w:snapToGrid w:val="0"/>
        </w:rPr>
      </w:pPr>
      <w:bookmarkStart w:id="82" w:name="_Toc517588120"/>
      <w:bookmarkStart w:id="83" w:name="_Toc517588250"/>
      <w:bookmarkStart w:id="84" w:name="_Toc518096099"/>
      <w:bookmarkStart w:id="85" w:name="_Toc215473901"/>
      <w:bookmarkStart w:id="86" w:name="_Toc199815193"/>
      <w:r>
        <w:rPr>
          <w:rStyle w:val="CharSectno"/>
        </w:rPr>
        <w:t>13</w:t>
      </w:r>
      <w:r>
        <w:rPr>
          <w:snapToGrid w:val="0"/>
        </w:rPr>
        <w:t>.</w:t>
      </w:r>
      <w:r>
        <w:rPr>
          <w:snapToGrid w:val="0"/>
        </w:rPr>
        <w:tab/>
        <w:t>Meetings of the Authority</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Authority shall hold such meetings as are necessary for the exercise of its functions.</w:t>
      </w:r>
    </w:p>
    <w:p>
      <w:pPr>
        <w:pStyle w:val="Subsection"/>
        <w:rPr>
          <w:snapToGrid w:val="0"/>
        </w:rPr>
      </w:pPr>
      <w:r>
        <w:rPr>
          <w:snapToGrid w:val="0"/>
        </w:rPr>
        <w:tab/>
        <w:t>(2)</w:t>
      </w:r>
      <w:r>
        <w:rPr>
          <w:snapToGrid w:val="0"/>
        </w:rPr>
        <w:tab/>
        <w:t>The Chairman, or if the Chairman is absent, or his office is vacant, the Deputy Chairman, may convene meetings of the Authority.</w:t>
      </w:r>
    </w:p>
    <w:p>
      <w:pPr>
        <w:pStyle w:val="Subsection"/>
        <w:rPr>
          <w:snapToGrid w:val="0"/>
        </w:rPr>
      </w:pPr>
      <w:r>
        <w:rPr>
          <w:snapToGrid w:val="0"/>
        </w:rPr>
        <w:tab/>
        <w:t>(3)</w:t>
      </w:r>
      <w:r>
        <w:rPr>
          <w:snapToGrid w:val="0"/>
        </w:rPr>
        <w:tab/>
        <w:t>If the Chairman is absent from a meeting of the Authority the Deputy Chairman shall preside at the meeting, and when doing so, shall have all the powers and duties of the Chairman.</w:t>
      </w:r>
    </w:p>
    <w:p>
      <w:pPr>
        <w:pStyle w:val="Subsection"/>
        <w:rPr>
          <w:snapToGrid w:val="0"/>
        </w:rPr>
      </w:pPr>
      <w:r>
        <w:rPr>
          <w:snapToGrid w:val="0"/>
        </w:rPr>
        <w:tab/>
        <w:t>(4)</w:t>
      </w:r>
      <w:r>
        <w:rPr>
          <w:snapToGrid w:val="0"/>
        </w:rPr>
        <w:tab/>
        <w:t>At a meeting of the Authority 2 members shall constitute a quorum.</w:t>
      </w:r>
    </w:p>
    <w:p>
      <w:pPr>
        <w:pStyle w:val="Subsection"/>
        <w:rPr>
          <w:snapToGrid w:val="0"/>
        </w:rPr>
      </w:pPr>
      <w:r>
        <w:rPr>
          <w:snapToGrid w:val="0"/>
        </w:rPr>
        <w:tab/>
        <w:t>(5)</w:t>
      </w:r>
      <w:r>
        <w:rPr>
          <w:snapToGrid w:val="0"/>
        </w:rPr>
        <w:tab/>
        <w:t xml:space="preserve">Subject to this Act, the Authority may regulate its procedure in such manner as it thinks fit. </w:t>
      </w:r>
    </w:p>
    <w:p>
      <w:pPr>
        <w:pStyle w:val="Heading5"/>
        <w:spacing w:before="120"/>
        <w:rPr>
          <w:snapToGrid w:val="0"/>
        </w:rPr>
      </w:pPr>
      <w:bookmarkStart w:id="87" w:name="_Toc517588121"/>
      <w:bookmarkStart w:id="88" w:name="_Toc517588251"/>
      <w:bookmarkStart w:id="89" w:name="_Toc518096100"/>
      <w:bookmarkStart w:id="90" w:name="_Toc215473902"/>
      <w:bookmarkStart w:id="91" w:name="_Toc199815194"/>
      <w:r>
        <w:rPr>
          <w:rStyle w:val="CharSectno"/>
        </w:rPr>
        <w:t>14</w:t>
      </w:r>
      <w:r>
        <w:rPr>
          <w:snapToGrid w:val="0"/>
        </w:rPr>
        <w:t>.</w:t>
      </w:r>
      <w:r>
        <w:rPr>
          <w:snapToGrid w:val="0"/>
        </w:rPr>
        <w:tab/>
        <w:t>Validity of acts of Authority</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No act, proceeding, or determination of the Authority shall be invalid on the ground only of any vacancy in the office of any member or of any defect in the appointment of any member or in the appointment of any acting member.</w:t>
      </w:r>
    </w:p>
    <w:p>
      <w:pPr>
        <w:pStyle w:val="Heading5"/>
        <w:spacing w:before="120"/>
        <w:rPr>
          <w:snapToGrid w:val="0"/>
        </w:rPr>
      </w:pPr>
      <w:bookmarkStart w:id="92" w:name="_Toc517588122"/>
      <w:bookmarkStart w:id="93" w:name="_Toc517588252"/>
      <w:bookmarkStart w:id="94" w:name="_Toc518096101"/>
      <w:bookmarkStart w:id="95" w:name="_Toc215473903"/>
      <w:bookmarkStart w:id="96" w:name="_Toc199815195"/>
      <w:r>
        <w:rPr>
          <w:rStyle w:val="CharSectno"/>
        </w:rPr>
        <w:t>15</w:t>
      </w:r>
      <w:r>
        <w:rPr>
          <w:snapToGrid w:val="0"/>
        </w:rPr>
        <w:t>.</w:t>
      </w:r>
      <w:r>
        <w:rPr>
          <w:snapToGrid w:val="0"/>
        </w:rPr>
        <w:tab/>
        <w:t>Remuneration of members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The members shall be paid such fees and allowances as may from time to time be fixed by the Governor.</w:t>
      </w:r>
    </w:p>
    <w:p>
      <w:pPr>
        <w:pStyle w:val="Ednotesection"/>
      </w:pPr>
      <w:r>
        <w:t>[</w:t>
      </w:r>
      <w:r>
        <w:rPr>
          <w:b/>
        </w:rPr>
        <w:t>16.</w:t>
      </w:r>
      <w:r>
        <w:t xml:space="preserve"> </w:t>
      </w:r>
      <w:r>
        <w:tab/>
      </w:r>
      <w:r>
        <w:tab/>
      </w:r>
      <w:del w:id="97" w:author="svcMRProcess" w:date="2018-08-20T11:24:00Z">
        <w:r>
          <w:delText>Repealed</w:delText>
        </w:r>
      </w:del>
      <w:ins w:id="98" w:author="svcMRProcess" w:date="2018-08-20T11:24:00Z">
        <w:r>
          <w:t>Deleted</w:t>
        </w:r>
      </w:ins>
      <w:r>
        <w:t xml:space="preserve"> by No. 18 of 1984 s.3.] </w:t>
      </w:r>
    </w:p>
    <w:p>
      <w:pPr>
        <w:pStyle w:val="Heading3"/>
        <w:rPr>
          <w:snapToGrid w:val="0"/>
        </w:rPr>
      </w:pPr>
      <w:bookmarkStart w:id="99" w:name="_Toc157315766"/>
      <w:bookmarkStart w:id="100" w:name="_Toc157831503"/>
      <w:bookmarkStart w:id="101" w:name="_Toc199815196"/>
      <w:bookmarkStart w:id="102" w:name="_Toc215473904"/>
      <w:r>
        <w:rPr>
          <w:rStyle w:val="CharDivNo"/>
        </w:rPr>
        <w:t>Division 2</w:t>
      </w:r>
      <w:r>
        <w:rPr>
          <w:snapToGrid w:val="0"/>
        </w:rPr>
        <w:t> — </w:t>
      </w:r>
      <w:r>
        <w:rPr>
          <w:rStyle w:val="CharDivText"/>
        </w:rPr>
        <w:t>General functions, powers, and duties</w:t>
      </w:r>
      <w:bookmarkEnd w:id="99"/>
      <w:bookmarkEnd w:id="100"/>
      <w:bookmarkEnd w:id="101"/>
      <w:bookmarkEnd w:id="102"/>
      <w:r>
        <w:rPr>
          <w:rStyle w:val="CharDivText"/>
        </w:rPr>
        <w:t xml:space="preserve"> </w:t>
      </w:r>
    </w:p>
    <w:p>
      <w:pPr>
        <w:pStyle w:val="Heading5"/>
        <w:rPr>
          <w:snapToGrid w:val="0"/>
        </w:rPr>
      </w:pPr>
      <w:bookmarkStart w:id="103" w:name="_Toc517588123"/>
      <w:bookmarkStart w:id="104" w:name="_Toc517588253"/>
      <w:bookmarkStart w:id="105" w:name="_Toc518096102"/>
      <w:bookmarkStart w:id="106" w:name="_Toc215473905"/>
      <w:bookmarkStart w:id="107" w:name="_Toc199815197"/>
      <w:r>
        <w:rPr>
          <w:rStyle w:val="CharSectno"/>
        </w:rPr>
        <w:t>17</w:t>
      </w:r>
      <w:r>
        <w:rPr>
          <w:snapToGrid w:val="0"/>
        </w:rPr>
        <w:t>.</w:t>
      </w:r>
      <w:r>
        <w:rPr>
          <w:snapToGrid w:val="0"/>
        </w:rPr>
        <w:tab/>
        <w:t>Administration of this Act</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Subject to subsection (2), the Authority shall carry out the administration of this Act.</w:t>
      </w:r>
    </w:p>
    <w:p>
      <w:pPr>
        <w:pStyle w:val="Subsection"/>
        <w:rPr>
          <w:snapToGrid w:val="0"/>
        </w:rPr>
      </w:pPr>
      <w:r>
        <w:rPr>
          <w:snapToGrid w:val="0"/>
        </w:rPr>
        <w:tab/>
        <w:t>(2)</w:t>
      </w:r>
      <w:r>
        <w:rPr>
          <w:snapToGrid w:val="0"/>
        </w:rPr>
        <w:tab/>
        <w:t>The Minister may from time to time give directions to the Authority with respect to its functions, powers, and duties, either generally or with respect to a particular matter, and the Authority shall give effect to those directions.</w:t>
      </w:r>
    </w:p>
    <w:p>
      <w:pPr>
        <w:pStyle w:val="Heading5"/>
        <w:keepNext w:val="0"/>
        <w:keepLines w:val="0"/>
        <w:rPr>
          <w:snapToGrid w:val="0"/>
        </w:rPr>
      </w:pPr>
      <w:bookmarkStart w:id="108" w:name="_Toc517588124"/>
      <w:bookmarkStart w:id="109" w:name="_Toc517588254"/>
      <w:bookmarkStart w:id="110" w:name="_Toc518096103"/>
      <w:bookmarkStart w:id="111" w:name="_Toc215473906"/>
      <w:bookmarkStart w:id="112" w:name="_Toc199815198"/>
      <w:r>
        <w:rPr>
          <w:rStyle w:val="CharSectno"/>
        </w:rPr>
        <w:t>18</w:t>
      </w:r>
      <w:r>
        <w:rPr>
          <w:snapToGrid w:val="0"/>
        </w:rPr>
        <w:t>.</w:t>
      </w:r>
      <w:r>
        <w:rPr>
          <w:snapToGrid w:val="0"/>
        </w:rPr>
        <w:tab/>
        <w:t>Functions of the Authority</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functions of the Authority include the following — </w:t>
      </w:r>
    </w:p>
    <w:p>
      <w:pPr>
        <w:pStyle w:val="Indenta"/>
        <w:rPr>
          <w:snapToGrid w:val="0"/>
        </w:rPr>
      </w:pPr>
      <w:r>
        <w:rPr>
          <w:snapToGrid w:val="0"/>
        </w:rPr>
        <w:tab/>
        <w:t>(a)</w:t>
      </w:r>
      <w:r>
        <w:rPr>
          <w:snapToGrid w:val="0"/>
        </w:rPr>
        <w:tab/>
        <w:t>to provide assessment, treatment, management, care, and rehabilitation of persons suffering from alcohol or drug abuse, and to subsidise and otherwise support, as the Authority thinks fit, any other persons or organizations providing any one or more of those things;</w:t>
      </w:r>
    </w:p>
    <w:p>
      <w:pPr>
        <w:pStyle w:val="Indenta"/>
        <w:rPr>
          <w:snapToGrid w:val="0"/>
          <w:spacing w:val="-6"/>
        </w:rPr>
      </w:pPr>
      <w:r>
        <w:rPr>
          <w:snapToGrid w:val="0"/>
          <w:spacing w:val="-6"/>
        </w:rPr>
        <w:tab/>
        <w:t>(b)</w:t>
      </w:r>
      <w:r>
        <w:rPr>
          <w:snapToGrid w:val="0"/>
          <w:spacing w:val="-6"/>
        </w:rPr>
        <w:tab/>
        <w:t>to establish and maintain premises for the assessment, treatment, management, care, and rehabilitation of persons suffering from alcohol or drug abuse, and to subsidise and otherwise support, as the Authority thinks fit, other persons and organizations establishing or maintaining premises for any one or more of those purposes;</w:t>
      </w:r>
    </w:p>
    <w:p>
      <w:pPr>
        <w:pStyle w:val="Indenta"/>
        <w:rPr>
          <w:snapToGrid w:val="0"/>
        </w:rPr>
      </w:pPr>
      <w:r>
        <w:rPr>
          <w:snapToGrid w:val="0"/>
        </w:rPr>
        <w:tab/>
        <w:t>(c)</w:t>
      </w:r>
      <w:r>
        <w:rPr>
          <w:snapToGrid w:val="0"/>
        </w:rPr>
        <w:tab/>
        <w:t>to establish and maintain accommodation for persons for whom assessment, treatment, management, care, or rehabilitation services are provided under this Act and to subsidise and otherwise support, as the Authority thinks fit, other persons and organizations establishing or maintaining such accommodation;</w:t>
      </w:r>
    </w:p>
    <w:p>
      <w:pPr>
        <w:pStyle w:val="Indenta"/>
        <w:rPr>
          <w:snapToGrid w:val="0"/>
        </w:rPr>
      </w:pPr>
      <w:r>
        <w:rPr>
          <w:snapToGrid w:val="0"/>
        </w:rPr>
        <w:tab/>
        <w:t>(d)</w:t>
      </w:r>
      <w:r>
        <w:rPr>
          <w:snapToGrid w:val="0"/>
        </w:rPr>
        <w:tab/>
        <w:t>to provide such other facilities and services as the Authority considers necessary or desirable for the purposes of this Act;</w:t>
      </w:r>
    </w:p>
    <w:p>
      <w:pPr>
        <w:pStyle w:val="Indenta"/>
        <w:rPr>
          <w:snapToGrid w:val="0"/>
        </w:rPr>
      </w:pPr>
      <w:r>
        <w:rPr>
          <w:snapToGrid w:val="0"/>
        </w:rPr>
        <w:tab/>
        <w:t>(e)</w:t>
      </w:r>
      <w:r>
        <w:rPr>
          <w:snapToGrid w:val="0"/>
        </w:rPr>
        <w:tab/>
        <w:t>to determine the persons or classes of persons for whom the Authority may provide facilities or services under this Act, or in respect of whom the Authority may subsidise or otherwise support other persons and organizations providing facilities and services consistent with the purposes of this Act;</w:t>
      </w:r>
    </w:p>
    <w:p>
      <w:pPr>
        <w:pStyle w:val="Indenta"/>
        <w:rPr>
          <w:snapToGrid w:val="0"/>
        </w:rPr>
      </w:pPr>
      <w:r>
        <w:rPr>
          <w:snapToGrid w:val="0"/>
        </w:rPr>
        <w:tab/>
        <w:t>(f)</w:t>
      </w:r>
      <w:r>
        <w:rPr>
          <w:snapToGrid w:val="0"/>
        </w:rPr>
        <w:tab/>
        <w:t>to co</w:t>
      </w:r>
      <w:r>
        <w:rPr>
          <w:snapToGrid w:val="0"/>
        </w:rPr>
        <w:noBreakHyphen/>
        <w:t>ordinate, promote, and subsidise, in Western Australia, research into and education on the causation, prevention, and treatment of alcohol and drug abuse;</w:t>
      </w:r>
    </w:p>
    <w:p>
      <w:pPr>
        <w:pStyle w:val="Indenta"/>
        <w:rPr>
          <w:snapToGrid w:val="0"/>
        </w:rPr>
      </w:pPr>
      <w:r>
        <w:rPr>
          <w:snapToGrid w:val="0"/>
        </w:rPr>
        <w:tab/>
        <w:t>(g)</w:t>
      </w:r>
      <w:r>
        <w:rPr>
          <w:snapToGrid w:val="0"/>
        </w:rPr>
        <w:tab/>
        <w:t>to inquire into the respective provisions of the laws of this State with respect to offences in which the use of alcohol or drugs, or both, is an element, and with respect to the penalties for those offences, to consider the desirability or otherwise, in the community interest, of repealing or modifying any of those provisions, and to make such recommendations thereon to the Minister and the Attorney General as the Authority thinks fit;</w:t>
      </w:r>
    </w:p>
    <w:p>
      <w:pPr>
        <w:pStyle w:val="Indenta"/>
        <w:rPr>
          <w:snapToGrid w:val="0"/>
          <w:spacing w:val="-8"/>
        </w:rPr>
      </w:pPr>
      <w:r>
        <w:rPr>
          <w:snapToGrid w:val="0"/>
          <w:spacing w:val="-8"/>
        </w:rPr>
        <w:tab/>
        <w:t>(h)</w:t>
      </w:r>
      <w:r>
        <w:rPr>
          <w:snapToGrid w:val="0"/>
          <w:spacing w:val="-8"/>
        </w:rPr>
        <w:tab/>
        <w:t>to co</w:t>
      </w:r>
      <w:r>
        <w:rPr>
          <w:snapToGrid w:val="0"/>
          <w:spacing w:val="-8"/>
        </w:rPr>
        <w:noBreakHyphen/>
        <w:t>operate and enter into agreement with other persons and organizations, in this State or otherwise, to such extent as may be necessary for the purposes of this Act; and</w:t>
      </w:r>
    </w:p>
    <w:p>
      <w:pPr>
        <w:pStyle w:val="Indenta"/>
        <w:rPr>
          <w:snapToGrid w:val="0"/>
          <w:spacing w:val="-8"/>
        </w:rPr>
      </w:pPr>
      <w:r>
        <w:rPr>
          <w:snapToGrid w:val="0"/>
          <w:spacing w:val="-8"/>
        </w:rPr>
        <w:tab/>
        <w:t>(i)</w:t>
      </w:r>
      <w:r>
        <w:rPr>
          <w:snapToGrid w:val="0"/>
          <w:spacing w:val="-8"/>
        </w:rPr>
        <w:tab/>
        <w:t>such other functions as are prescribed by any other Act or regulation, local law, by</w:t>
      </w:r>
      <w:r>
        <w:rPr>
          <w:snapToGrid w:val="0"/>
          <w:spacing w:val="-8"/>
        </w:rPr>
        <w:noBreakHyphen/>
        <w:t>law, or rule made under any other Act.</w:t>
      </w:r>
    </w:p>
    <w:p>
      <w:pPr>
        <w:pStyle w:val="Footnotesection"/>
      </w:pPr>
      <w:r>
        <w:tab/>
        <w:t xml:space="preserve">[Section 18 amended by No. 14 of 1996 s.4.] </w:t>
      </w:r>
    </w:p>
    <w:p>
      <w:pPr>
        <w:pStyle w:val="Heading5"/>
        <w:spacing w:before="120"/>
        <w:rPr>
          <w:snapToGrid w:val="0"/>
        </w:rPr>
      </w:pPr>
      <w:bookmarkStart w:id="113" w:name="_Toc517588125"/>
      <w:bookmarkStart w:id="114" w:name="_Toc517588255"/>
      <w:bookmarkStart w:id="115" w:name="_Toc518096104"/>
      <w:bookmarkStart w:id="116" w:name="_Toc215473907"/>
      <w:bookmarkStart w:id="117" w:name="_Toc199815199"/>
      <w:r>
        <w:rPr>
          <w:rStyle w:val="CharSectno"/>
        </w:rPr>
        <w:t>19</w:t>
      </w:r>
      <w:r>
        <w:rPr>
          <w:snapToGrid w:val="0"/>
        </w:rPr>
        <w:t>.</w:t>
      </w:r>
      <w:r>
        <w:rPr>
          <w:snapToGrid w:val="0"/>
        </w:rPr>
        <w:tab/>
        <w:t>Powers</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Authority may do all such acts and things as may be necessary to enable it to perform its functions effectively.</w:t>
      </w:r>
    </w:p>
    <w:p>
      <w:pPr>
        <w:pStyle w:val="Ednotesection"/>
        <w:spacing w:before="120"/>
        <w:ind w:left="890" w:hanging="890"/>
      </w:pPr>
      <w:r>
        <w:t>[</w:t>
      </w:r>
      <w:r>
        <w:rPr>
          <w:b/>
        </w:rPr>
        <w:t>20.</w:t>
      </w:r>
      <w:r>
        <w:t xml:space="preserve"> </w:t>
      </w:r>
      <w:r>
        <w:tab/>
      </w:r>
      <w:r>
        <w:tab/>
      </w:r>
      <w:del w:id="118" w:author="svcMRProcess" w:date="2018-08-20T11:24:00Z">
        <w:r>
          <w:delText>Repealed</w:delText>
        </w:r>
      </w:del>
      <w:ins w:id="119" w:author="svcMRProcess" w:date="2018-08-20T11:24:00Z">
        <w:r>
          <w:t>Deleted</w:t>
        </w:r>
      </w:ins>
      <w:r>
        <w:t xml:space="preserve"> by No. 98 of 1985 s.3.] </w:t>
      </w:r>
    </w:p>
    <w:p>
      <w:pPr>
        <w:pStyle w:val="Heading3"/>
        <w:spacing w:before="120"/>
        <w:rPr>
          <w:snapToGrid w:val="0"/>
        </w:rPr>
      </w:pPr>
      <w:bookmarkStart w:id="120" w:name="_Toc157315770"/>
      <w:bookmarkStart w:id="121" w:name="_Toc157831507"/>
      <w:bookmarkStart w:id="122" w:name="_Toc199815200"/>
      <w:bookmarkStart w:id="123" w:name="_Toc215473908"/>
      <w:r>
        <w:rPr>
          <w:rStyle w:val="CharDivNo"/>
        </w:rPr>
        <w:t>Division 3</w:t>
      </w:r>
      <w:r>
        <w:rPr>
          <w:snapToGrid w:val="0"/>
        </w:rPr>
        <w:t> — </w:t>
      </w:r>
      <w:r>
        <w:rPr>
          <w:rStyle w:val="CharDivText"/>
        </w:rPr>
        <w:t>Staff</w:t>
      </w:r>
      <w:bookmarkEnd w:id="120"/>
      <w:bookmarkEnd w:id="121"/>
      <w:bookmarkEnd w:id="122"/>
      <w:bookmarkEnd w:id="123"/>
      <w:r>
        <w:rPr>
          <w:rStyle w:val="CharDivText"/>
        </w:rPr>
        <w:t xml:space="preserve"> </w:t>
      </w:r>
    </w:p>
    <w:p>
      <w:pPr>
        <w:pStyle w:val="Heading5"/>
        <w:spacing w:before="120"/>
        <w:rPr>
          <w:snapToGrid w:val="0"/>
        </w:rPr>
      </w:pPr>
      <w:bookmarkStart w:id="124" w:name="_Toc517588126"/>
      <w:bookmarkStart w:id="125" w:name="_Toc517588256"/>
      <w:bookmarkStart w:id="126" w:name="_Toc518096105"/>
      <w:bookmarkStart w:id="127" w:name="_Toc215473909"/>
      <w:bookmarkStart w:id="128" w:name="_Toc199815201"/>
      <w:r>
        <w:rPr>
          <w:rStyle w:val="CharSectno"/>
        </w:rPr>
        <w:t>21</w:t>
      </w:r>
      <w:r>
        <w:rPr>
          <w:snapToGrid w:val="0"/>
        </w:rPr>
        <w:t>.</w:t>
      </w:r>
      <w:r>
        <w:rPr>
          <w:snapToGrid w:val="0"/>
        </w:rPr>
        <w:tab/>
        <w:t>Officers and wages employees</w:t>
      </w:r>
      <w:bookmarkEnd w:id="124"/>
      <w:bookmarkEnd w:id="125"/>
      <w:bookmarkEnd w:id="126"/>
      <w:bookmarkEnd w:id="127"/>
      <w:bookmarkEnd w:id="128"/>
      <w:r>
        <w:rPr>
          <w:snapToGrid w:val="0"/>
        </w:rPr>
        <w:t xml:space="preserve"> </w:t>
      </w:r>
    </w:p>
    <w:p>
      <w:pPr>
        <w:pStyle w:val="Subsection"/>
        <w:spacing w:before="80"/>
        <w:rPr>
          <w:snapToGrid w:val="0"/>
        </w:rPr>
      </w:pPr>
      <w:r>
        <w:rPr>
          <w:snapToGrid w:val="0"/>
        </w:rPr>
        <w:tab/>
        <w:t>(1)</w:t>
      </w:r>
      <w:r>
        <w:rPr>
          <w:snapToGrid w:val="0"/>
        </w:rPr>
        <w:tab/>
        <w:t>For the purposes of this Act and subject to it, the Authority — </w:t>
      </w:r>
    </w:p>
    <w:p>
      <w:pPr>
        <w:pStyle w:val="Indenta"/>
        <w:rPr>
          <w:snapToGrid w:val="0"/>
        </w:rPr>
      </w:pPr>
      <w:r>
        <w:rPr>
          <w:snapToGrid w:val="0"/>
        </w:rPr>
        <w:tab/>
        <w:t>(a)</w:t>
      </w:r>
      <w:r>
        <w:rPr>
          <w:snapToGrid w:val="0"/>
        </w:rPr>
        <w:tab/>
        <w:t>may appoint such officers of the Authority as the Authority thinks fit; and</w:t>
      </w:r>
    </w:p>
    <w:p>
      <w:pPr>
        <w:pStyle w:val="Indenta"/>
        <w:rPr>
          <w:snapToGrid w:val="0"/>
        </w:rPr>
      </w:pPr>
      <w:r>
        <w:rPr>
          <w:snapToGrid w:val="0"/>
        </w:rPr>
        <w:tab/>
        <w:t>(b)</w:t>
      </w:r>
      <w:r>
        <w:rPr>
          <w:snapToGrid w:val="0"/>
        </w:rPr>
        <w:tab/>
        <w:t>may appoint such wages employees of the Authority as the Authority thinks fit.</w:t>
      </w:r>
    </w:p>
    <w:p>
      <w:pPr>
        <w:pStyle w:val="Subsection"/>
        <w:spacing w:before="80"/>
        <w:rPr>
          <w:snapToGrid w:val="0"/>
          <w:spacing w:val="-6"/>
        </w:rPr>
      </w:pPr>
      <w:r>
        <w:rPr>
          <w:snapToGrid w:val="0"/>
          <w:spacing w:val="-6"/>
        </w:rPr>
        <w:tab/>
        <w:t>(2)</w:t>
      </w:r>
      <w:r>
        <w:rPr>
          <w:snapToGrid w:val="0"/>
          <w:spacing w:val="-6"/>
        </w:rPr>
        <w:tab/>
        <w:t xml:space="preserve">Subject to any relevant </w:t>
      </w:r>
      <w:r>
        <w:rPr>
          <w:snapToGrid w:val="0"/>
        </w:rPr>
        <w:t>award</w:t>
      </w:r>
      <w:r>
        <w:rPr>
          <w:snapToGrid w:val="0"/>
          <w:spacing w:val="-6"/>
        </w:rPr>
        <w:t xml:space="preserve"> or industrial agreement under the </w:t>
      </w:r>
      <w:r>
        <w:rPr>
          <w:i/>
          <w:snapToGrid w:val="0"/>
          <w:spacing w:val="-6"/>
        </w:rPr>
        <w:t xml:space="preserve">Industrial Arbitration Act 1912 </w:t>
      </w:r>
      <w:r>
        <w:rPr>
          <w:i/>
          <w:snapToGrid w:val="0"/>
          <w:spacing w:val="-6"/>
          <w:vertAlign w:val="superscript"/>
        </w:rPr>
        <w:t>2</w:t>
      </w:r>
      <w:r>
        <w:rPr>
          <w:snapToGrid w:val="0"/>
          <w:spacing w:val="-6"/>
        </w:rPr>
        <w:t>, the terms and conditions of appointment and employment of officers and wages employees of the Authority, including the salary and wages payable, shall be such terms and conditions as the Authority, with the approval of the Public Service Board, determines.</w:t>
      </w:r>
    </w:p>
    <w:p>
      <w:pPr>
        <w:pStyle w:val="Subsection"/>
        <w:spacing w:before="80"/>
        <w:rPr>
          <w:snapToGrid w:val="0"/>
        </w:rPr>
      </w:pPr>
      <w:r>
        <w:rPr>
          <w:snapToGrid w:val="0"/>
        </w:rPr>
        <w:tab/>
        <w:t>(3)</w:t>
      </w:r>
      <w:r>
        <w:rPr>
          <w:snapToGrid w:val="0"/>
        </w:rPr>
        <w:tab/>
        <w:t>Where a person so appointed was, immediately before being so appointed, an officer or a wages employee in the service of a department of the Public Service of the State — </w:t>
      </w:r>
    </w:p>
    <w:p>
      <w:pPr>
        <w:pStyle w:val="Indenta"/>
        <w:rPr>
          <w:snapToGrid w:val="0"/>
        </w:rPr>
      </w:pPr>
      <w:r>
        <w:rPr>
          <w:snapToGrid w:val="0"/>
        </w:rPr>
        <w:tab/>
        <w:t>(a)</w:t>
      </w:r>
      <w:r>
        <w:rPr>
          <w:snapToGrid w:val="0"/>
        </w:rPr>
        <w:tab/>
        <w:t xml:space="preserve">he retains his existing and any rights that may have accrued to him under the Act pursuant to which he was then serving, and, subject to section 22, in particular his rights if any under the </w:t>
      </w:r>
      <w:r>
        <w:rPr>
          <w:i/>
          <w:snapToGrid w:val="0"/>
        </w:rPr>
        <w:t>Superannuation and Family Benefits Act 1938</w:t>
      </w:r>
      <w:r>
        <w:rPr>
          <w:snapToGrid w:val="0"/>
        </w:rPr>
        <w:t>; and</w:t>
      </w:r>
    </w:p>
    <w:p>
      <w:pPr>
        <w:pStyle w:val="Indenta"/>
        <w:rPr>
          <w:snapToGrid w:val="0"/>
        </w:rPr>
      </w:pPr>
      <w:r>
        <w:rPr>
          <w:snapToGrid w:val="0"/>
        </w:rPr>
        <w:tab/>
        <w:t>(b)</w:t>
      </w:r>
      <w:r>
        <w:rPr>
          <w:snapToGrid w:val="0"/>
        </w:rPr>
        <w:tab/>
        <w:t>for the purpose of determining those rights his service as such an officer or a wages employee shall be taken into account as if it were service with the Authority.</w:t>
      </w:r>
    </w:p>
    <w:p>
      <w:pPr>
        <w:pStyle w:val="Subsection"/>
        <w:rPr>
          <w:snapToGrid w:val="0"/>
        </w:rPr>
      </w:pPr>
      <w:r>
        <w:rPr>
          <w:snapToGrid w:val="0"/>
        </w:rPr>
        <w:tab/>
        <w:t>(4)</w:t>
      </w:r>
      <w:r>
        <w:rPr>
          <w:snapToGrid w:val="0"/>
        </w:rPr>
        <w:tab/>
        <w:t xml:space="preserve">A person appointed under the provisions of this section is not a person appointed under Part 3 of the </w:t>
      </w:r>
      <w:r>
        <w:rPr>
          <w:i/>
          <w:snapToGrid w:val="0"/>
        </w:rPr>
        <w:t>Public Sector Management Act 1994</w:t>
      </w:r>
      <w:r>
        <w:rPr>
          <w:snapToGrid w:val="0"/>
        </w:rPr>
        <w:t xml:space="preserve">, and the provisions of the </w:t>
      </w:r>
      <w:r>
        <w:rPr>
          <w:i/>
          <w:snapToGrid w:val="0"/>
        </w:rPr>
        <w:t xml:space="preserve">Government Employees (Promotion Appeal Board) Act 1945 </w:t>
      </w:r>
      <w:r>
        <w:rPr>
          <w:i/>
          <w:snapToGrid w:val="0"/>
          <w:vertAlign w:val="superscript"/>
        </w:rPr>
        <w:t>3</w:t>
      </w:r>
      <w:r>
        <w:rPr>
          <w:snapToGrid w:val="0"/>
        </w:rPr>
        <w:t>, do not apply to or in relation to an officer or a wages employee of the Authority.</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(1)(a) to be an officer of the Authority and who is a member of the Senior Executive Service within the meaning of the </w:t>
      </w:r>
      <w:r>
        <w:rPr>
          <w:i/>
          <w:snapToGrid w:val="0"/>
        </w:rPr>
        <w:t xml:space="preserve">Public Service Act 1978 </w:t>
      </w:r>
      <w:r>
        <w:rPr>
          <w:i/>
          <w:snapToGrid w:val="0"/>
          <w:vertAlign w:val="superscript"/>
        </w:rPr>
        <w:t>4</w:t>
      </w:r>
      <w:r>
        <w:rPr>
          <w:snapToGrid w:val="0"/>
        </w:rPr>
        <w:t xml:space="preserve"> an inconsistency between this Act and that Act that Act shall prevail.</w:t>
      </w:r>
    </w:p>
    <w:p>
      <w:pPr>
        <w:pStyle w:val="Footnotesection"/>
      </w:pPr>
      <w:r>
        <w:tab/>
        <w:t xml:space="preserve">[Section 21 amended by No. 113 of 1987 s.32; No. 32 of 1994 s.19.] </w:t>
      </w:r>
    </w:p>
    <w:p>
      <w:pPr>
        <w:pStyle w:val="Heading5"/>
        <w:rPr>
          <w:snapToGrid w:val="0"/>
        </w:rPr>
      </w:pPr>
      <w:bookmarkStart w:id="129" w:name="_Toc517588127"/>
      <w:bookmarkStart w:id="130" w:name="_Toc517588257"/>
      <w:bookmarkStart w:id="131" w:name="_Toc518096106"/>
      <w:bookmarkStart w:id="132" w:name="_Toc215473910"/>
      <w:bookmarkStart w:id="133" w:name="_Toc199815202"/>
      <w:r>
        <w:rPr>
          <w:rStyle w:val="CharSectno"/>
        </w:rPr>
        <w:t>22</w:t>
      </w:r>
      <w:r>
        <w:rPr>
          <w:snapToGrid w:val="0"/>
        </w:rPr>
        <w:t>.</w:t>
      </w:r>
      <w:r>
        <w:rPr>
          <w:snapToGrid w:val="0"/>
        </w:rPr>
        <w:tab/>
        <w:t>Superannuation</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rPr>
        <w:t>,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An officer or a wages employee of the Authority is not obliged to become a contributor under the </w:t>
      </w:r>
      <w:r>
        <w:rPr>
          <w:i/>
          <w:snapToGrid w:val="0"/>
        </w:rPr>
        <w:t>Superannuation and Family Benefits Act 1938</w:t>
      </w:r>
      <w:r>
        <w:rPr>
          <w:snapToGrid w:val="0"/>
        </w:rPr>
        <w:t>.</w:t>
      </w:r>
    </w:p>
    <w:p>
      <w:pPr>
        <w:pStyle w:val="Heading5"/>
        <w:rPr>
          <w:snapToGrid w:val="0"/>
        </w:rPr>
      </w:pPr>
      <w:bookmarkStart w:id="134" w:name="_Toc517588128"/>
      <w:bookmarkStart w:id="135" w:name="_Toc517588258"/>
      <w:bookmarkStart w:id="136" w:name="_Toc518096107"/>
      <w:bookmarkStart w:id="137" w:name="_Toc215473911"/>
      <w:bookmarkStart w:id="138" w:name="_Toc199815203"/>
      <w:r>
        <w:rPr>
          <w:rStyle w:val="CharSectno"/>
        </w:rPr>
        <w:t>23</w:t>
      </w:r>
      <w:r>
        <w:rPr>
          <w:snapToGrid w:val="0"/>
        </w:rPr>
        <w:t>.</w:t>
      </w:r>
      <w:r>
        <w:rPr>
          <w:snapToGrid w:val="0"/>
        </w:rPr>
        <w:tab/>
        <w:t>Co</w:t>
      </w:r>
      <w:r>
        <w:rPr>
          <w:snapToGrid w:val="0"/>
        </w:rPr>
        <w:noBreakHyphen/>
        <w:t>opted and seconded staff</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Authority may, with the consent of the Minister administering any department of the Public Service of the State, for the purposes of this Act, co</w:t>
      </w:r>
      <w:r>
        <w:rPr>
          <w:snapToGrid w:val="0"/>
        </w:rPr>
        <w:noBreakHyphen/>
        <w:t>opt the services, whether of an administrative, professional, technical, or other nature, of any person employed in any of those departments, or request the secondment of any such person, upon such terms as may be agreed between that Minister and the Authority.</w:t>
      </w:r>
    </w:p>
    <w:p>
      <w:pPr>
        <w:pStyle w:val="Subsection"/>
        <w:rPr>
          <w:snapToGrid w:val="0"/>
        </w:rPr>
      </w:pPr>
      <w:r>
        <w:rPr>
          <w:snapToGrid w:val="0"/>
        </w:rPr>
        <w:tab/>
        <w:t>(2)</w:t>
      </w:r>
      <w:r>
        <w:rPr>
          <w:snapToGrid w:val="0"/>
        </w:rPr>
        <w:tab/>
        <w:t>Where the services of any person are co</w:t>
      </w:r>
      <w:r>
        <w:rPr>
          <w:snapToGrid w:val="0"/>
        </w:rPr>
        <w:noBreakHyphen/>
        <w:t xml:space="preserve">opted or a person is seconded under the provisions of this section, it does not prejudice that person’s existing or accruing rights under the </w:t>
      </w:r>
      <w:r>
        <w:rPr>
          <w:i/>
          <w:snapToGrid w:val="0"/>
        </w:rPr>
        <w:t>Public Service Act 1904</w:t>
      </w:r>
      <w:r>
        <w:rPr>
          <w:snapToGrid w:val="0"/>
        </w:rPr>
        <w:t xml:space="preserve"> </w:t>
      </w:r>
      <w:r>
        <w:rPr>
          <w:snapToGrid w:val="0"/>
          <w:vertAlign w:val="superscript"/>
        </w:rPr>
        <w:t>5</w:t>
      </w:r>
      <w:r>
        <w:rPr>
          <w:snapToGrid w:val="0"/>
        </w:rPr>
        <w:t>, or under any other Act applying to him as a public servant, and his service with the Authority under this Act shall be regarded as service in the Public Service of the State for the purposes of determining those rights.</w:t>
      </w:r>
    </w:p>
    <w:p>
      <w:pPr>
        <w:pStyle w:val="Footnotesection"/>
      </w:pPr>
      <w:r>
        <w:tab/>
        <w:t xml:space="preserve">[Section 23 amended by No. 32 of 1994 s.19.] </w:t>
      </w:r>
    </w:p>
    <w:p>
      <w:pPr>
        <w:pStyle w:val="Heading5"/>
        <w:rPr>
          <w:snapToGrid w:val="0"/>
        </w:rPr>
      </w:pPr>
      <w:bookmarkStart w:id="139" w:name="_Toc517588129"/>
      <w:bookmarkStart w:id="140" w:name="_Toc517588259"/>
      <w:bookmarkStart w:id="141" w:name="_Toc518096108"/>
      <w:bookmarkStart w:id="142" w:name="_Toc215473912"/>
      <w:bookmarkStart w:id="143" w:name="_Toc199815204"/>
      <w:r>
        <w:rPr>
          <w:rStyle w:val="CharSectno"/>
        </w:rPr>
        <w:t>24</w:t>
      </w:r>
      <w:r>
        <w:rPr>
          <w:snapToGrid w:val="0"/>
        </w:rPr>
        <w:t>.</w:t>
      </w:r>
      <w:r>
        <w:rPr>
          <w:snapToGrid w:val="0"/>
        </w:rPr>
        <w:tab/>
        <w:t>Contractual services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Authority may engage under contract for services such professional, technical, or other assistance as may be necessary to enable the Authority to perform it functions effectively.</w:t>
      </w:r>
    </w:p>
    <w:p>
      <w:pPr>
        <w:pStyle w:val="Subsection"/>
        <w:rPr>
          <w:snapToGrid w:val="0"/>
        </w:rPr>
      </w:pPr>
      <w:r>
        <w:rPr>
          <w:snapToGrid w:val="0"/>
        </w:rPr>
        <w:tab/>
        <w:t>(2)</w:t>
      </w:r>
      <w:r>
        <w:rPr>
          <w:snapToGrid w:val="0"/>
        </w:rPr>
        <w:tab/>
        <w:t xml:space="preserve">A person engaged under the provisions of subsection (1) is not a person appointed under Part 3 of the </w:t>
      </w:r>
      <w:r>
        <w:rPr>
          <w:i/>
          <w:snapToGrid w:val="0"/>
        </w:rPr>
        <w:t>Public Sector Management Act 1994</w:t>
      </w:r>
      <w:r>
        <w:rPr>
          <w:snapToGrid w:val="0"/>
        </w:rPr>
        <w:t xml:space="preserve">, and subject to this Act and to any award or agreement in force under the </w:t>
      </w:r>
      <w:r>
        <w:rPr>
          <w:i/>
          <w:snapToGrid w:val="0"/>
        </w:rPr>
        <w:t xml:space="preserve">Industrial Arbitration Act 1912 </w:t>
      </w:r>
      <w:r>
        <w:rPr>
          <w:snapToGrid w:val="0"/>
          <w:vertAlign w:val="superscript"/>
        </w:rPr>
        <w:t>2</w:t>
      </w:r>
      <w:r>
        <w:rPr>
          <w:snapToGrid w:val="0"/>
        </w:rPr>
        <w:t>, the Authority may effect, suspend, and terminate the engagement subject to such terms and conditions as the Authority thinks fit.</w:t>
      </w:r>
    </w:p>
    <w:p>
      <w:pPr>
        <w:pStyle w:val="Footnotesection"/>
      </w:pPr>
      <w:r>
        <w:tab/>
        <w:t xml:space="preserve">[Section 24 amended by No. 32 of 1994 s.19.] </w:t>
      </w:r>
    </w:p>
    <w:p>
      <w:pPr>
        <w:pStyle w:val="Heading2"/>
      </w:pPr>
      <w:bookmarkStart w:id="144" w:name="_Toc157315775"/>
      <w:bookmarkStart w:id="145" w:name="_Toc157831512"/>
      <w:bookmarkStart w:id="146" w:name="_Toc199815205"/>
      <w:bookmarkStart w:id="147" w:name="_Toc215473913"/>
      <w:r>
        <w:rPr>
          <w:rStyle w:val="CharPartNo"/>
        </w:rPr>
        <w:t>Part III</w:t>
      </w:r>
      <w:r>
        <w:rPr>
          <w:rStyle w:val="CharDivNo"/>
        </w:rPr>
        <w:t> </w:t>
      </w:r>
      <w:r>
        <w:t>—</w:t>
      </w:r>
      <w:r>
        <w:rPr>
          <w:rStyle w:val="CharDivText"/>
        </w:rPr>
        <w:t> </w:t>
      </w:r>
      <w:r>
        <w:rPr>
          <w:rStyle w:val="CharPartText"/>
        </w:rPr>
        <w:t>Alcohol and drug Centres</w:t>
      </w:r>
      <w:bookmarkEnd w:id="144"/>
      <w:bookmarkEnd w:id="145"/>
      <w:bookmarkEnd w:id="146"/>
      <w:bookmarkEnd w:id="147"/>
      <w:r>
        <w:rPr>
          <w:rStyle w:val="CharPartText"/>
        </w:rPr>
        <w:t xml:space="preserve"> </w:t>
      </w:r>
    </w:p>
    <w:p>
      <w:pPr>
        <w:pStyle w:val="Heading5"/>
        <w:rPr>
          <w:snapToGrid w:val="0"/>
        </w:rPr>
      </w:pPr>
      <w:bookmarkStart w:id="148" w:name="_Toc517588130"/>
      <w:bookmarkStart w:id="149" w:name="_Toc517588260"/>
      <w:bookmarkStart w:id="150" w:name="_Toc518096109"/>
      <w:bookmarkStart w:id="151" w:name="_Toc215473914"/>
      <w:bookmarkStart w:id="152" w:name="_Toc199815206"/>
      <w:r>
        <w:rPr>
          <w:rStyle w:val="CharSectno"/>
        </w:rPr>
        <w:t>25</w:t>
      </w:r>
      <w:r>
        <w:rPr>
          <w:snapToGrid w:val="0"/>
        </w:rPr>
        <w:t>.</w:t>
      </w:r>
      <w:r>
        <w:rPr>
          <w:snapToGrid w:val="0"/>
        </w:rPr>
        <w:tab/>
        <w:t>Centres</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Authority, may with the approval of the Minister, from time to time with respect to any Centre — </w:t>
      </w:r>
    </w:p>
    <w:p>
      <w:pPr>
        <w:pStyle w:val="Indenta"/>
        <w:rPr>
          <w:snapToGrid w:val="0"/>
        </w:rPr>
      </w:pPr>
      <w:r>
        <w:rPr>
          <w:snapToGrid w:val="0"/>
        </w:rPr>
        <w:tab/>
        <w:t>(a)</w:t>
      </w:r>
      <w:r>
        <w:rPr>
          <w:snapToGrid w:val="0"/>
        </w:rPr>
        <w:tab/>
        <w:t>prohibit or regulate the admission of persons to or the right of persons to remain in, the Centre;</w:t>
      </w:r>
    </w:p>
    <w:p>
      <w:pPr>
        <w:pStyle w:val="Indenta"/>
        <w:rPr>
          <w:snapToGrid w:val="0"/>
        </w:rPr>
      </w:pPr>
      <w:r>
        <w:rPr>
          <w:snapToGrid w:val="0"/>
        </w:rPr>
        <w:tab/>
        <w:t>(b)</w:t>
      </w:r>
      <w:r>
        <w:rPr>
          <w:snapToGrid w:val="0"/>
        </w:rPr>
        <w:tab/>
        <w:t>fix fees for any facility or service provided and determine the persons or classes of persons who are liable for payment to the Authority of those fees in full or in part or who may be exempted from such payment.</w:t>
      </w:r>
    </w:p>
    <w:p>
      <w:pPr>
        <w:pStyle w:val="Heading5"/>
        <w:rPr>
          <w:snapToGrid w:val="0"/>
        </w:rPr>
      </w:pPr>
      <w:bookmarkStart w:id="153" w:name="_Toc517588131"/>
      <w:bookmarkStart w:id="154" w:name="_Toc517588261"/>
      <w:bookmarkStart w:id="155" w:name="_Toc518096110"/>
      <w:bookmarkStart w:id="156" w:name="_Toc215473915"/>
      <w:bookmarkStart w:id="157" w:name="_Toc199815207"/>
      <w:r>
        <w:rPr>
          <w:rStyle w:val="CharSectno"/>
        </w:rPr>
        <w:t>26</w:t>
      </w:r>
      <w:r>
        <w:rPr>
          <w:snapToGrid w:val="0"/>
        </w:rPr>
        <w:t>.</w:t>
      </w:r>
      <w:r>
        <w:rPr>
          <w:snapToGrid w:val="0"/>
        </w:rPr>
        <w:tab/>
        <w:t>Procedure on deaths in Centres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An inquiry shall be held by the Authority as to the death or injury caused to any person in a Centre while he is there for assessment, treatment, management, care, or rehabilitation.</w:t>
      </w:r>
    </w:p>
    <w:p>
      <w:pPr>
        <w:pStyle w:val="Subsection"/>
        <w:rPr>
          <w:snapToGrid w:val="0"/>
        </w:rPr>
      </w:pPr>
      <w:r>
        <w:rPr>
          <w:snapToGrid w:val="0"/>
        </w:rPr>
        <w:tab/>
        <w:t>(2)</w:t>
      </w:r>
      <w:r>
        <w:rPr>
          <w:snapToGrid w:val="0"/>
        </w:rPr>
        <w:tab/>
        <w:t>The person in charge of a Centre shall report to the Authority with respect to the circumstances surrounding the death or injury to any person in a Centre, while he is there for assessment, treatment, management, care, or rehabilitation.</w:t>
      </w:r>
    </w:p>
    <w:p>
      <w:pPr>
        <w:pStyle w:val="Heading2"/>
      </w:pPr>
      <w:bookmarkStart w:id="158" w:name="_Toc157315778"/>
      <w:bookmarkStart w:id="159" w:name="_Toc157831515"/>
      <w:bookmarkStart w:id="160" w:name="_Toc199815208"/>
      <w:bookmarkStart w:id="161" w:name="_Toc215473916"/>
      <w:r>
        <w:rPr>
          <w:rStyle w:val="CharPartNo"/>
        </w:rPr>
        <w:t>Part IV</w:t>
      </w:r>
      <w:r>
        <w:rPr>
          <w:rStyle w:val="CharDivNo"/>
        </w:rPr>
        <w:t> </w:t>
      </w:r>
      <w:r>
        <w:t>—</w:t>
      </w:r>
      <w:r>
        <w:rPr>
          <w:rStyle w:val="CharDivText"/>
        </w:rPr>
        <w:t> </w:t>
      </w:r>
      <w:r>
        <w:rPr>
          <w:rStyle w:val="CharPartText"/>
        </w:rPr>
        <w:t>Financial provisions</w:t>
      </w:r>
      <w:bookmarkEnd w:id="158"/>
      <w:bookmarkEnd w:id="159"/>
      <w:bookmarkEnd w:id="160"/>
      <w:bookmarkEnd w:id="161"/>
      <w:r>
        <w:rPr>
          <w:rStyle w:val="CharPartText"/>
        </w:rPr>
        <w:t xml:space="preserve"> </w:t>
      </w:r>
    </w:p>
    <w:p>
      <w:pPr>
        <w:pStyle w:val="Heading5"/>
        <w:rPr>
          <w:snapToGrid w:val="0"/>
        </w:rPr>
      </w:pPr>
      <w:bookmarkStart w:id="162" w:name="_Toc517588132"/>
      <w:bookmarkStart w:id="163" w:name="_Toc517588262"/>
      <w:bookmarkStart w:id="164" w:name="_Toc518096111"/>
      <w:bookmarkStart w:id="165" w:name="_Toc215473917"/>
      <w:bookmarkStart w:id="166" w:name="_Toc199815209"/>
      <w:r>
        <w:rPr>
          <w:rStyle w:val="CharSectno"/>
        </w:rPr>
        <w:t>27</w:t>
      </w:r>
      <w:r>
        <w:rPr>
          <w:snapToGrid w:val="0"/>
        </w:rPr>
        <w:t>.</w:t>
      </w:r>
      <w:r>
        <w:rPr>
          <w:snapToGrid w:val="0"/>
        </w:rPr>
        <w:tab/>
        <w:t xml:space="preserve">Application of the </w:t>
      </w:r>
      <w:bookmarkEnd w:id="162"/>
      <w:bookmarkEnd w:id="163"/>
      <w:bookmarkEnd w:id="164"/>
      <w:r>
        <w:rPr>
          <w:i/>
          <w:iCs/>
        </w:rPr>
        <w:t>Financial Management Act 2006</w:t>
      </w:r>
      <w:r>
        <w:t xml:space="preserve"> and </w:t>
      </w:r>
      <w:r>
        <w:rPr>
          <w:i/>
          <w:iCs/>
        </w:rPr>
        <w:t>Auditor General Act 2006</w:t>
      </w:r>
      <w:bookmarkEnd w:id="165"/>
      <w:bookmarkEnd w:id="16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27 inserted by No. 98 of 1985 s. 3; amended by No. 77 of 2006 s. 17.] </w:t>
      </w:r>
    </w:p>
    <w:p>
      <w:pPr>
        <w:pStyle w:val="Heading5"/>
        <w:rPr>
          <w:snapToGrid w:val="0"/>
        </w:rPr>
      </w:pPr>
      <w:bookmarkStart w:id="167" w:name="_Toc517588133"/>
      <w:bookmarkStart w:id="168" w:name="_Toc517588263"/>
      <w:bookmarkStart w:id="169" w:name="_Toc518096112"/>
      <w:bookmarkStart w:id="170" w:name="_Toc215473918"/>
      <w:bookmarkStart w:id="171" w:name="_Toc199815210"/>
      <w:r>
        <w:rPr>
          <w:rStyle w:val="CharSectno"/>
        </w:rPr>
        <w:t>28</w:t>
      </w:r>
      <w:r>
        <w:rPr>
          <w:snapToGrid w:val="0"/>
        </w:rPr>
        <w:t>.</w:t>
      </w:r>
      <w:r>
        <w:rPr>
          <w:snapToGrid w:val="0"/>
        </w:rPr>
        <w:tab/>
        <w:t>Funds of the Authority</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funds available to the Authority for the purpose of enabling it to exercise its functions, powers, and duties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gifts, bequests, or otherwise;</w:t>
      </w:r>
    </w:p>
    <w:p>
      <w:pPr>
        <w:pStyle w:val="Indenta"/>
        <w:rPr>
          <w:snapToGrid w:val="0"/>
        </w:rPr>
      </w:pPr>
      <w:r>
        <w:rPr>
          <w:snapToGrid w:val="0"/>
        </w:rPr>
        <w:tab/>
        <w:t>(c)</w:t>
      </w:r>
      <w:r>
        <w:rPr>
          <w:snapToGrid w:val="0"/>
        </w:rPr>
        <w:tab/>
        <w:t>moneys borrowed by the Authority under this Act; and</w:t>
      </w:r>
    </w:p>
    <w:p>
      <w:pPr>
        <w:pStyle w:val="Indenta"/>
        <w:rPr>
          <w:snapToGrid w:val="0"/>
        </w:rPr>
      </w:pPr>
      <w:r>
        <w:rPr>
          <w:snapToGrid w:val="0"/>
        </w:rPr>
        <w:tab/>
        <w:t>(d)</w:t>
      </w:r>
      <w:r>
        <w:rPr>
          <w:snapToGrid w:val="0"/>
        </w:rPr>
        <w:tab/>
        <w:t>moneys made available to the Authority for the purposes of this Act.</w:t>
      </w:r>
    </w:p>
    <w:p>
      <w:pPr>
        <w:pStyle w:val="Subsection"/>
      </w:pPr>
      <w:r>
        <w:tab/>
        <w:t>(2)</w:t>
      </w:r>
      <w:r>
        <w:tab/>
        <w:t xml:space="preserve">An account called the Western Australian Alcohol and Drug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Authority for the purposes of giving effect to this Act, including the repayment of moneys borrowed by or advanced to the Authority in accordance with this Act, shall be charged to the account referred to in subsection (2).</w:t>
      </w:r>
    </w:p>
    <w:p>
      <w:pPr>
        <w:pStyle w:val="Footnotesection"/>
      </w:pPr>
      <w:r>
        <w:tab/>
        <w:t xml:space="preserve">[Section 28 amended by No. 49 of 1996 ss.48 and 64; No. 77 of 2006 s. 17.] </w:t>
      </w:r>
    </w:p>
    <w:p>
      <w:pPr>
        <w:pStyle w:val="Heading5"/>
        <w:rPr>
          <w:snapToGrid w:val="0"/>
        </w:rPr>
      </w:pPr>
      <w:bookmarkStart w:id="172" w:name="_Toc517588134"/>
      <w:bookmarkStart w:id="173" w:name="_Toc517588264"/>
      <w:bookmarkStart w:id="174" w:name="_Toc518096113"/>
      <w:bookmarkStart w:id="175" w:name="_Toc215473919"/>
      <w:bookmarkStart w:id="176" w:name="_Toc199815211"/>
      <w:r>
        <w:rPr>
          <w:rStyle w:val="CharSectno"/>
        </w:rPr>
        <w:t>29</w:t>
      </w:r>
      <w:r>
        <w:rPr>
          <w:snapToGrid w:val="0"/>
        </w:rPr>
        <w:t>.</w:t>
      </w:r>
      <w:r>
        <w:rPr>
          <w:snapToGrid w:val="0"/>
        </w:rPr>
        <w:tab/>
        <w:t>Power to borrow money</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authorized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authorized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Heading5"/>
        <w:rPr>
          <w:snapToGrid w:val="0"/>
        </w:rPr>
      </w:pPr>
      <w:bookmarkStart w:id="177" w:name="_Toc517588135"/>
      <w:bookmarkStart w:id="178" w:name="_Toc517588265"/>
      <w:bookmarkStart w:id="179" w:name="_Toc518096114"/>
      <w:bookmarkStart w:id="180" w:name="_Toc215473920"/>
      <w:bookmarkStart w:id="181" w:name="_Toc199815212"/>
      <w:r>
        <w:rPr>
          <w:rStyle w:val="CharSectno"/>
        </w:rPr>
        <w:t>30</w:t>
      </w:r>
      <w:r>
        <w:rPr>
          <w:snapToGrid w:val="0"/>
        </w:rPr>
        <w:t>.</w:t>
      </w:r>
      <w:r>
        <w:rPr>
          <w:snapToGrid w:val="0"/>
        </w:rPr>
        <w:tab/>
        <w:t>Power of the Authority to invest certain moneys</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Where any money standing to the credit of the Western Australian Alcohol and Drug Authority Account is not immediately required for the purposes of this Act, the Authority may invest it in any investments authorized by law as in force immediately before the coming into operation of the </w:t>
      </w:r>
      <w:r>
        <w:rPr>
          <w:i/>
          <w:snapToGrid w:val="0"/>
        </w:rPr>
        <w:t>Trustees Amendment Act 1997</w:t>
      </w:r>
      <w:r>
        <w:rPr>
          <w:snapToGrid w:val="0"/>
        </w:rPr>
        <w:t xml:space="preserve"> </w:t>
      </w:r>
      <w:r>
        <w:rPr>
          <w:snapToGrid w:val="0"/>
          <w:vertAlign w:val="superscript"/>
        </w:rPr>
        <w:t>6</w:t>
      </w:r>
      <w:r>
        <w:rPr>
          <w:snapToGrid w:val="0"/>
        </w:rPr>
        <w:t xml:space="preserve"> as those in which trust funds may be invested.</w:t>
      </w:r>
    </w:p>
    <w:p>
      <w:pPr>
        <w:pStyle w:val="Footnotesection"/>
      </w:pPr>
      <w:r>
        <w:tab/>
        <w:t xml:space="preserve">[Section 30 amended by No. 1 of 1997 s.18.] </w:t>
      </w:r>
    </w:p>
    <w:p>
      <w:pPr>
        <w:pStyle w:val="Ednotesection"/>
      </w:pPr>
      <w:r>
        <w:t>[</w:t>
      </w:r>
      <w:r>
        <w:rPr>
          <w:b/>
        </w:rPr>
        <w:t>31.</w:t>
      </w:r>
      <w:r>
        <w:t xml:space="preserve"> </w:t>
      </w:r>
      <w:r>
        <w:tab/>
      </w:r>
      <w:r>
        <w:tab/>
      </w:r>
      <w:del w:id="182" w:author="svcMRProcess" w:date="2018-08-20T11:24:00Z">
        <w:r>
          <w:delText>Repealed</w:delText>
        </w:r>
      </w:del>
      <w:ins w:id="183" w:author="svcMRProcess" w:date="2018-08-20T11:24:00Z">
        <w:r>
          <w:t>Deleted</w:t>
        </w:r>
      </w:ins>
      <w:r>
        <w:t xml:space="preserve"> by No. 98 of 1985 s.3.] </w:t>
      </w:r>
    </w:p>
    <w:p>
      <w:pPr>
        <w:pStyle w:val="Heading5"/>
        <w:rPr>
          <w:snapToGrid w:val="0"/>
        </w:rPr>
      </w:pPr>
      <w:bookmarkStart w:id="184" w:name="_Toc517588136"/>
      <w:bookmarkStart w:id="185" w:name="_Toc517588266"/>
      <w:bookmarkStart w:id="186" w:name="_Toc518096115"/>
      <w:bookmarkStart w:id="187" w:name="_Toc215473921"/>
      <w:bookmarkStart w:id="188" w:name="_Toc199815213"/>
      <w:r>
        <w:rPr>
          <w:rStyle w:val="CharSectno"/>
        </w:rPr>
        <w:t>32</w:t>
      </w:r>
      <w:r>
        <w:rPr>
          <w:snapToGrid w:val="0"/>
        </w:rPr>
        <w:t>.</w:t>
      </w:r>
      <w:r>
        <w:rPr>
          <w:snapToGrid w:val="0"/>
        </w:rPr>
        <w:tab/>
        <w:t>Application of moneys received by the Authority</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Authority shall apply for the objects of the Authority all fees and other moneys received by it under this Act or otherwise.</w:t>
      </w:r>
    </w:p>
    <w:p>
      <w:pPr>
        <w:pStyle w:val="Ednotesection"/>
      </w:pPr>
      <w:r>
        <w:t>[</w:t>
      </w:r>
      <w:r>
        <w:rPr>
          <w:b/>
        </w:rPr>
        <w:t>33.</w:t>
      </w:r>
      <w:r>
        <w:t xml:space="preserve"> </w:t>
      </w:r>
      <w:r>
        <w:tab/>
      </w:r>
      <w:r>
        <w:tab/>
      </w:r>
      <w:del w:id="189" w:author="svcMRProcess" w:date="2018-08-20T11:24:00Z">
        <w:r>
          <w:delText>Repealed</w:delText>
        </w:r>
      </w:del>
      <w:ins w:id="190" w:author="svcMRProcess" w:date="2018-08-20T11:24:00Z">
        <w:r>
          <w:t>Deleted</w:t>
        </w:r>
      </w:ins>
      <w:r>
        <w:t xml:space="preserve"> by No. 98 of 1985 s.3.] </w:t>
      </w:r>
    </w:p>
    <w:p>
      <w:pPr>
        <w:pStyle w:val="Heading2"/>
      </w:pPr>
      <w:bookmarkStart w:id="191" w:name="_Toc157315784"/>
      <w:bookmarkStart w:id="192" w:name="_Toc157831521"/>
      <w:bookmarkStart w:id="193" w:name="_Toc199815214"/>
      <w:bookmarkStart w:id="194" w:name="_Toc215473922"/>
      <w:r>
        <w:rPr>
          <w:rStyle w:val="CharPartNo"/>
        </w:rPr>
        <w:t>Part V</w:t>
      </w:r>
      <w:r>
        <w:rPr>
          <w:rStyle w:val="CharDivNo"/>
        </w:rPr>
        <w:t> </w:t>
      </w:r>
      <w:r>
        <w:t>—</w:t>
      </w:r>
      <w:r>
        <w:rPr>
          <w:rStyle w:val="CharDivText"/>
        </w:rPr>
        <w:t> </w:t>
      </w:r>
      <w:r>
        <w:rPr>
          <w:rStyle w:val="CharPartText"/>
        </w:rPr>
        <w:t>Miscellaneous provisions</w:t>
      </w:r>
      <w:bookmarkEnd w:id="191"/>
      <w:bookmarkEnd w:id="192"/>
      <w:bookmarkEnd w:id="193"/>
      <w:bookmarkEnd w:id="194"/>
      <w:r>
        <w:rPr>
          <w:rStyle w:val="CharPartText"/>
        </w:rPr>
        <w:t xml:space="preserve"> </w:t>
      </w:r>
    </w:p>
    <w:p>
      <w:pPr>
        <w:pStyle w:val="Heading5"/>
        <w:rPr>
          <w:snapToGrid w:val="0"/>
        </w:rPr>
      </w:pPr>
      <w:bookmarkStart w:id="195" w:name="_Toc517588137"/>
      <w:bookmarkStart w:id="196" w:name="_Toc517588267"/>
      <w:bookmarkStart w:id="197" w:name="_Toc518096116"/>
      <w:bookmarkStart w:id="198" w:name="_Toc215473923"/>
      <w:bookmarkStart w:id="199" w:name="_Toc199815215"/>
      <w:r>
        <w:rPr>
          <w:rStyle w:val="CharSectno"/>
        </w:rPr>
        <w:t>34</w:t>
      </w:r>
      <w:r>
        <w:rPr>
          <w:snapToGrid w:val="0"/>
        </w:rPr>
        <w:t>.</w:t>
      </w:r>
      <w:r>
        <w:rPr>
          <w:snapToGrid w:val="0"/>
        </w:rPr>
        <w:tab/>
        <w:t>Recovery of fees</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In any court of competent jurisdiction an officer of the Authority, who is authorized in writing by the Authority in that behalf, may recover for the Authority any fees that are payable to the Authority and have not been paid.</w:t>
      </w:r>
    </w:p>
    <w:p>
      <w:pPr>
        <w:pStyle w:val="Heading5"/>
        <w:spacing w:before="120"/>
        <w:rPr>
          <w:snapToGrid w:val="0"/>
        </w:rPr>
      </w:pPr>
      <w:bookmarkStart w:id="200" w:name="_Toc517588138"/>
      <w:bookmarkStart w:id="201" w:name="_Toc517588268"/>
      <w:bookmarkStart w:id="202" w:name="_Toc518096117"/>
      <w:bookmarkStart w:id="203" w:name="_Toc215473924"/>
      <w:bookmarkStart w:id="204" w:name="_Toc199815216"/>
      <w:r>
        <w:rPr>
          <w:rStyle w:val="CharSectno"/>
        </w:rPr>
        <w:t>35</w:t>
      </w:r>
      <w:r>
        <w:rPr>
          <w:snapToGrid w:val="0"/>
        </w:rPr>
        <w:t>.</w:t>
      </w:r>
      <w:r>
        <w:rPr>
          <w:snapToGrid w:val="0"/>
        </w:rPr>
        <w:tab/>
        <w:t>Protection of members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Any person who is, or has at any time been, a member or an acting member of the Authority is not personally liable for any act done, or omitted to be done, in good faith by the Authority or by him as a member or an acting member.</w:t>
      </w:r>
    </w:p>
    <w:p>
      <w:pPr>
        <w:pStyle w:val="Subsection"/>
        <w:rPr>
          <w:snapToGrid w:val="0"/>
        </w:rPr>
      </w:pPr>
      <w:r>
        <w:rPr>
          <w:snapToGrid w:val="0"/>
        </w:rPr>
        <w:tab/>
        <w:t>(2)</w:t>
      </w:r>
      <w:r>
        <w:rPr>
          <w:snapToGrid w:val="0"/>
        </w:rPr>
        <w:tab/>
        <w:t>Acceptance of or being in the office of member or acting member of the Authority by any person does not of itself render the provisions of Part</w:t>
      </w:r>
      <w:r>
        <w:rPr>
          <w:i/>
          <w:snapToGrid w:val="0"/>
        </w:rPr>
        <w:t xml:space="preserve"> </w:t>
      </w:r>
      <w:r>
        <w:rPr>
          <w:snapToGrid w:val="0"/>
        </w:rPr>
        <w:t>3</w:t>
      </w:r>
      <w:r>
        <w:rPr>
          <w:i/>
          <w:snapToGrid w:val="0"/>
        </w:rPr>
        <w:t xml:space="preserve"> </w:t>
      </w:r>
      <w:r>
        <w:rPr>
          <w:snapToGrid w:val="0"/>
        </w:rPr>
        <w:t>of</w:t>
      </w:r>
      <w:r>
        <w:rPr>
          <w:i/>
          <w:snapToGrid w:val="0"/>
        </w:rPr>
        <w:t xml:space="preserve"> </w:t>
      </w:r>
      <w:r>
        <w:rPr>
          <w:snapToGrid w:val="0"/>
        </w:rPr>
        <w:t>the</w:t>
      </w:r>
      <w:r>
        <w:rPr>
          <w:i/>
          <w:snapToGrid w:val="0"/>
        </w:rPr>
        <w:t xml:space="preserve"> Public Sector Management Act 1994</w:t>
      </w:r>
      <w:r>
        <w:rPr>
          <w:snapToGrid w:val="0"/>
        </w:rPr>
        <w:t>, or any other Act applying to persons as officers of the Public Service of the State, applicable to that member or acting member, or affect or prejudice the application to him of those provisions if they applied to him at the time of the acceptance of or being in that office.</w:t>
      </w:r>
    </w:p>
    <w:p>
      <w:pPr>
        <w:pStyle w:val="Footnotesection"/>
      </w:pPr>
      <w:r>
        <w:tab/>
        <w:t xml:space="preserve">[Section 35 amended by No. 32 of 1994 s.19.] </w:t>
      </w:r>
    </w:p>
    <w:p>
      <w:pPr>
        <w:pStyle w:val="Heading5"/>
        <w:spacing w:before="120"/>
        <w:rPr>
          <w:snapToGrid w:val="0"/>
        </w:rPr>
      </w:pPr>
      <w:bookmarkStart w:id="205" w:name="_Toc517588139"/>
      <w:bookmarkStart w:id="206" w:name="_Toc517588269"/>
      <w:bookmarkStart w:id="207" w:name="_Toc518096118"/>
      <w:bookmarkStart w:id="208" w:name="_Toc215473925"/>
      <w:bookmarkStart w:id="209" w:name="_Toc199815217"/>
      <w:r>
        <w:rPr>
          <w:rStyle w:val="CharSectno"/>
        </w:rPr>
        <w:t>36</w:t>
      </w:r>
      <w:r>
        <w:rPr>
          <w:snapToGrid w:val="0"/>
        </w:rPr>
        <w:t>.</w:t>
      </w:r>
      <w:r>
        <w:rPr>
          <w:snapToGrid w:val="0"/>
        </w:rPr>
        <w:tab/>
        <w:t>Regulations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or desirable for the proper administration of this Act or for achieving the purposes of this Act.</w:t>
      </w:r>
    </w:p>
    <w:p>
      <w:pPr>
        <w:pStyle w:val="Subsection"/>
        <w:rPr>
          <w:snapToGrid w:val="0"/>
        </w:rPr>
      </w:pPr>
      <w:r>
        <w:rPr>
          <w:snapToGrid w:val="0"/>
        </w:rPr>
        <w:tab/>
        <w:t>(2)</w:t>
      </w:r>
      <w:r>
        <w:rPr>
          <w:snapToGrid w:val="0"/>
        </w:rPr>
        <w:tab/>
        <w:t>Without limiting the generality of subsection (1) the Governor may make regulations — </w:t>
      </w:r>
    </w:p>
    <w:p>
      <w:pPr>
        <w:pStyle w:val="Indenta"/>
        <w:rPr>
          <w:snapToGrid w:val="0"/>
        </w:rPr>
      </w:pPr>
      <w:r>
        <w:rPr>
          <w:snapToGrid w:val="0"/>
        </w:rPr>
        <w:tab/>
        <w:t>(a)</w:t>
      </w:r>
      <w:r>
        <w:rPr>
          <w:snapToGrid w:val="0"/>
        </w:rPr>
        <w:tab/>
        <w:t>for maintaining order and discipline and regulating the general conduct of inmates of and visitors to a Centre or any other place at which accommodation is provided by the Authority under this Act;</w:t>
      </w:r>
    </w:p>
    <w:p>
      <w:pPr>
        <w:pStyle w:val="Indenta"/>
        <w:rPr>
          <w:snapToGrid w:val="0"/>
        </w:rPr>
      </w:pPr>
      <w:r>
        <w:rPr>
          <w:snapToGrid w:val="0"/>
        </w:rPr>
        <w:tab/>
        <w:t>(b)</w:t>
      </w:r>
      <w:r>
        <w:rPr>
          <w:snapToGrid w:val="0"/>
        </w:rPr>
        <w:tab/>
        <w:t>for prohibiting and preventing trespass on the Centres.</w:t>
      </w:r>
    </w:p>
    <w:p>
      <w:pPr>
        <w:pStyle w:val="Subsection"/>
        <w:rPr>
          <w:snapToGrid w:val="0"/>
        </w:rPr>
      </w:pPr>
      <w:r>
        <w:rPr>
          <w:snapToGrid w:val="0"/>
        </w:rPr>
        <w:tab/>
        <w:t>(3)</w:t>
      </w:r>
      <w:r>
        <w:rPr>
          <w:snapToGrid w:val="0"/>
        </w:rPr>
        <w:tab/>
        <w:t>The regulations may prescribe penalties, not exceeding a fine of $40, in respect of a breach of any of the regulations.</w:t>
      </w:r>
    </w:p>
    <w:p>
      <w:pPr>
        <w:pStyle w:val="Subsection"/>
        <w:rPr>
          <w:snapToGrid w:val="0"/>
        </w:rPr>
      </w:pPr>
      <w:r>
        <w:rPr>
          <w:snapToGrid w:val="0"/>
        </w:rPr>
        <w:tab/>
        <w:t>(4)</w:t>
      </w:r>
      <w:r>
        <w:rPr>
          <w:snapToGrid w:val="0"/>
        </w:rPr>
        <w:tab/>
        <w:t>The regulations may require that any information, account, document, or form required to be given or furnished thereunder shall be verified by statutory declaration.</w:t>
      </w:r>
    </w:p>
    <w:p>
      <w:pPr>
        <w:pStyle w:val="Subsection"/>
        <w:rPr>
          <w:snapToGrid w:val="0"/>
        </w:rPr>
      </w:pPr>
      <w:r>
        <w:rPr>
          <w:snapToGrid w:val="0"/>
        </w:rPr>
        <w:tab/>
        <w:t>(5)</w:t>
      </w:r>
      <w:r>
        <w:rPr>
          <w:snapToGrid w:val="0"/>
        </w:rPr>
        <w:tab/>
        <w:t>A regulation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done shall be done with the approval or to the satisfaction of a specified person or class of persons and may confer a discretionary authority.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10" w:name="_Toc157315788"/>
      <w:bookmarkStart w:id="211" w:name="_Toc157831525"/>
      <w:bookmarkStart w:id="212" w:name="_Toc199815218"/>
      <w:bookmarkStart w:id="213" w:name="_Toc215473926"/>
      <w:r>
        <w:t>Notes</w:t>
      </w:r>
      <w:bookmarkEnd w:id="210"/>
      <w:bookmarkEnd w:id="211"/>
      <w:bookmarkEnd w:id="212"/>
      <w:bookmarkEnd w:id="21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Alcohol and Drug Authority Act 1974</w:t>
      </w:r>
      <w:r>
        <w:rPr>
          <w:snapToGrid w:val="0"/>
        </w:rPr>
        <w:t xml:space="preserve"> and includes all amendments made by the other written laws referred to in the following table </w:t>
      </w:r>
      <w:r>
        <w:rPr>
          <w:snapToGrid w:val="0"/>
          <w:vertAlign w:val="superscript"/>
        </w:rPr>
        <w:t>1a</w:t>
      </w:r>
      <w:r>
        <w:rPr>
          <w:snapToGrid w:val="0"/>
        </w:rPr>
        <w:t>.</w:t>
      </w:r>
    </w:p>
    <w:p>
      <w:pPr>
        <w:pStyle w:val="nHeading3"/>
        <w:rPr>
          <w:snapToGrid w:val="0"/>
          <w:u w:val="single"/>
        </w:rPr>
      </w:pPr>
      <w:bookmarkStart w:id="214" w:name="_Toc215473927"/>
      <w:bookmarkStart w:id="215" w:name="_Toc199815219"/>
      <w:r>
        <w:rPr>
          <w:snapToGrid w:val="0"/>
        </w:rPr>
        <w:t>Compilation table</w:t>
      </w:r>
      <w:bookmarkEnd w:id="214"/>
      <w:bookmarkEnd w:id="215"/>
    </w:p>
    <w:tbl>
      <w:tblPr>
        <w:tblW w:w="7087" w:type="dxa"/>
        <w:tblInd w:w="208" w:type="dxa"/>
        <w:tblLayout w:type="fixed"/>
        <w:tblCellMar>
          <w:left w:w="56" w:type="dxa"/>
          <w:right w:w="56" w:type="dxa"/>
        </w:tblCellMar>
        <w:tblLook w:val="0000" w:firstRow="0" w:lastRow="0" w:firstColumn="0" w:lastColumn="0" w:noHBand="0" w:noVBand="0"/>
      </w:tblPr>
      <w:tblGrid>
        <w:gridCol w:w="2199"/>
        <w:gridCol w:w="14"/>
        <w:gridCol w:w="1094"/>
        <w:gridCol w:w="14"/>
        <w:gridCol w:w="1122"/>
        <w:gridCol w:w="2470"/>
        <w:gridCol w:w="174"/>
      </w:tblGrid>
      <w:tr>
        <w:trPr>
          <w:cantSplit/>
          <w:tblHeader/>
        </w:trPr>
        <w:tc>
          <w:tcPr>
            <w:tcW w:w="2213"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0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2" w:type="dxa"/>
            <w:tcBorders>
              <w:top w:val="single" w:sz="8" w:space="0" w:color="auto"/>
              <w:bottom w:val="single" w:sz="8" w:space="0" w:color="auto"/>
            </w:tcBorders>
          </w:tcPr>
          <w:p>
            <w:pPr>
              <w:pStyle w:val="nTable"/>
              <w:spacing w:after="40"/>
              <w:rPr>
                <w:b/>
                <w:sz w:val="19"/>
              </w:rPr>
            </w:pPr>
            <w:r>
              <w:rPr>
                <w:b/>
                <w:sz w:val="19"/>
              </w:rPr>
              <w:t>Assent</w:t>
            </w:r>
          </w:p>
        </w:tc>
        <w:tc>
          <w:tcPr>
            <w:tcW w:w="264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13" w:type="dxa"/>
            <w:gridSpan w:val="2"/>
          </w:tcPr>
          <w:p>
            <w:pPr>
              <w:pStyle w:val="nTable"/>
              <w:spacing w:after="40"/>
              <w:ind w:right="170"/>
              <w:rPr>
                <w:sz w:val="19"/>
              </w:rPr>
            </w:pPr>
            <w:r>
              <w:rPr>
                <w:i/>
                <w:sz w:val="19"/>
              </w:rPr>
              <w:t>Alcohol and Drug Authority Act 1974</w:t>
            </w:r>
          </w:p>
        </w:tc>
        <w:tc>
          <w:tcPr>
            <w:tcW w:w="1108" w:type="dxa"/>
            <w:gridSpan w:val="2"/>
          </w:tcPr>
          <w:p>
            <w:pPr>
              <w:pStyle w:val="nTable"/>
              <w:spacing w:after="40"/>
              <w:rPr>
                <w:sz w:val="19"/>
              </w:rPr>
            </w:pPr>
            <w:r>
              <w:rPr>
                <w:sz w:val="19"/>
              </w:rPr>
              <w:t>32 of 1974</w:t>
            </w:r>
          </w:p>
        </w:tc>
        <w:tc>
          <w:tcPr>
            <w:tcW w:w="1122" w:type="dxa"/>
          </w:tcPr>
          <w:p>
            <w:pPr>
              <w:pStyle w:val="nTable"/>
              <w:spacing w:after="40"/>
              <w:rPr>
                <w:sz w:val="19"/>
              </w:rPr>
            </w:pPr>
            <w:r>
              <w:rPr>
                <w:sz w:val="19"/>
              </w:rPr>
              <w:t>4 Nov 1974</w:t>
            </w:r>
          </w:p>
        </w:tc>
        <w:tc>
          <w:tcPr>
            <w:tcW w:w="2644" w:type="dxa"/>
            <w:gridSpan w:val="2"/>
          </w:tcPr>
          <w:p>
            <w:pPr>
              <w:pStyle w:val="nTable"/>
              <w:spacing w:after="40"/>
              <w:rPr>
                <w:sz w:val="19"/>
              </w:rPr>
            </w:pPr>
            <w:r>
              <w:rPr>
                <w:sz w:val="19"/>
              </w:rPr>
              <w:t xml:space="preserve">29 Nov 1974 (see s. 2 and </w:t>
            </w:r>
            <w:r>
              <w:rPr>
                <w:i/>
                <w:sz w:val="19"/>
              </w:rPr>
              <w:t>Gazette</w:t>
            </w:r>
            <w:r>
              <w:rPr>
                <w:sz w:val="19"/>
              </w:rPr>
              <w:t xml:space="preserve"> 29 Nov 1974 p.5167)</w:t>
            </w:r>
          </w:p>
        </w:tc>
      </w:tr>
      <w:tr>
        <w:trPr>
          <w:cantSplit/>
        </w:trPr>
        <w:tc>
          <w:tcPr>
            <w:tcW w:w="2213" w:type="dxa"/>
            <w:gridSpan w:val="2"/>
          </w:tcPr>
          <w:p>
            <w:pPr>
              <w:pStyle w:val="nTable"/>
              <w:spacing w:after="40"/>
              <w:ind w:right="170"/>
              <w:rPr>
                <w:sz w:val="19"/>
              </w:rPr>
            </w:pPr>
            <w:r>
              <w:rPr>
                <w:i/>
                <w:sz w:val="19"/>
              </w:rPr>
              <w:t>Acts Amendment and Repeal (Disqualification for Parliament) Act 1984</w:t>
            </w:r>
            <w:r>
              <w:rPr>
                <w:sz w:val="19"/>
              </w:rPr>
              <w:t xml:space="preserve"> Pt. II</w:t>
            </w:r>
          </w:p>
        </w:tc>
        <w:tc>
          <w:tcPr>
            <w:tcW w:w="1108" w:type="dxa"/>
            <w:gridSpan w:val="2"/>
          </w:tcPr>
          <w:p>
            <w:pPr>
              <w:pStyle w:val="nTable"/>
              <w:spacing w:after="40"/>
              <w:rPr>
                <w:sz w:val="19"/>
              </w:rPr>
            </w:pPr>
            <w:r>
              <w:rPr>
                <w:sz w:val="19"/>
              </w:rPr>
              <w:t>78 of 1984</w:t>
            </w:r>
          </w:p>
        </w:tc>
        <w:tc>
          <w:tcPr>
            <w:tcW w:w="1122" w:type="dxa"/>
          </w:tcPr>
          <w:p>
            <w:pPr>
              <w:pStyle w:val="nTable"/>
              <w:spacing w:after="40"/>
              <w:rPr>
                <w:sz w:val="19"/>
              </w:rPr>
            </w:pPr>
            <w:r>
              <w:rPr>
                <w:sz w:val="19"/>
              </w:rPr>
              <w:t>14 Nov 1984</w:t>
            </w:r>
          </w:p>
        </w:tc>
        <w:tc>
          <w:tcPr>
            <w:tcW w:w="2644" w:type="dxa"/>
            <w:gridSpan w:val="2"/>
          </w:tcPr>
          <w:p>
            <w:pPr>
              <w:pStyle w:val="nTable"/>
              <w:spacing w:after="40"/>
              <w:rPr>
                <w:sz w:val="19"/>
              </w:rPr>
            </w:pPr>
            <w:r>
              <w:rPr>
                <w:sz w:val="19"/>
              </w:rPr>
              <w:t>1 Jul 1985 (see s. 2 and </w:t>
            </w:r>
            <w:r>
              <w:rPr>
                <w:i/>
                <w:sz w:val="19"/>
              </w:rPr>
              <w:t xml:space="preserve">Gazette </w:t>
            </w:r>
            <w:r>
              <w:rPr>
                <w:sz w:val="19"/>
              </w:rPr>
              <w:t>17 May 1985 p.1671)</w:t>
            </w:r>
          </w:p>
        </w:tc>
      </w:tr>
      <w:tr>
        <w:trPr>
          <w:cantSplit/>
        </w:trPr>
        <w:tc>
          <w:tcPr>
            <w:tcW w:w="2213" w:type="dxa"/>
            <w:gridSpan w:val="2"/>
          </w:tcPr>
          <w:p>
            <w:pPr>
              <w:pStyle w:val="nTable"/>
              <w:spacing w:after="40"/>
              <w:ind w:right="170"/>
              <w:rPr>
                <w:sz w:val="19"/>
              </w:rPr>
            </w:pPr>
            <w:r>
              <w:rPr>
                <w:i/>
                <w:sz w:val="19"/>
              </w:rPr>
              <w:t>Acts Amendment (Financial Administration and Audit) Act 1985</w:t>
            </w:r>
            <w:r>
              <w:rPr>
                <w:sz w:val="19"/>
              </w:rPr>
              <w:t xml:space="preserve"> s. 3</w:t>
            </w:r>
          </w:p>
        </w:tc>
        <w:tc>
          <w:tcPr>
            <w:tcW w:w="1108" w:type="dxa"/>
            <w:gridSpan w:val="2"/>
          </w:tcPr>
          <w:p>
            <w:pPr>
              <w:pStyle w:val="nTable"/>
              <w:spacing w:after="40"/>
              <w:rPr>
                <w:sz w:val="19"/>
              </w:rPr>
            </w:pPr>
            <w:r>
              <w:rPr>
                <w:sz w:val="19"/>
              </w:rPr>
              <w:t>98 of 1985 (as amended by No. 4 of 1986)</w:t>
            </w:r>
          </w:p>
        </w:tc>
        <w:tc>
          <w:tcPr>
            <w:tcW w:w="1122" w:type="dxa"/>
          </w:tcPr>
          <w:p>
            <w:pPr>
              <w:pStyle w:val="nTable"/>
              <w:spacing w:after="40"/>
              <w:rPr>
                <w:sz w:val="19"/>
              </w:rPr>
            </w:pPr>
            <w:r>
              <w:rPr>
                <w:sz w:val="19"/>
              </w:rPr>
              <w:t>4 Dec 1985</w:t>
            </w:r>
          </w:p>
        </w:tc>
        <w:tc>
          <w:tcPr>
            <w:tcW w:w="2644" w:type="dxa"/>
            <w:gridSpan w:val="2"/>
          </w:tcPr>
          <w:p>
            <w:pPr>
              <w:pStyle w:val="nTable"/>
              <w:spacing w:after="40"/>
              <w:rPr>
                <w:sz w:val="19"/>
              </w:rPr>
            </w:pPr>
            <w:r>
              <w:rPr>
                <w:sz w:val="19"/>
              </w:rPr>
              <w:t>1 Jul 1986 (see s. 2)</w:t>
            </w:r>
          </w:p>
        </w:tc>
      </w:tr>
      <w:tr>
        <w:trPr>
          <w:cantSplit/>
        </w:trPr>
        <w:tc>
          <w:tcPr>
            <w:tcW w:w="2213" w:type="dxa"/>
            <w:gridSpan w:val="2"/>
          </w:tcPr>
          <w:p>
            <w:pPr>
              <w:pStyle w:val="nTable"/>
              <w:spacing w:after="40"/>
              <w:ind w:right="170"/>
              <w:rPr>
                <w:sz w:val="19"/>
              </w:rPr>
            </w:pPr>
            <w:r>
              <w:rPr>
                <w:i/>
                <w:sz w:val="19"/>
              </w:rPr>
              <w:t>Acts Amendment (Public Service) Act 1987</w:t>
            </w:r>
            <w:r>
              <w:rPr>
                <w:iCs/>
                <w:sz w:val="19"/>
              </w:rPr>
              <w:t xml:space="preserve"> </w:t>
            </w:r>
            <w:r>
              <w:rPr>
                <w:sz w:val="19"/>
              </w:rPr>
              <w:t>s. 32</w:t>
            </w:r>
          </w:p>
        </w:tc>
        <w:tc>
          <w:tcPr>
            <w:tcW w:w="1108" w:type="dxa"/>
            <w:gridSpan w:val="2"/>
          </w:tcPr>
          <w:p>
            <w:pPr>
              <w:pStyle w:val="nTable"/>
              <w:spacing w:after="40"/>
              <w:rPr>
                <w:sz w:val="19"/>
              </w:rPr>
            </w:pPr>
            <w:r>
              <w:rPr>
                <w:sz w:val="19"/>
              </w:rPr>
              <w:t>113 of 1987</w:t>
            </w:r>
          </w:p>
        </w:tc>
        <w:tc>
          <w:tcPr>
            <w:tcW w:w="1122" w:type="dxa"/>
          </w:tcPr>
          <w:p>
            <w:pPr>
              <w:pStyle w:val="nTable"/>
              <w:spacing w:after="40"/>
              <w:rPr>
                <w:sz w:val="19"/>
              </w:rPr>
            </w:pPr>
            <w:r>
              <w:rPr>
                <w:sz w:val="19"/>
              </w:rPr>
              <w:t>31 Dec 1987</w:t>
            </w:r>
          </w:p>
        </w:tc>
        <w:tc>
          <w:tcPr>
            <w:tcW w:w="2644" w:type="dxa"/>
            <w:gridSpan w:val="2"/>
          </w:tcPr>
          <w:p>
            <w:pPr>
              <w:pStyle w:val="nTable"/>
              <w:spacing w:after="40"/>
              <w:rPr>
                <w:sz w:val="19"/>
              </w:rPr>
            </w:pPr>
            <w:r>
              <w:rPr>
                <w:sz w:val="19"/>
              </w:rPr>
              <w:t>16 Mar 1988 (see s. 2 and </w:t>
            </w:r>
            <w:r>
              <w:rPr>
                <w:i/>
                <w:sz w:val="19"/>
              </w:rPr>
              <w:t xml:space="preserve">Gazette </w:t>
            </w:r>
            <w:r>
              <w:rPr>
                <w:sz w:val="19"/>
              </w:rPr>
              <w:t>16 Mar 1988 p.813)</w:t>
            </w:r>
          </w:p>
        </w:tc>
      </w:tr>
      <w:tr>
        <w:trPr>
          <w:cantSplit/>
        </w:trPr>
        <w:tc>
          <w:tcPr>
            <w:tcW w:w="2213" w:type="dxa"/>
            <w:gridSpan w:val="2"/>
          </w:tcPr>
          <w:p>
            <w:pPr>
              <w:pStyle w:val="nTable"/>
              <w:spacing w:after="40"/>
              <w:ind w:right="170"/>
              <w:rPr>
                <w:sz w:val="19"/>
              </w:rPr>
            </w:pPr>
            <w:r>
              <w:rPr>
                <w:i/>
                <w:sz w:val="19"/>
              </w:rPr>
              <w:t>Guardianship and Administration Act 1990</w:t>
            </w:r>
            <w:r>
              <w:rPr>
                <w:sz w:val="19"/>
              </w:rPr>
              <w:t xml:space="preserve"> s. 123</w:t>
            </w:r>
          </w:p>
        </w:tc>
        <w:tc>
          <w:tcPr>
            <w:tcW w:w="1108" w:type="dxa"/>
            <w:gridSpan w:val="2"/>
          </w:tcPr>
          <w:p>
            <w:pPr>
              <w:pStyle w:val="nTable"/>
              <w:spacing w:after="40"/>
              <w:rPr>
                <w:sz w:val="19"/>
              </w:rPr>
            </w:pPr>
            <w:r>
              <w:rPr>
                <w:sz w:val="19"/>
              </w:rPr>
              <w:t>24 of 1990</w:t>
            </w:r>
          </w:p>
        </w:tc>
        <w:tc>
          <w:tcPr>
            <w:tcW w:w="1122" w:type="dxa"/>
          </w:tcPr>
          <w:p>
            <w:pPr>
              <w:pStyle w:val="nTable"/>
              <w:spacing w:after="40"/>
              <w:rPr>
                <w:sz w:val="19"/>
              </w:rPr>
            </w:pPr>
            <w:r>
              <w:rPr>
                <w:sz w:val="19"/>
              </w:rPr>
              <w:t>7 Sep 1990</w:t>
            </w:r>
          </w:p>
        </w:tc>
        <w:tc>
          <w:tcPr>
            <w:tcW w:w="2644" w:type="dxa"/>
            <w:gridSpan w:val="2"/>
          </w:tcPr>
          <w:p>
            <w:pPr>
              <w:pStyle w:val="nTable"/>
              <w:spacing w:after="40"/>
              <w:rPr>
                <w:sz w:val="19"/>
              </w:rPr>
            </w:pPr>
            <w:r>
              <w:rPr>
                <w:sz w:val="19"/>
              </w:rPr>
              <w:t>20 Oct 1992 (see </w:t>
            </w:r>
            <w:r>
              <w:rPr>
                <w:i/>
                <w:sz w:val="19"/>
              </w:rPr>
              <w:t>Gazette</w:t>
            </w:r>
            <w:r>
              <w:rPr>
                <w:sz w:val="19"/>
              </w:rPr>
              <w:t xml:space="preserve"> 2 Oct 1992 p.4811)</w:t>
            </w:r>
          </w:p>
        </w:tc>
      </w:tr>
      <w:tr>
        <w:trPr>
          <w:cantSplit/>
        </w:trPr>
        <w:tc>
          <w:tcPr>
            <w:tcW w:w="2213" w:type="dxa"/>
            <w:gridSpan w:val="2"/>
          </w:tcPr>
          <w:p>
            <w:pPr>
              <w:pStyle w:val="nTable"/>
              <w:spacing w:after="40"/>
              <w:ind w:right="170"/>
              <w:rPr>
                <w:sz w:val="19"/>
              </w:rPr>
            </w:pPr>
            <w:r>
              <w:rPr>
                <w:i/>
                <w:sz w:val="19"/>
              </w:rPr>
              <w:t xml:space="preserve">Acts Amendment (Public Sector Management) Act 1994 </w:t>
            </w:r>
            <w:r>
              <w:rPr>
                <w:sz w:val="19"/>
              </w:rPr>
              <w:t>s. 19</w:t>
            </w:r>
          </w:p>
        </w:tc>
        <w:tc>
          <w:tcPr>
            <w:tcW w:w="1108" w:type="dxa"/>
            <w:gridSpan w:val="2"/>
          </w:tcPr>
          <w:p>
            <w:pPr>
              <w:pStyle w:val="nTable"/>
              <w:spacing w:after="40"/>
              <w:rPr>
                <w:sz w:val="19"/>
              </w:rPr>
            </w:pPr>
            <w:r>
              <w:rPr>
                <w:sz w:val="19"/>
              </w:rPr>
              <w:t>32 of 1994</w:t>
            </w:r>
          </w:p>
        </w:tc>
        <w:tc>
          <w:tcPr>
            <w:tcW w:w="1122" w:type="dxa"/>
          </w:tcPr>
          <w:p>
            <w:pPr>
              <w:pStyle w:val="nTable"/>
              <w:spacing w:after="40"/>
              <w:rPr>
                <w:sz w:val="19"/>
              </w:rPr>
            </w:pPr>
            <w:r>
              <w:rPr>
                <w:sz w:val="19"/>
              </w:rPr>
              <w:t>29 Jun 1994</w:t>
            </w:r>
          </w:p>
        </w:tc>
        <w:tc>
          <w:tcPr>
            <w:tcW w:w="2644" w:type="dxa"/>
            <w:gridSpan w:val="2"/>
          </w:tcPr>
          <w:p>
            <w:pPr>
              <w:pStyle w:val="nTable"/>
              <w:spacing w:after="40"/>
              <w:rPr>
                <w:sz w:val="19"/>
              </w:rPr>
            </w:pPr>
            <w:r>
              <w:rPr>
                <w:sz w:val="19"/>
              </w:rPr>
              <w:t xml:space="preserve">1 Oct 1994 (see section 2 and </w:t>
            </w:r>
            <w:r>
              <w:rPr>
                <w:i/>
                <w:sz w:val="19"/>
              </w:rPr>
              <w:t>Gazette</w:t>
            </w:r>
            <w:r>
              <w:rPr>
                <w:sz w:val="19"/>
              </w:rPr>
              <w:t xml:space="preserve"> 30 Sep 1994 p.4948)</w:t>
            </w:r>
          </w:p>
        </w:tc>
      </w:tr>
      <w:tr>
        <w:trPr>
          <w:cantSplit/>
        </w:trPr>
        <w:tc>
          <w:tcPr>
            <w:tcW w:w="2213" w:type="dxa"/>
            <w:gridSpan w:val="2"/>
          </w:tcPr>
          <w:p>
            <w:pPr>
              <w:pStyle w:val="nTable"/>
              <w:spacing w:after="40"/>
              <w:ind w:right="170"/>
              <w:rPr>
                <w:sz w:val="19"/>
              </w:rPr>
            </w:pPr>
            <w:r>
              <w:rPr>
                <w:i/>
                <w:sz w:val="19"/>
              </w:rPr>
              <w:t xml:space="preserve">Local Government (Consequential Amendments) Act 1996 </w:t>
            </w:r>
            <w:r>
              <w:rPr>
                <w:sz w:val="19"/>
              </w:rPr>
              <w:t>s. 4</w:t>
            </w:r>
          </w:p>
        </w:tc>
        <w:tc>
          <w:tcPr>
            <w:tcW w:w="1108" w:type="dxa"/>
            <w:gridSpan w:val="2"/>
          </w:tcPr>
          <w:p>
            <w:pPr>
              <w:pStyle w:val="nTable"/>
              <w:keepNext/>
              <w:keepLines/>
              <w:spacing w:after="40"/>
              <w:rPr>
                <w:sz w:val="19"/>
              </w:rPr>
            </w:pPr>
            <w:r>
              <w:rPr>
                <w:sz w:val="19"/>
              </w:rPr>
              <w:t>14 of 1996</w:t>
            </w:r>
          </w:p>
        </w:tc>
        <w:tc>
          <w:tcPr>
            <w:tcW w:w="1122" w:type="dxa"/>
          </w:tcPr>
          <w:p>
            <w:pPr>
              <w:pStyle w:val="nTable"/>
              <w:spacing w:after="40"/>
              <w:rPr>
                <w:sz w:val="19"/>
              </w:rPr>
            </w:pPr>
            <w:r>
              <w:rPr>
                <w:sz w:val="19"/>
              </w:rPr>
              <w:t>28 Jun 1996</w:t>
            </w:r>
          </w:p>
        </w:tc>
        <w:tc>
          <w:tcPr>
            <w:tcW w:w="2644" w:type="dxa"/>
            <w:gridSpan w:val="2"/>
          </w:tcPr>
          <w:p>
            <w:pPr>
              <w:pStyle w:val="nTable"/>
              <w:spacing w:after="40"/>
              <w:rPr>
                <w:sz w:val="19"/>
              </w:rPr>
            </w:pPr>
            <w:r>
              <w:rPr>
                <w:sz w:val="19"/>
              </w:rPr>
              <w:t>1 Jul 1996 (see s. 2)</w:t>
            </w:r>
          </w:p>
        </w:tc>
      </w:tr>
      <w:tr>
        <w:trPr>
          <w:cantSplit/>
        </w:trPr>
        <w:tc>
          <w:tcPr>
            <w:tcW w:w="2213" w:type="dxa"/>
            <w:gridSpan w:val="2"/>
          </w:tcPr>
          <w:p>
            <w:pPr>
              <w:pStyle w:val="nTable"/>
              <w:spacing w:after="40"/>
              <w:ind w:right="170"/>
              <w:rPr>
                <w:sz w:val="19"/>
              </w:rPr>
            </w:pPr>
            <w:r>
              <w:rPr>
                <w:i/>
                <w:spacing w:val="-2"/>
                <w:sz w:val="19"/>
              </w:rPr>
              <w:t>Financial Legislation Amendment Act 1996</w:t>
            </w:r>
            <w:r>
              <w:rPr>
                <w:spacing w:val="-2"/>
                <w:sz w:val="19"/>
              </w:rPr>
              <w:t xml:space="preserve"> s. 48 and 64</w:t>
            </w:r>
          </w:p>
        </w:tc>
        <w:tc>
          <w:tcPr>
            <w:tcW w:w="1108" w:type="dxa"/>
            <w:gridSpan w:val="2"/>
          </w:tcPr>
          <w:p>
            <w:pPr>
              <w:pStyle w:val="nTable"/>
              <w:spacing w:after="40"/>
              <w:rPr>
                <w:spacing w:val="-2"/>
                <w:sz w:val="19"/>
              </w:rPr>
            </w:pPr>
            <w:r>
              <w:rPr>
                <w:spacing w:val="-2"/>
                <w:sz w:val="19"/>
              </w:rPr>
              <w:t>49 of 1996</w:t>
            </w:r>
          </w:p>
        </w:tc>
        <w:tc>
          <w:tcPr>
            <w:tcW w:w="1122" w:type="dxa"/>
          </w:tcPr>
          <w:p>
            <w:pPr>
              <w:pStyle w:val="nTable"/>
              <w:spacing w:after="40"/>
              <w:rPr>
                <w:sz w:val="19"/>
              </w:rPr>
            </w:pPr>
            <w:r>
              <w:rPr>
                <w:spacing w:val="-2"/>
                <w:sz w:val="19"/>
              </w:rPr>
              <w:t>25 Oct 1996</w:t>
            </w:r>
          </w:p>
        </w:tc>
        <w:tc>
          <w:tcPr>
            <w:tcW w:w="2644" w:type="dxa"/>
            <w:gridSpan w:val="2"/>
          </w:tcPr>
          <w:p>
            <w:pPr>
              <w:pStyle w:val="nTable"/>
              <w:spacing w:after="40"/>
              <w:rPr>
                <w:sz w:val="19"/>
              </w:rPr>
            </w:pPr>
            <w:r>
              <w:rPr>
                <w:spacing w:val="-2"/>
                <w:sz w:val="19"/>
              </w:rPr>
              <w:t>25 Oct 1996 (see s. 2(1))</w:t>
            </w:r>
          </w:p>
        </w:tc>
      </w:tr>
      <w:tr>
        <w:trPr>
          <w:cantSplit/>
        </w:trPr>
        <w:tc>
          <w:tcPr>
            <w:tcW w:w="2213" w:type="dxa"/>
            <w:gridSpan w:val="2"/>
          </w:tcPr>
          <w:p>
            <w:pPr>
              <w:pStyle w:val="nTable"/>
              <w:spacing w:after="40"/>
              <w:ind w:right="170"/>
              <w:rPr>
                <w:sz w:val="19"/>
              </w:rPr>
            </w:pPr>
            <w:r>
              <w:rPr>
                <w:i/>
                <w:spacing w:val="-2"/>
                <w:sz w:val="19"/>
              </w:rPr>
              <w:t>Trustees Amendment Act 1997</w:t>
            </w:r>
            <w:r>
              <w:rPr>
                <w:spacing w:val="-2"/>
                <w:sz w:val="19"/>
              </w:rPr>
              <w:t xml:space="preserve"> s. 18</w:t>
            </w:r>
          </w:p>
        </w:tc>
        <w:tc>
          <w:tcPr>
            <w:tcW w:w="1108" w:type="dxa"/>
            <w:gridSpan w:val="2"/>
          </w:tcPr>
          <w:p>
            <w:pPr>
              <w:pStyle w:val="nTable"/>
              <w:spacing w:after="40"/>
              <w:rPr>
                <w:spacing w:val="-2"/>
                <w:sz w:val="19"/>
              </w:rPr>
            </w:pPr>
            <w:r>
              <w:rPr>
                <w:spacing w:val="-2"/>
                <w:sz w:val="19"/>
              </w:rPr>
              <w:t>1 of 1997</w:t>
            </w:r>
          </w:p>
        </w:tc>
        <w:tc>
          <w:tcPr>
            <w:tcW w:w="1122" w:type="dxa"/>
          </w:tcPr>
          <w:p>
            <w:pPr>
              <w:pStyle w:val="nTable"/>
              <w:spacing w:after="40"/>
              <w:rPr>
                <w:sz w:val="19"/>
              </w:rPr>
            </w:pPr>
            <w:r>
              <w:rPr>
                <w:spacing w:val="-2"/>
                <w:sz w:val="19"/>
              </w:rPr>
              <w:t>6 May 1997</w:t>
            </w:r>
          </w:p>
        </w:tc>
        <w:tc>
          <w:tcPr>
            <w:tcW w:w="2644" w:type="dxa"/>
            <w:gridSpan w:val="2"/>
          </w:tcPr>
          <w:p>
            <w:pPr>
              <w:pStyle w:val="nTable"/>
              <w:spacing w:after="40"/>
              <w:rPr>
                <w:sz w:val="19"/>
              </w:rPr>
            </w:pPr>
            <w:r>
              <w:rPr>
                <w:spacing w:val="-2"/>
                <w:sz w:val="19"/>
              </w:rPr>
              <w:t>16 Jun 1997 (see s. 2 and </w:t>
            </w:r>
            <w:r>
              <w:rPr>
                <w:i/>
                <w:spacing w:val="-2"/>
                <w:sz w:val="19"/>
              </w:rPr>
              <w:t>Gazette</w:t>
            </w:r>
            <w:r>
              <w:rPr>
                <w:spacing w:val="-2"/>
                <w:sz w:val="19"/>
              </w:rPr>
              <w:t xml:space="preserve"> 10 Jun 1997 p.2661)</w:t>
            </w:r>
          </w:p>
        </w:tc>
      </w:tr>
      <w:tr>
        <w:trPr>
          <w:cantSplit/>
        </w:trPr>
        <w:tc>
          <w:tcPr>
            <w:tcW w:w="2213" w:type="dxa"/>
            <w:gridSpan w:val="2"/>
          </w:tcPr>
          <w:p>
            <w:pPr>
              <w:pStyle w:val="nTable"/>
              <w:spacing w:after="40"/>
              <w:ind w:right="170"/>
              <w:rPr>
                <w:sz w:val="19"/>
              </w:rPr>
            </w:pPr>
            <w:r>
              <w:rPr>
                <w:i/>
                <w:spacing w:val="-2"/>
                <w:sz w:val="19"/>
              </w:rPr>
              <w:t>Statutes (Repeals and Minor Amendments) Act (No. 2) 1998</w:t>
            </w:r>
            <w:r>
              <w:rPr>
                <w:spacing w:val="-2"/>
                <w:sz w:val="19"/>
              </w:rPr>
              <w:t xml:space="preserve"> s. 76</w:t>
            </w:r>
          </w:p>
        </w:tc>
        <w:tc>
          <w:tcPr>
            <w:tcW w:w="1108" w:type="dxa"/>
            <w:gridSpan w:val="2"/>
          </w:tcPr>
          <w:p>
            <w:pPr>
              <w:pStyle w:val="nTable"/>
              <w:spacing w:after="40"/>
              <w:rPr>
                <w:spacing w:val="-2"/>
                <w:sz w:val="19"/>
              </w:rPr>
            </w:pPr>
            <w:r>
              <w:rPr>
                <w:spacing w:val="-2"/>
                <w:sz w:val="19"/>
              </w:rPr>
              <w:t>10 of 1998</w:t>
            </w:r>
          </w:p>
        </w:tc>
        <w:tc>
          <w:tcPr>
            <w:tcW w:w="1122" w:type="dxa"/>
          </w:tcPr>
          <w:p>
            <w:pPr>
              <w:pStyle w:val="nTable"/>
              <w:spacing w:after="40"/>
              <w:rPr>
                <w:sz w:val="19"/>
              </w:rPr>
            </w:pPr>
            <w:r>
              <w:rPr>
                <w:spacing w:val="-2"/>
                <w:sz w:val="19"/>
              </w:rPr>
              <w:t>30 Apr 1998</w:t>
            </w:r>
          </w:p>
        </w:tc>
        <w:tc>
          <w:tcPr>
            <w:tcW w:w="2644" w:type="dxa"/>
            <w:gridSpan w:val="2"/>
          </w:tcPr>
          <w:p>
            <w:pPr>
              <w:pStyle w:val="nTable"/>
              <w:spacing w:after="40"/>
              <w:rPr>
                <w:sz w:val="19"/>
              </w:rPr>
            </w:pPr>
            <w:r>
              <w:rPr>
                <w:spacing w:val="-2"/>
                <w:sz w:val="19"/>
              </w:rPr>
              <w:t>30 Apr 1998 (see s. 2(1))</w:t>
            </w:r>
          </w:p>
        </w:tc>
      </w:tr>
      <w:tr>
        <w:trPr>
          <w:cantSplit/>
        </w:trPr>
        <w:tc>
          <w:tcPr>
            <w:tcW w:w="2213" w:type="dxa"/>
            <w:gridSpan w:val="2"/>
          </w:tcPr>
          <w:p>
            <w:pPr>
              <w:pStyle w:val="nTable"/>
              <w:spacing w:after="40"/>
              <w:ind w:right="170"/>
              <w:rPr>
                <w:sz w:val="19"/>
              </w:rPr>
            </w:pPr>
            <w:r>
              <w:rPr>
                <w:i/>
                <w:snapToGrid w:val="0"/>
                <w:sz w:val="19"/>
                <w:lang w:val="en-US"/>
              </w:rPr>
              <w:t xml:space="preserve">Financial Legislation Amendment and Repeal Act 2006 </w:t>
            </w:r>
            <w:r>
              <w:rPr>
                <w:iCs/>
                <w:snapToGrid w:val="0"/>
                <w:sz w:val="19"/>
                <w:lang w:val="en-US"/>
              </w:rPr>
              <w:t>s. 17</w:t>
            </w:r>
          </w:p>
        </w:tc>
        <w:tc>
          <w:tcPr>
            <w:tcW w:w="1108" w:type="dxa"/>
            <w:gridSpan w:val="2"/>
          </w:tcPr>
          <w:p>
            <w:pPr>
              <w:pStyle w:val="nTable"/>
              <w:spacing w:after="40"/>
              <w:rPr>
                <w:spacing w:val="-2"/>
                <w:sz w:val="19"/>
              </w:rPr>
            </w:pPr>
            <w:r>
              <w:rPr>
                <w:snapToGrid w:val="0"/>
                <w:sz w:val="19"/>
                <w:lang w:val="en-US"/>
              </w:rPr>
              <w:t xml:space="preserve">77 of 2006 </w:t>
            </w:r>
          </w:p>
        </w:tc>
        <w:tc>
          <w:tcPr>
            <w:tcW w:w="1122" w:type="dxa"/>
          </w:tcPr>
          <w:p>
            <w:pPr>
              <w:pStyle w:val="nTable"/>
              <w:spacing w:after="40"/>
              <w:rPr>
                <w:sz w:val="19"/>
              </w:rPr>
            </w:pPr>
            <w:r>
              <w:rPr>
                <w:snapToGrid w:val="0"/>
                <w:sz w:val="19"/>
                <w:lang w:val="en-US"/>
              </w:rPr>
              <w:t>21 Dec 2006</w:t>
            </w:r>
          </w:p>
        </w:tc>
        <w:tc>
          <w:tcPr>
            <w:tcW w:w="2644"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74" w:type="dxa"/>
          <w:ins w:id="216" w:author="svcMRProcess" w:date="2018-08-20T11:24:00Z"/>
        </w:trPr>
        <w:tc>
          <w:tcPr>
            <w:tcW w:w="2199" w:type="dxa"/>
            <w:tcBorders>
              <w:top w:val="nil"/>
              <w:bottom w:val="single" w:sz="4" w:space="0" w:color="auto"/>
            </w:tcBorders>
          </w:tcPr>
          <w:p>
            <w:pPr>
              <w:pStyle w:val="nTable"/>
              <w:spacing w:after="40"/>
              <w:rPr>
                <w:ins w:id="217" w:author="svcMRProcess" w:date="2018-08-20T11:24:00Z"/>
                <w:sz w:val="19"/>
              </w:rPr>
            </w:pPr>
            <w:ins w:id="218" w:author="svcMRProcess" w:date="2018-08-20T11:24:00Z">
              <w:r>
                <w:rPr>
                  <w:i/>
                  <w:snapToGrid w:val="0"/>
                  <w:sz w:val="19"/>
                </w:rPr>
                <w:t>Medical Practitioners Act 2008</w:t>
              </w:r>
              <w:r>
                <w:rPr>
                  <w:sz w:val="19"/>
                </w:rPr>
                <w:t xml:space="preserve"> s. 162</w:t>
              </w:r>
            </w:ins>
          </w:p>
        </w:tc>
        <w:tc>
          <w:tcPr>
            <w:tcW w:w="1108" w:type="dxa"/>
            <w:gridSpan w:val="2"/>
            <w:tcBorders>
              <w:top w:val="nil"/>
              <w:bottom w:val="single" w:sz="4" w:space="0" w:color="auto"/>
            </w:tcBorders>
          </w:tcPr>
          <w:p>
            <w:pPr>
              <w:pStyle w:val="nTable"/>
              <w:spacing w:after="40"/>
              <w:rPr>
                <w:ins w:id="219" w:author="svcMRProcess" w:date="2018-08-20T11:24:00Z"/>
                <w:sz w:val="19"/>
              </w:rPr>
            </w:pPr>
            <w:ins w:id="220" w:author="svcMRProcess" w:date="2018-08-20T11:24:00Z">
              <w:r>
                <w:rPr>
                  <w:sz w:val="19"/>
                </w:rPr>
                <w:t>22 of 2008</w:t>
              </w:r>
            </w:ins>
          </w:p>
        </w:tc>
        <w:tc>
          <w:tcPr>
            <w:tcW w:w="1136" w:type="dxa"/>
            <w:gridSpan w:val="2"/>
            <w:tcBorders>
              <w:top w:val="nil"/>
              <w:bottom w:val="single" w:sz="4" w:space="0" w:color="auto"/>
            </w:tcBorders>
          </w:tcPr>
          <w:p>
            <w:pPr>
              <w:pStyle w:val="nTable"/>
              <w:spacing w:after="40"/>
              <w:rPr>
                <w:ins w:id="221" w:author="svcMRProcess" w:date="2018-08-20T11:24:00Z"/>
                <w:sz w:val="19"/>
              </w:rPr>
            </w:pPr>
            <w:ins w:id="222" w:author="svcMRProcess" w:date="2018-08-20T11:24:00Z">
              <w:r>
                <w:rPr>
                  <w:sz w:val="19"/>
                </w:rPr>
                <w:t>27 May 2008</w:t>
              </w:r>
            </w:ins>
          </w:p>
        </w:tc>
        <w:tc>
          <w:tcPr>
            <w:tcW w:w="2470" w:type="dxa"/>
            <w:tcBorders>
              <w:top w:val="nil"/>
              <w:bottom w:val="single" w:sz="4" w:space="0" w:color="auto"/>
            </w:tcBorders>
          </w:tcPr>
          <w:p>
            <w:pPr>
              <w:pStyle w:val="nTable"/>
              <w:spacing w:after="40"/>
              <w:rPr>
                <w:ins w:id="223" w:author="svcMRProcess" w:date="2018-08-20T11:24:00Z"/>
                <w:snapToGrid w:val="0"/>
                <w:sz w:val="19"/>
                <w:lang w:val="en-US"/>
              </w:rPr>
            </w:pPr>
            <w:ins w:id="224" w:author="svcMRProcess" w:date="2018-08-20T11:24: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225" w:name="_Toc511102521"/>
      <w:bookmarkStart w:id="226" w:name="_Toc517588271"/>
      <w:bookmarkStart w:id="227" w:name="_Toc518096120"/>
      <w:bookmarkStart w:id="228" w:name="_Toc215473928"/>
      <w:bookmarkStart w:id="229" w:name="_Toc199815220"/>
      <w:r>
        <w:rPr>
          <w:snapToGrid w:val="0"/>
        </w:rPr>
        <w:t>Provisions that have not come into operation</w:t>
      </w:r>
      <w:bookmarkEnd w:id="225"/>
      <w:bookmarkEnd w:id="226"/>
      <w:bookmarkEnd w:id="227"/>
      <w:bookmarkEnd w:id="228"/>
      <w:bookmarkEnd w:id="22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60"/>
              <w:rPr>
                <w:b/>
                <w:sz w:val="19"/>
              </w:rPr>
            </w:pPr>
            <w:r>
              <w:rPr>
                <w:b/>
                <w:sz w:val="19"/>
              </w:rPr>
              <w:t>Assent</w:t>
            </w:r>
          </w:p>
        </w:tc>
        <w:tc>
          <w:tcPr>
            <w:tcW w:w="2552" w:type="dxa"/>
            <w:tcBorders>
              <w:top w:val="single" w:sz="8" w:space="0" w:color="auto"/>
              <w:bottom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29 </w:t>
            </w:r>
            <w:r>
              <w:rPr>
                <w:snapToGrid w:val="0"/>
                <w:vertAlign w:val="superscript"/>
              </w:rPr>
              <w:t>7</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r>
        <w:trPr>
          <w:cantSplit/>
          <w:del w:id="230" w:author="svcMRProcess" w:date="2018-08-20T11:24:00Z"/>
        </w:trPr>
        <w:tc>
          <w:tcPr>
            <w:tcW w:w="2268" w:type="dxa"/>
            <w:tcBorders>
              <w:bottom w:val="single" w:sz="4" w:space="0" w:color="auto"/>
            </w:tcBorders>
          </w:tcPr>
          <w:p>
            <w:pPr>
              <w:pStyle w:val="nTable"/>
              <w:spacing w:before="120"/>
              <w:ind w:right="113"/>
              <w:rPr>
                <w:del w:id="231" w:author="svcMRProcess" w:date="2018-08-20T11:24:00Z"/>
                <w:iCs/>
                <w:snapToGrid w:val="0"/>
              </w:rPr>
            </w:pPr>
            <w:del w:id="232" w:author="svcMRProcess" w:date="2018-08-20T11:24:00Z">
              <w:r>
                <w:rPr>
                  <w:i/>
                  <w:snapToGrid w:val="0"/>
                </w:rPr>
                <w:delText>Medical Practitioners Act 2008</w:delText>
              </w:r>
              <w:r>
                <w:rPr>
                  <w:iCs/>
                  <w:snapToGrid w:val="0"/>
                </w:rPr>
                <w:delText xml:space="preserve"> s. 162 </w:delText>
              </w:r>
              <w:r>
                <w:rPr>
                  <w:iCs/>
                  <w:snapToGrid w:val="0"/>
                  <w:vertAlign w:val="superscript"/>
                </w:rPr>
                <w:delText>8</w:delText>
              </w:r>
            </w:del>
          </w:p>
        </w:tc>
        <w:tc>
          <w:tcPr>
            <w:tcW w:w="1134" w:type="dxa"/>
            <w:tcBorders>
              <w:bottom w:val="single" w:sz="4" w:space="0" w:color="auto"/>
            </w:tcBorders>
          </w:tcPr>
          <w:p>
            <w:pPr>
              <w:pStyle w:val="nTable"/>
              <w:keepNext/>
              <w:spacing w:before="120"/>
              <w:rPr>
                <w:del w:id="233" w:author="svcMRProcess" w:date="2018-08-20T11:24:00Z"/>
                <w:sz w:val="19"/>
              </w:rPr>
            </w:pPr>
            <w:del w:id="234" w:author="svcMRProcess" w:date="2018-08-20T11:24:00Z">
              <w:r>
                <w:rPr>
                  <w:sz w:val="19"/>
                </w:rPr>
                <w:delText>22 of 2008</w:delText>
              </w:r>
            </w:del>
          </w:p>
        </w:tc>
        <w:tc>
          <w:tcPr>
            <w:tcW w:w="1134" w:type="dxa"/>
            <w:tcBorders>
              <w:bottom w:val="single" w:sz="4" w:space="0" w:color="auto"/>
            </w:tcBorders>
          </w:tcPr>
          <w:p>
            <w:pPr>
              <w:pStyle w:val="nTable"/>
              <w:keepNext/>
              <w:spacing w:before="120"/>
              <w:rPr>
                <w:del w:id="235" w:author="svcMRProcess" w:date="2018-08-20T11:24:00Z"/>
                <w:sz w:val="19"/>
              </w:rPr>
            </w:pPr>
            <w:del w:id="236" w:author="svcMRProcess" w:date="2018-08-20T11:24:00Z">
              <w:r>
                <w:rPr>
                  <w:sz w:val="19"/>
                </w:rPr>
                <w:delText>27 May 2008</w:delText>
              </w:r>
            </w:del>
          </w:p>
        </w:tc>
        <w:tc>
          <w:tcPr>
            <w:tcW w:w="2552" w:type="dxa"/>
            <w:tcBorders>
              <w:bottom w:val="single" w:sz="4" w:space="0" w:color="auto"/>
            </w:tcBorders>
          </w:tcPr>
          <w:p>
            <w:pPr>
              <w:pStyle w:val="nTable"/>
              <w:keepNext/>
              <w:spacing w:before="120"/>
              <w:rPr>
                <w:del w:id="237" w:author="svcMRProcess" w:date="2018-08-20T11:24:00Z"/>
                <w:sz w:val="19"/>
              </w:rPr>
            </w:pPr>
            <w:del w:id="238" w:author="svcMRProcess" w:date="2018-08-20T11:24:00Z">
              <w:r>
                <w:rPr>
                  <w:sz w:val="19"/>
                </w:rPr>
                <w:delText>To be proclaimed (see s. 2)</w:delText>
              </w:r>
            </w:del>
          </w:p>
        </w:tc>
      </w:tr>
    </w:tbl>
    <w:p>
      <w:pPr>
        <w:pStyle w:val="nSubsection"/>
        <w:spacing w:before="120"/>
        <w:ind w:left="0" w:firstLine="0"/>
      </w:pPr>
      <w:r>
        <w:rPr>
          <w:vertAlign w:val="superscript"/>
        </w:rPr>
        <w:t>2</w:t>
      </w:r>
      <w:r>
        <w:rPr>
          <w:vertAlign w:val="superscript"/>
        </w:rPr>
        <w:tab/>
      </w:r>
      <w:r>
        <w:t xml:space="preserve">Repealed by the </w:t>
      </w:r>
      <w:r>
        <w:rPr>
          <w:i/>
        </w:rPr>
        <w:t>Industrial Relations Act 1979</w:t>
      </w:r>
      <w:r>
        <w:t xml:space="preserve"> (No. 114 of 1979).</w:t>
      </w:r>
    </w:p>
    <w:p>
      <w:pPr>
        <w:pStyle w:val="nSubsection"/>
        <w:spacing w:before="120"/>
      </w:pPr>
      <w:r>
        <w:rPr>
          <w:vertAlign w:val="superscript"/>
        </w:rPr>
        <w:t>3</w:t>
      </w:r>
      <w:r>
        <w:tab/>
        <w:t xml:space="preserve">Repealed by the </w:t>
      </w:r>
      <w:r>
        <w:rPr>
          <w:i/>
        </w:rPr>
        <w:t>Acts Amendment and Repeal (Industrial Relations) Act (No. 2) 1984 (Act No. 94 of 1984)</w:t>
      </w:r>
      <w:r>
        <w:t>, section 83.</w:t>
      </w:r>
    </w:p>
    <w:p>
      <w:pPr>
        <w:pStyle w:val="nSubsection"/>
        <w:spacing w:before="120"/>
        <w:ind w:left="0" w:firstLine="0"/>
      </w:pPr>
      <w:r>
        <w:rPr>
          <w:vertAlign w:val="superscript"/>
        </w:rPr>
        <w:t>4</w:t>
      </w:r>
      <w:r>
        <w:rPr>
          <w:vertAlign w:val="superscript"/>
        </w:rPr>
        <w:tab/>
      </w:r>
      <w:r>
        <w:t xml:space="preserve">Repealed by the </w:t>
      </w:r>
      <w:r>
        <w:rPr>
          <w:i/>
        </w:rPr>
        <w:t>Public Sector Management Act 1994</w:t>
      </w:r>
      <w:r>
        <w:t xml:space="preserve"> (No. 31 of 1994).</w:t>
      </w:r>
    </w:p>
    <w:p>
      <w:pPr>
        <w:pStyle w:val="nSubsection"/>
        <w:spacing w:before="120"/>
        <w:ind w:left="0" w:firstLine="0"/>
      </w:pPr>
      <w:r>
        <w:rPr>
          <w:vertAlign w:val="superscript"/>
        </w:rPr>
        <w:t>5</w:t>
      </w:r>
      <w:r>
        <w:tab/>
        <w:t xml:space="preserve">Repealed by the </w:t>
      </w:r>
      <w:r>
        <w:rPr>
          <w:i/>
        </w:rPr>
        <w:t>Public Service Act</w:t>
      </w:r>
      <w:r>
        <w:t xml:space="preserve"> </w:t>
      </w:r>
      <w:r>
        <w:rPr>
          <w:i/>
        </w:rPr>
        <w:t>1978</w:t>
      </w:r>
      <w:r>
        <w:t xml:space="preserve"> (No. 86 of 1978).</w:t>
      </w:r>
    </w:p>
    <w:p>
      <w:pPr>
        <w:pStyle w:val="nSubsection"/>
        <w:ind w:left="426" w:hanging="426"/>
      </w:pPr>
      <w:r>
        <w:rPr>
          <w:vertAlign w:val="superscript"/>
        </w:rPr>
        <w:t>6</w:t>
      </w:r>
      <w:r>
        <w:tab/>
        <w:t xml:space="preserve">The </w:t>
      </w:r>
      <w:r>
        <w:rPr>
          <w:i/>
        </w:rPr>
        <w:t>Trustees Amendment Act 1997</w:t>
      </w:r>
      <w:r>
        <w:t xml:space="preserve"> (No. 1 of 1997) came into operation on 16 June 1997. </w:t>
      </w:r>
    </w:p>
    <w:p>
      <w:pPr>
        <w:pStyle w:val="nSubsection"/>
        <w:ind w:left="426" w:hanging="426"/>
      </w:pPr>
      <w:r>
        <w:rPr>
          <w:snapToGrid w:val="0"/>
          <w:vertAlign w:val="superscript"/>
        </w:rPr>
        <w:t>7</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29 had not come into operation.  It reads:</w:t>
      </w:r>
    </w:p>
    <w:p>
      <w:pPr>
        <w:pStyle w:val="MiscOpen"/>
      </w:pPr>
      <w:r>
        <w:t>“</w:t>
      </w:r>
    </w:p>
    <w:p>
      <w:pPr>
        <w:pStyle w:val="nzHeading5"/>
      </w:pPr>
      <w:bookmarkStart w:id="239" w:name="_Toc497533348"/>
      <w:r>
        <w:rPr>
          <w:rStyle w:val="CharSectno"/>
        </w:rPr>
        <w:t>29</w:t>
      </w:r>
      <w:r>
        <w:t>.</w:t>
      </w:r>
      <w:r>
        <w:tab/>
      </w:r>
      <w:r>
        <w:rPr>
          <w:i/>
        </w:rPr>
        <w:t>Alcohol and Drug Authority Act 1974</w:t>
      </w:r>
      <w:r>
        <w:t xml:space="preserve"> amended</w:t>
      </w:r>
      <w:bookmarkEnd w:id="239"/>
    </w:p>
    <w:p>
      <w:pPr>
        <w:pStyle w:val="nzSubsection"/>
      </w:pPr>
      <w:r>
        <w:tab/>
      </w:r>
      <w:r>
        <w:tab/>
        <w:t xml:space="preserve">The </w:t>
      </w:r>
      <w:r>
        <w:rPr>
          <w:i/>
        </w:rPr>
        <w:t xml:space="preserve">Alcohol and Drug Authority Act 1974 </w:t>
      </w:r>
      <w:r>
        <w:t>is amended as follows:</w:t>
      </w:r>
    </w:p>
    <w:p>
      <w:pPr>
        <w:pStyle w:val="nzIndenta"/>
      </w:pPr>
      <w:r>
        <w:tab/>
        <w:t>(a)</w:t>
      </w:r>
      <w:r>
        <w:tab/>
        <w:t xml:space="preserve">in section 21(3)(a) by deleting “, and, subject to section 22, in particular his rights if any under the </w:t>
      </w:r>
      <w:r>
        <w:rPr>
          <w:i/>
        </w:rPr>
        <w:t>Superannuation and Family Benefits Act 1938</w:t>
      </w:r>
      <w:r>
        <w:t>”;</w:t>
      </w:r>
    </w:p>
    <w:p>
      <w:pPr>
        <w:pStyle w:val="nzIndenta"/>
      </w:pPr>
      <w:r>
        <w:tab/>
        <w:t>(b)</w:t>
      </w:r>
      <w:r>
        <w:tab/>
        <w:t>by repealing section 22.</w:t>
      </w:r>
    </w:p>
    <w:p>
      <w:pPr>
        <w:pStyle w:val="MiscClose"/>
      </w:pPr>
      <w:r>
        <w:t>”.</w:t>
      </w:r>
    </w:p>
    <w:p>
      <w:pPr>
        <w:pStyle w:val="nSubsection"/>
        <w:keepLines/>
        <w:rPr>
          <w:del w:id="240" w:author="svcMRProcess" w:date="2018-08-20T11:24:00Z"/>
          <w:snapToGrid w:val="0"/>
        </w:rPr>
      </w:pPr>
      <w:del w:id="241" w:author="svcMRProcess" w:date="2018-08-20T11:24:00Z">
        <w:r>
          <w:rPr>
            <w:snapToGrid w:val="0"/>
            <w:vertAlign w:val="superscript"/>
          </w:rPr>
          <w:delText>8</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2, </w:delText>
        </w:r>
        <w:r>
          <w:rPr>
            <w:snapToGrid w:val="0"/>
          </w:rPr>
          <w:delText>had not come into operation.  It reads as follows:</w:delText>
        </w:r>
      </w:del>
    </w:p>
    <w:p>
      <w:pPr>
        <w:pStyle w:val="MiscOpen"/>
        <w:rPr>
          <w:del w:id="242" w:author="svcMRProcess" w:date="2018-08-20T11:24:00Z"/>
        </w:rPr>
      </w:pPr>
      <w:del w:id="243" w:author="svcMRProcess" w:date="2018-08-20T11:24:00Z">
        <w:r>
          <w:delText>“</w:delText>
        </w:r>
      </w:del>
    </w:p>
    <w:p>
      <w:pPr>
        <w:pStyle w:val="nzHeading5"/>
        <w:rPr>
          <w:del w:id="244" w:author="svcMRProcess" w:date="2018-08-20T11:24:00Z"/>
        </w:rPr>
      </w:pPr>
      <w:bookmarkStart w:id="245" w:name="_Toc123015208"/>
      <w:bookmarkStart w:id="246" w:name="_Toc198710526"/>
      <w:bookmarkStart w:id="247" w:name="_Toc123015245"/>
      <w:bookmarkStart w:id="248" w:name="_Toc123107250"/>
      <w:bookmarkStart w:id="249" w:name="_Toc123628756"/>
      <w:bookmarkStart w:id="250" w:name="_Toc123631684"/>
      <w:bookmarkStart w:id="251" w:name="_Toc123632442"/>
      <w:bookmarkStart w:id="252" w:name="_Toc123632734"/>
      <w:bookmarkStart w:id="253" w:name="_Toc123633002"/>
      <w:bookmarkStart w:id="254" w:name="_Toc125962700"/>
      <w:bookmarkStart w:id="255" w:name="_Toc125963174"/>
      <w:bookmarkStart w:id="256" w:name="_Toc125963735"/>
      <w:bookmarkStart w:id="257" w:name="_Toc125965273"/>
      <w:bookmarkStart w:id="258" w:name="_Toc126111570"/>
      <w:bookmarkStart w:id="259" w:name="_Toc126113970"/>
      <w:bookmarkStart w:id="260" w:name="_Toc127672182"/>
      <w:bookmarkStart w:id="261" w:name="_Toc127681477"/>
      <w:bookmarkStart w:id="262" w:name="_Toc127688542"/>
      <w:bookmarkStart w:id="263" w:name="_Toc127757922"/>
      <w:bookmarkStart w:id="264" w:name="_Toc127764652"/>
      <w:bookmarkStart w:id="265" w:name="_Toc128468958"/>
      <w:bookmarkStart w:id="266" w:name="_Toc128471408"/>
      <w:bookmarkStart w:id="267" w:name="_Toc128557636"/>
      <w:bookmarkStart w:id="268" w:name="_Toc128816407"/>
      <w:bookmarkStart w:id="269" w:name="_Toc128977286"/>
      <w:bookmarkStart w:id="270" w:name="_Toc128977554"/>
      <w:bookmarkStart w:id="271" w:name="_Toc129680954"/>
      <w:bookmarkStart w:id="272" w:name="_Toc129754731"/>
      <w:bookmarkStart w:id="273" w:name="_Toc129764011"/>
      <w:bookmarkStart w:id="274" w:name="_Toc130179828"/>
      <w:bookmarkStart w:id="275" w:name="_Toc130186312"/>
      <w:bookmarkStart w:id="276" w:name="_Toc130186580"/>
      <w:bookmarkStart w:id="277" w:name="_Toc130187357"/>
      <w:bookmarkStart w:id="278" w:name="_Toc130190640"/>
      <w:bookmarkStart w:id="279" w:name="_Toc130358787"/>
      <w:bookmarkStart w:id="280" w:name="_Toc130359529"/>
      <w:bookmarkStart w:id="281" w:name="_Toc130359797"/>
      <w:bookmarkStart w:id="282" w:name="_Toc130365033"/>
      <w:bookmarkStart w:id="283" w:name="_Toc130369448"/>
      <w:bookmarkStart w:id="284" w:name="_Toc130371953"/>
      <w:bookmarkStart w:id="285" w:name="_Toc130372228"/>
      <w:bookmarkStart w:id="286" w:name="_Toc130605537"/>
      <w:bookmarkStart w:id="287" w:name="_Toc130606760"/>
      <w:bookmarkStart w:id="288" w:name="_Toc130607038"/>
      <w:bookmarkStart w:id="289" w:name="_Toc130610186"/>
      <w:bookmarkStart w:id="290" w:name="_Toc130618872"/>
      <w:bookmarkStart w:id="291" w:name="_Toc130622807"/>
      <w:bookmarkStart w:id="292" w:name="_Toc130623084"/>
      <w:bookmarkStart w:id="293" w:name="_Toc130623361"/>
      <w:bookmarkStart w:id="294" w:name="_Toc130625353"/>
      <w:bookmarkStart w:id="295" w:name="_Toc130625630"/>
      <w:bookmarkStart w:id="296" w:name="_Toc130630820"/>
      <w:bookmarkStart w:id="297" w:name="_Toc131315903"/>
      <w:bookmarkStart w:id="298" w:name="_Toc131386384"/>
      <w:bookmarkStart w:id="299" w:name="_Toc131394561"/>
      <w:bookmarkStart w:id="300" w:name="_Toc131397022"/>
      <w:bookmarkStart w:id="301" w:name="_Toc131399673"/>
      <w:bookmarkStart w:id="302" w:name="_Toc131404065"/>
      <w:bookmarkStart w:id="303" w:name="_Toc131480511"/>
      <w:bookmarkStart w:id="304" w:name="_Toc131480788"/>
      <w:bookmarkStart w:id="305" w:name="_Toc131489893"/>
      <w:bookmarkStart w:id="306" w:name="_Toc131490170"/>
      <w:bookmarkStart w:id="307" w:name="_Toc131491452"/>
      <w:bookmarkStart w:id="308" w:name="_Toc131572588"/>
      <w:bookmarkStart w:id="309" w:name="_Toc131573040"/>
      <w:bookmarkStart w:id="310" w:name="_Toc131573595"/>
      <w:bookmarkStart w:id="311" w:name="_Toc131576351"/>
      <w:bookmarkStart w:id="312" w:name="_Toc131576627"/>
      <w:bookmarkStart w:id="313" w:name="_Toc132529244"/>
      <w:bookmarkStart w:id="314" w:name="_Toc132529521"/>
      <w:bookmarkStart w:id="315" w:name="_Toc132531519"/>
      <w:bookmarkStart w:id="316" w:name="_Toc132609582"/>
      <w:bookmarkStart w:id="317" w:name="_Toc132611028"/>
      <w:bookmarkStart w:id="318" w:name="_Toc132612713"/>
      <w:bookmarkStart w:id="319" w:name="_Toc132618166"/>
      <w:bookmarkStart w:id="320" w:name="_Toc132678649"/>
      <w:bookmarkStart w:id="321" w:name="_Toc132689609"/>
      <w:bookmarkStart w:id="322" w:name="_Toc132691019"/>
      <w:bookmarkStart w:id="323" w:name="_Toc132692891"/>
      <w:bookmarkStart w:id="324" w:name="_Toc133113567"/>
      <w:bookmarkStart w:id="325" w:name="_Toc133122134"/>
      <w:bookmarkStart w:id="326" w:name="_Toc133122938"/>
      <w:bookmarkStart w:id="327" w:name="_Toc133123726"/>
      <w:bookmarkStart w:id="328" w:name="_Toc133129725"/>
      <w:bookmarkStart w:id="329" w:name="_Toc133993856"/>
      <w:bookmarkStart w:id="330" w:name="_Toc133994802"/>
      <w:bookmarkStart w:id="331" w:name="_Toc133998494"/>
      <w:bookmarkStart w:id="332" w:name="_Toc134000404"/>
      <w:bookmarkStart w:id="333" w:name="_Toc135013649"/>
      <w:bookmarkStart w:id="334" w:name="_Toc135016136"/>
      <w:bookmarkStart w:id="335" w:name="_Toc135016663"/>
      <w:bookmarkStart w:id="336" w:name="_Toc135470166"/>
      <w:bookmarkStart w:id="337" w:name="_Toc135542352"/>
      <w:bookmarkStart w:id="338" w:name="_Toc135543579"/>
      <w:bookmarkStart w:id="339" w:name="_Toc135546494"/>
      <w:bookmarkStart w:id="340" w:name="_Toc135551360"/>
      <w:bookmarkStart w:id="341" w:name="_Toc136069183"/>
      <w:bookmarkStart w:id="342" w:name="_Toc136419431"/>
      <w:bookmarkStart w:id="343" w:name="_Toc137021091"/>
      <w:bookmarkStart w:id="344" w:name="_Toc137021376"/>
      <w:bookmarkStart w:id="345" w:name="_Toc137024728"/>
      <w:bookmarkStart w:id="346" w:name="_Toc137433227"/>
      <w:bookmarkStart w:id="347" w:name="_Toc137441673"/>
      <w:bookmarkStart w:id="348" w:name="_Toc137456883"/>
      <w:bookmarkStart w:id="349" w:name="_Toc137530657"/>
      <w:bookmarkStart w:id="350" w:name="_Toc137609037"/>
      <w:bookmarkStart w:id="351" w:name="_Toc137626688"/>
      <w:bookmarkStart w:id="352" w:name="_Toc137958522"/>
      <w:bookmarkStart w:id="353" w:name="_Toc137959471"/>
      <w:bookmarkStart w:id="354" w:name="_Toc137965783"/>
      <w:bookmarkStart w:id="355" w:name="_Toc137966736"/>
      <w:bookmarkStart w:id="356" w:name="_Toc137968145"/>
      <w:bookmarkStart w:id="357" w:name="_Toc137968428"/>
      <w:bookmarkStart w:id="358" w:name="_Toc137968711"/>
      <w:bookmarkStart w:id="359" w:name="_Toc137969382"/>
      <w:bookmarkStart w:id="360" w:name="_Toc137969664"/>
      <w:bookmarkStart w:id="361" w:name="_Toc137972763"/>
      <w:bookmarkStart w:id="362" w:name="_Toc138040741"/>
      <w:bookmarkStart w:id="363" w:name="_Toc138041150"/>
      <w:bookmarkStart w:id="364" w:name="_Toc138042678"/>
      <w:bookmarkStart w:id="365" w:name="_Toc138043287"/>
      <w:bookmarkStart w:id="366" w:name="_Toc138055611"/>
      <w:bookmarkStart w:id="367" w:name="_Toc138056786"/>
      <w:bookmarkStart w:id="368" w:name="_Toc138057800"/>
      <w:bookmarkStart w:id="369" w:name="_Toc138061024"/>
      <w:bookmarkStart w:id="370" w:name="_Toc138121534"/>
      <w:bookmarkStart w:id="371" w:name="_Toc138122474"/>
      <w:bookmarkStart w:id="372" w:name="_Toc138122756"/>
      <w:bookmarkStart w:id="373" w:name="_Toc138123193"/>
      <w:bookmarkStart w:id="374" w:name="_Toc138123864"/>
      <w:bookmarkStart w:id="375" w:name="_Toc138124596"/>
      <w:bookmarkStart w:id="376" w:name="_Toc138126853"/>
      <w:bookmarkStart w:id="377" w:name="_Toc138129436"/>
      <w:bookmarkStart w:id="378" w:name="_Toc138132054"/>
      <w:bookmarkStart w:id="379" w:name="_Toc138133839"/>
      <w:bookmarkStart w:id="380" w:name="_Toc138141501"/>
      <w:bookmarkStart w:id="381" w:name="_Toc138143579"/>
      <w:bookmarkStart w:id="382" w:name="_Toc138145517"/>
      <w:bookmarkStart w:id="383" w:name="_Toc138218848"/>
      <w:bookmarkStart w:id="384" w:name="_Toc138474152"/>
      <w:bookmarkStart w:id="385" w:name="_Toc138474816"/>
      <w:bookmarkStart w:id="386" w:name="_Toc138734998"/>
      <w:bookmarkStart w:id="387" w:name="_Toc138735281"/>
      <w:bookmarkStart w:id="388" w:name="_Toc138735631"/>
      <w:bookmarkStart w:id="389" w:name="_Toc138759078"/>
      <w:bookmarkStart w:id="390" w:name="_Toc138828324"/>
      <w:bookmarkStart w:id="391" w:name="_Toc138844689"/>
      <w:bookmarkStart w:id="392" w:name="_Toc139079033"/>
      <w:bookmarkStart w:id="393" w:name="_Toc139082391"/>
      <w:bookmarkStart w:id="394" w:name="_Toc139084878"/>
      <w:bookmarkStart w:id="395" w:name="_Toc139086733"/>
      <w:bookmarkStart w:id="396" w:name="_Toc139087301"/>
      <w:bookmarkStart w:id="397" w:name="_Toc139087584"/>
      <w:bookmarkStart w:id="398" w:name="_Toc139087956"/>
      <w:bookmarkStart w:id="399" w:name="_Toc139088632"/>
      <w:bookmarkStart w:id="400" w:name="_Toc139088915"/>
      <w:bookmarkStart w:id="401" w:name="_Toc139091497"/>
      <w:bookmarkStart w:id="402" w:name="_Toc139092307"/>
      <w:bookmarkStart w:id="403" w:name="_Toc139094378"/>
      <w:bookmarkStart w:id="404" w:name="_Toc139095344"/>
      <w:bookmarkStart w:id="405" w:name="_Toc139096600"/>
      <w:bookmarkStart w:id="406" w:name="_Toc139097433"/>
      <w:bookmarkStart w:id="407" w:name="_Toc139099826"/>
      <w:bookmarkStart w:id="408" w:name="_Toc139101182"/>
      <w:bookmarkStart w:id="409" w:name="_Toc139101639"/>
      <w:bookmarkStart w:id="410" w:name="_Toc139101971"/>
      <w:bookmarkStart w:id="411" w:name="_Toc139102531"/>
      <w:bookmarkStart w:id="412" w:name="_Toc139103007"/>
      <w:bookmarkStart w:id="413" w:name="_Toc139174828"/>
      <w:bookmarkStart w:id="414" w:name="_Toc139176245"/>
      <w:bookmarkStart w:id="415" w:name="_Toc139177393"/>
      <w:bookmarkStart w:id="416" w:name="_Toc139180312"/>
      <w:bookmarkStart w:id="417" w:name="_Toc139181066"/>
      <w:bookmarkStart w:id="418" w:name="_Toc139182160"/>
      <w:bookmarkStart w:id="419" w:name="_Toc139190005"/>
      <w:bookmarkStart w:id="420" w:name="_Toc139190383"/>
      <w:bookmarkStart w:id="421" w:name="_Toc139190668"/>
      <w:bookmarkStart w:id="422" w:name="_Toc139190951"/>
      <w:bookmarkStart w:id="423" w:name="_Toc139263808"/>
      <w:bookmarkStart w:id="424" w:name="_Toc139277308"/>
      <w:bookmarkStart w:id="425" w:name="_Toc139336949"/>
      <w:bookmarkStart w:id="426" w:name="_Toc139342532"/>
      <w:bookmarkStart w:id="427" w:name="_Toc139345015"/>
      <w:bookmarkStart w:id="428" w:name="_Toc139345298"/>
      <w:bookmarkStart w:id="429" w:name="_Toc139346294"/>
      <w:bookmarkStart w:id="430" w:name="_Toc139347553"/>
      <w:bookmarkStart w:id="431" w:name="_Toc139355813"/>
      <w:bookmarkStart w:id="432" w:name="_Toc139444423"/>
      <w:bookmarkStart w:id="433" w:name="_Toc139445132"/>
      <w:bookmarkStart w:id="434" w:name="_Toc140548292"/>
      <w:bookmarkStart w:id="435" w:name="_Toc140554404"/>
      <w:bookmarkStart w:id="436" w:name="_Toc140560870"/>
      <w:bookmarkStart w:id="437" w:name="_Toc140561152"/>
      <w:bookmarkStart w:id="438" w:name="_Toc140561434"/>
      <w:bookmarkStart w:id="439" w:name="_Toc140651234"/>
      <w:bookmarkStart w:id="440" w:name="_Toc141071884"/>
      <w:bookmarkStart w:id="441" w:name="_Toc141147161"/>
      <w:bookmarkStart w:id="442" w:name="_Toc141148394"/>
      <w:bookmarkStart w:id="443" w:name="_Toc143332505"/>
      <w:bookmarkStart w:id="444" w:name="_Toc143492813"/>
      <w:bookmarkStart w:id="445" w:name="_Toc143505098"/>
      <w:bookmarkStart w:id="446" w:name="_Toc143654442"/>
      <w:bookmarkStart w:id="447" w:name="_Toc143911377"/>
      <w:bookmarkStart w:id="448" w:name="_Toc143914192"/>
      <w:bookmarkStart w:id="449" w:name="_Toc143917049"/>
      <w:bookmarkStart w:id="450" w:name="_Toc143934579"/>
      <w:bookmarkStart w:id="451" w:name="_Toc143934890"/>
      <w:bookmarkStart w:id="452" w:name="_Toc143936384"/>
      <w:bookmarkStart w:id="453" w:name="_Toc144005049"/>
      <w:bookmarkStart w:id="454" w:name="_Toc144010249"/>
      <w:bookmarkStart w:id="455" w:name="_Toc144014576"/>
      <w:bookmarkStart w:id="456" w:name="_Toc144016293"/>
      <w:bookmarkStart w:id="457" w:name="_Toc144016944"/>
      <w:bookmarkStart w:id="458" w:name="_Toc144017813"/>
      <w:bookmarkStart w:id="459" w:name="_Toc144021573"/>
      <w:bookmarkStart w:id="460" w:name="_Toc144022379"/>
      <w:bookmarkStart w:id="461" w:name="_Toc144023382"/>
      <w:bookmarkStart w:id="462" w:name="_Toc144088138"/>
      <w:bookmarkStart w:id="463" w:name="_Toc144090126"/>
      <w:bookmarkStart w:id="464" w:name="_Toc144102490"/>
      <w:bookmarkStart w:id="465" w:name="_Toc144187820"/>
      <w:bookmarkStart w:id="466" w:name="_Toc144200622"/>
      <w:bookmarkStart w:id="467" w:name="_Toc144201316"/>
      <w:bookmarkStart w:id="468" w:name="_Toc144259142"/>
      <w:bookmarkStart w:id="469" w:name="_Toc144262236"/>
      <w:bookmarkStart w:id="470" w:name="_Toc144607188"/>
      <w:bookmarkStart w:id="471" w:name="_Toc144607511"/>
      <w:bookmarkStart w:id="472" w:name="_Toc144608998"/>
      <w:bookmarkStart w:id="473" w:name="_Toc144611810"/>
      <w:bookmarkStart w:id="474" w:name="_Toc144617092"/>
      <w:bookmarkStart w:id="475" w:name="_Toc144775087"/>
      <w:bookmarkStart w:id="476" w:name="_Toc144788914"/>
      <w:bookmarkStart w:id="477" w:name="_Toc144792436"/>
      <w:bookmarkStart w:id="478" w:name="_Toc144792724"/>
      <w:bookmarkStart w:id="479" w:name="_Toc144793012"/>
      <w:bookmarkStart w:id="480" w:name="_Toc144798173"/>
      <w:bookmarkStart w:id="481" w:name="_Toc144798925"/>
      <w:bookmarkStart w:id="482" w:name="_Toc144880369"/>
      <w:bookmarkStart w:id="483" w:name="_Toc144881844"/>
      <w:bookmarkStart w:id="484" w:name="_Toc144882132"/>
      <w:bookmarkStart w:id="485" w:name="_Toc144883991"/>
      <w:bookmarkStart w:id="486" w:name="_Toc144884279"/>
      <w:bookmarkStart w:id="487" w:name="_Toc145124191"/>
      <w:bookmarkStart w:id="488" w:name="_Toc145135423"/>
      <w:bookmarkStart w:id="489" w:name="_Toc145136795"/>
      <w:bookmarkStart w:id="490" w:name="_Toc145142093"/>
      <w:bookmarkStart w:id="491" w:name="_Toc145147876"/>
      <w:bookmarkStart w:id="492" w:name="_Toc145208203"/>
      <w:bookmarkStart w:id="493" w:name="_Toc145208944"/>
      <w:bookmarkStart w:id="494" w:name="_Toc145209232"/>
      <w:bookmarkStart w:id="495" w:name="_Toc149542906"/>
      <w:bookmarkStart w:id="496" w:name="_Toc149544160"/>
      <w:bookmarkStart w:id="497" w:name="_Toc149545455"/>
      <w:bookmarkStart w:id="498" w:name="_Toc149545744"/>
      <w:bookmarkStart w:id="499" w:name="_Toc149546033"/>
      <w:bookmarkStart w:id="500" w:name="_Toc149546322"/>
      <w:bookmarkStart w:id="501" w:name="_Toc149546676"/>
      <w:bookmarkStart w:id="502" w:name="_Toc149547709"/>
      <w:bookmarkStart w:id="503" w:name="_Toc149562331"/>
      <w:bookmarkStart w:id="504" w:name="_Toc149562836"/>
      <w:bookmarkStart w:id="505" w:name="_Toc149563277"/>
      <w:bookmarkStart w:id="506" w:name="_Toc149563566"/>
      <w:bookmarkStart w:id="507" w:name="_Toc149642650"/>
      <w:bookmarkStart w:id="508" w:name="_Toc149643345"/>
      <w:bookmarkStart w:id="509" w:name="_Toc149643634"/>
      <w:bookmarkStart w:id="510" w:name="_Toc149644128"/>
      <w:bookmarkStart w:id="511" w:name="_Toc149644952"/>
      <w:bookmarkStart w:id="512" w:name="_Toc149717061"/>
      <w:bookmarkStart w:id="513" w:name="_Toc149957838"/>
      <w:bookmarkStart w:id="514" w:name="_Toc149958786"/>
      <w:bookmarkStart w:id="515" w:name="_Toc149959735"/>
      <w:bookmarkStart w:id="516" w:name="_Toc149961000"/>
      <w:bookmarkStart w:id="517" w:name="_Toc149961346"/>
      <w:bookmarkStart w:id="518" w:name="_Toc149961636"/>
      <w:bookmarkStart w:id="519" w:name="_Toc149962970"/>
      <w:bookmarkStart w:id="520" w:name="_Toc149978790"/>
      <w:bookmarkStart w:id="521" w:name="_Toc151431600"/>
      <w:bookmarkStart w:id="522" w:name="_Toc151860834"/>
      <w:bookmarkStart w:id="523" w:name="_Toc151965414"/>
      <w:bookmarkStart w:id="524" w:name="_Toc152404448"/>
      <w:bookmarkStart w:id="525" w:name="_Toc182887171"/>
      <w:bookmarkStart w:id="526" w:name="_Toc198710562"/>
      <w:del w:id="527" w:author="svcMRProcess" w:date="2018-08-20T11:24:00Z">
        <w:r>
          <w:rPr>
            <w:rStyle w:val="CharSectno"/>
          </w:rPr>
          <w:delText>162</w:delText>
        </w:r>
        <w:r>
          <w:delText>.</w:delText>
        </w:r>
        <w:r>
          <w:tab/>
          <w:delText>Consequential amendments</w:delText>
        </w:r>
        <w:bookmarkEnd w:id="245"/>
        <w:bookmarkEnd w:id="246"/>
      </w:del>
    </w:p>
    <w:p>
      <w:pPr>
        <w:pStyle w:val="nzSubsection"/>
        <w:rPr>
          <w:del w:id="528" w:author="svcMRProcess" w:date="2018-08-20T11:24:00Z"/>
        </w:rPr>
      </w:pPr>
      <w:del w:id="529" w:author="svcMRProcess" w:date="2018-08-20T11:24:00Z">
        <w:r>
          <w:tab/>
        </w:r>
        <w:r>
          <w:tab/>
          <w:delText>Schedule 3 sets out consequential amendments.</w:delText>
        </w:r>
      </w:del>
    </w:p>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Pr>
        <w:pStyle w:val="MiscClose"/>
        <w:rPr>
          <w:del w:id="530" w:author="svcMRProcess" w:date="2018-08-20T11:24:00Z"/>
        </w:rPr>
      </w:pPr>
      <w:del w:id="531" w:author="svcMRProcess" w:date="2018-08-20T11:24:00Z">
        <w:r>
          <w:delText>”.</w:delText>
        </w:r>
      </w:del>
    </w:p>
    <w:p>
      <w:pPr>
        <w:pStyle w:val="nzSubsection"/>
        <w:rPr>
          <w:del w:id="532" w:author="svcMRProcess" w:date="2018-08-20T11:24:00Z"/>
        </w:rPr>
      </w:pPr>
      <w:del w:id="533" w:author="svcMRProcess" w:date="2018-08-20T11:24:00Z">
        <w:r>
          <w:delText>Schedule 3 cl. 2 reads as follows:</w:delText>
        </w:r>
      </w:del>
    </w:p>
    <w:p>
      <w:pPr>
        <w:pStyle w:val="MiscOpen"/>
        <w:rPr>
          <w:del w:id="534" w:author="svcMRProcess" w:date="2018-08-20T11:24:00Z"/>
        </w:rPr>
      </w:pPr>
      <w:del w:id="535" w:author="svcMRProcess" w:date="2018-08-20T11:24:00Z">
        <w:r>
          <w:delText>“</w:delText>
        </w:r>
      </w:del>
    </w:p>
    <w:p>
      <w:pPr>
        <w:pStyle w:val="nzHeading2"/>
        <w:rPr>
          <w:del w:id="536" w:author="svcMRProcess" w:date="2018-08-20T11:24:00Z"/>
        </w:rPr>
      </w:pPr>
      <w:bookmarkStart w:id="537" w:name="_Toc65391715"/>
      <w:bookmarkStart w:id="538" w:name="_Toc123015246"/>
      <w:bookmarkStart w:id="539" w:name="_Toc198710563"/>
      <w:del w:id="540" w:author="svcMRProcess" w:date="2018-08-20T11:24:00Z">
        <w:r>
          <w:rPr>
            <w:rStyle w:val="CharSchNo"/>
          </w:rPr>
          <w:delText>Schedule 3</w:delText>
        </w:r>
        <w:r>
          <w:delText> — </w:delText>
        </w:r>
        <w:r>
          <w:rPr>
            <w:rStyle w:val="CharSchText"/>
          </w:rPr>
          <w:delText>Consequential amendments</w:delText>
        </w:r>
      </w:del>
    </w:p>
    <w:p>
      <w:pPr>
        <w:pStyle w:val="nzMiscellaneousBody"/>
        <w:jc w:val="right"/>
        <w:rPr>
          <w:del w:id="541" w:author="svcMRProcess" w:date="2018-08-20T11:24:00Z"/>
        </w:rPr>
      </w:pPr>
      <w:del w:id="542" w:author="svcMRProcess" w:date="2018-08-20T11:24:00Z">
        <w:r>
          <w:delText>[s. 162]</w:delText>
        </w:r>
      </w:del>
    </w:p>
    <w:p>
      <w:pPr>
        <w:pStyle w:val="nzHeading5"/>
        <w:rPr>
          <w:del w:id="543" w:author="svcMRProcess" w:date="2018-08-20T11:24:00Z"/>
        </w:rPr>
      </w:pPr>
      <w:bookmarkStart w:id="544" w:name="_Toc65391716"/>
      <w:bookmarkStart w:id="545" w:name="_Toc123015247"/>
      <w:bookmarkStart w:id="546" w:name="_Toc198710564"/>
      <w:bookmarkEnd w:id="537"/>
      <w:bookmarkEnd w:id="538"/>
      <w:bookmarkEnd w:id="539"/>
      <w:del w:id="547" w:author="svcMRProcess" w:date="2018-08-20T11:24:00Z">
        <w:r>
          <w:rPr>
            <w:rStyle w:val="CharSClsNo"/>
          </w:rPr>
          <w:delText>2</w:delText>
        </w:r>
        <w:r>
          <w:delText>.</w:delText>
        </w:r>
        <w:r>
          <w:tab/>
        </w:r>
        <w:r>
          <w:rPr>
            <w:i/>
            <w:iCs/>
          </w:rPr>
          <w:delText>Alcohol and Drug Authority Act 1974</w:delText>
        </w:r>
        <w:r>
          <w:delText xml:space="preserve"> amended</w:delText>
        </w:r>
        <w:bookmarkEnd w:id="544"/>
        <w:bookmarkEnd w:id="545"/>
        <w:bookmarkEnd w:id="546"/>
      </w:del>
    </w:p>
    <w:p>
      <w:pPr>
        <w:pStyle w:val="nzSubsection"/>
        <w:rPr>
          <w:del w:id="548" w:author="svcMRProcess" w:date="2018-08-20T11:24:00Z"/>
        </w:rPr>
      </w:pPr>
      <w:del w:id="549" w:author="svcMRProcess" w:date="2018-08-20T11:24:00Z">
        <w:r>
          <w:tab/>
          <w:delText>(1)</w:delText>
        </w:r>
        <w:r>
          <w:tab/>
          <w:delText xml:space="preserve">The amendments in this clause are to the </w:delText>
        </w:r>
        <w:r>
          <w:rPr>
            <w:i/>
          </w:rPr>
          <w:delText>Alcohol and Drug Authority Act 1974</w:delText>
        </w:r>
        <w:r>
          <w:delText>.</w:delText>
        </w:r>
      </w:del>
    </w:p>
    <w:p>
      <w:pPr>
        <w:pStyle w:val="nzSubsection"/>
        <w:rPr>
          <w:del w:id="550" w:author="svcMRProcess" w:date="2018-08-20T11:24:00Z"/>
        </w:rPr>
      </w:pPr>
      <w:del w:id="551" w:author="svcMRProcess" w:date="2018-08-20T11:24:00Z">
        <w:r>
          <w:tab/>
          <w:delText>(2)</w:delText>
        </w:r>
        <w:r>
          <w:tab/>
          <w:delText xml:space="preserve">Section 4 is amended by deleting the definition of “medical practitioner” and inserting instead — </w:delText>
        </w:r>
      </w:del>
    </w:p>
    <w:p>
      <w:pPr>
        <w:pStyle w:val="MiscOpen"/>
        <w:spacing w:before="80"/>
        <w:ind w:left="879"/>
        <w:rPr>
          <w:del w:id="552" w:author="svcMRProcess" w:date="2018-08-20T11:24:00Z"/>
        </w:rPr>
      </w:pPr>
      <w:del w:id="553" w:author="svcMRProcess" w:date="2018-08-20T11:24:00Z">
        <w:r>
          <w:delText xml:space="preserve">“    </w:delText>
        </w:r>
      </w:del>
    </w:p>
    <w:p>
      <w:pPr>
        <w:pStyle w:val="nzDefstart"/>
        <w:rPr>
          <w:del w:id="554" w:author="svcMRProcess" w:date="2018-08-20T11:24:00Z"/>
        </w:rPr>
      </w:pPr>
      <w:del w:id="555" w:author="svcMRProcess" w:date="2018-08-20T11:24:00Z">
        <w:r>
          <w:rPr>
            <w:b/>
          </w:rPr>
          <w:tab/>
        </w:r>
        <w:r>
          <w:rPr>
            <w:rStyle w:val="CharDefText"/>
          </w:rPr>
          <w:delText>medical practitioner</w:delText>
        </w:r>
        <w:r>
          <w:delText xml:space="preserve"> has the meaning given to that term in the </w:delText>
        </w:r>
        <w:r>
          <w:rPr>
            <w:i/>
          </w:rPr>
          <w:delText>Medical Practitioners Act 2008</w:delText>
        </w:r>
        <w:r>
          <w:delText xml:space="preserve"> section 4;</w:delText>
        </w:r>
      </w:del>
    </w:p>
    <w:p>
      <w:pPr>
        <w:pStyle w:val="MiscClose"/>
        <w:rPr>
          <w:del w:id="556" w:author="svcMRProcess" w:date="2018-08-20T11:24:00Z"/>
        </w:rPr>
      </w:pPr>
      <w:del w:id="557" w:author="svcMRProcess" w:date="2018-08-20T11:24:00Z">
        <w:r>
          <w:delText xml:space="preserve">    ”.</w:delText>
        </w:r>
      </w:del>
    </w:p>
    <w:p>
      <w:pPr>
        <w:pStyle w:val="MiscClose"/>
        <w:rPr>
          <w:del w:id="558" w:author="svcMRProcess" w:date="2018-08-20T11:24:00Z"/>
        </w:rPr>
      </w:pPr>
      <w:del w:id="559" w:author="svcMRProcess" w:date="2018-08-20T11:24:00Z">
        <w:r>
          <w:delText>”.</w:delText>
        </w:r>
      </w:del>
    </w:p>
    <w:p/>
    <w:p>
      <w:pPr>
        <w:sectPr>
          <w:headerReference w:type="even" r:id="rId21"/>
          <w:headerReference w:type="default" r:id="rId22"/>
          <w:pgSz w:w="11906" w:h="16838" w:code="9"/>
          <w:pgMar w:top="2376" w:right="2405" w:bottom="3542" w:left="2405" w:header="706" w:footer="3380" w:gutter="0"/>
          <w:cols w:space="720"/>
          <w:noEndnote/>
          <w:docGrid w:linePitch="326"/>
        </w:sectPr>
      </w:pPr>
      <w:bookmarkStart w:id="560" w:name="UpToHere"/>
      <w:bookmarkEnd w:id="560"/>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Alcohol and Drug Authority Act 1974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Alcohol and Drug Authority Act 1974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Alcohol and Drug Authority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25B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37029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06EA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40F5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1CDA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6AE1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6A34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342A5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EA1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E2824A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A3E41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6AC3E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744"/>
    <w:docVar w:name="WAFER_20151207085744" w:val="RemoveTrackChanges"/>
    <w:docVar w:name="WAFER_20151207085744_GUID" w:val="19716f19-0317-4e45-b812-12b9561fff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4256</Words>
  <Characters>20304</Characters>
  <Application>Microsoft Office Word</Application>
  <DocSecurity>0</DocSecurity>
  <Lines>580</Lines>
  <Paragraphs>310</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24250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Drug Authority Act 1974 01-d0-05 - 01-e0-03</dc:title>
  <dc:subject/>
  <dc:creator/>
  <cp:keywords/>
  <dc:description/>
  <cp:lastModifiedBy>svcMRProcess</cp:lastModifiedBy>
  <cp:revision>2</cp:revision>
  <cp:lastPrinted>2008-05-28T01:59:00Z</cp:lastPrinted>
  <dcterms:created xsi:type="dcterms:W3CDTF">2018-08-20T03:24:00Z</dcterms:created>
  <dcterms:modified xsi:type="dcterms:W3CDTF">2018-08-20T03:24:00Z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27</vt:i4>
  </property>
  <property fmtid="{D5CDD505-2E9C-101B-9397-08002B2CF9AE}" pid="6" name="FromSuffix">
    <vt:lpwstr>01-d0-05</vt:lpwstr>
  </property>
  <property fmtid="{D5CDD505-2E9C-101B-9397-08002B2CF9AE}" pid="7" name="FromAsAtDate">
    <vt:lpwstr>27 May 2008</vt:lpwstr>
  </property>
  <property fmtid="{D5CDD505-2E9C-101B-9397-08002B2CF9AE}" pid="8" name="ToSuffix">
    <vt:lpwstr>01-e0-03</vt:lpwstr>
  </property>
  <property fmtid="{D5CDD505-2E9C-101B-9397-08002B2CF9AE}" pid="9" name="ToAsAtDate">
    <vt:lpwstr>01 Dec 2008</vt:lpwstr>
  </property>
</Properties>
</file>