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Marine and Harbours Act 1981 </w:t>
      </w:r>
    </w:p>
    <w:p>
      <w:pPr>
        <w:pStyle w:val="LongTitle"/>
        <w:rPr>
          <w:snapToGrid w:val="0"/>
        </w:rPr>
      </w:pPr>
      <w:r>
        <w:rPr>
          <w:snapToGrid w:val="0"/>
        </w:rPr>
        <w:t>A</w:t>
      </w:r>
      <w:bookmarkStart w:id="0" w:name="_GoBack"/>
      <w:bookmarkEnd w:id="0"/>
      <w:r>
        <w:rPr>
          <w:snapToGrid w:val="0"/>
        </w:rPr>
        <w:t xml:space="preserve">n Act to provide for the advancement of efficient and safe shipping and effective boating and port administration through the provision of certain facilities and services, and for incidental and connected purposes. </w:t>
      </w:r>
    </w:p>
    <w:p>
      <w:pPr>
        <w:pStyle w:val="Footnotelongtitle"/>
      </w:pPr>
      <w:r>
        <w:tab/>
        <w:t xml:space="preserve">[Long title amended by No. 47 of 1993 s. 18.] </w:t>
      </w:r>
    </w:p>
    <w:p>
      <w:pPr>
        <w:pStyle w:val="Heading5"/>
        <w:rPr>
          <w:snapToGrid w:val="0"/>
        </w:rPr>
      </w:pPr>
      <w:bookmarkStart w:id="1" w:name="_Toc59589649"/>
      <w:bookmarkStart w:id="2" w:name="_Toc69874252"/>
      <w:bookmarkStart w:id="3" w:name="_Toc131400206"/>
      <w:bookmarkStart w:id="4" w:name="_Toc12275994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pPr>
        <w:pStyle w:val="Heading5"/>
        <w:rPr>
          <w:snapToGrid w:val="0"/>
        </w:rPr>
      </w:pPr>
      <w:bookmarkStart w:id="5" w:name="_Toc59589650"/>
      <w:bookmarkStart w:id="6" w:name="_Toc69874253"/>
      <w:bookmarkStart w:id="7" w:name="_Toc131400207"/>
      <w:bookmarkStart w:id="8" w:name="_Toc12275994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9589651"/>
      <w:bookmarkStart w:id="10" w:name="_Toc69874254"/>
      <w:bookmarkStart w:id="11" w:name="_Toc131400208"/>
      <w:bookmarkStart w:id="12" w:name="_Toc122759945"/>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departmental area</w:t>
      </w:r>
      <w:r>
        <w:rPr>
          <w:b/>
        </w:rPr>
        <w:t>”</w:t>
      </w:r>
      <w:r>
        <w:t xml:space="preserve"> means an area comprising one or more of the following —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r>
      <w:r>
        <w:tab/>
        <w:t>within a port for the administration and operation of which the Department is responsible;</w:t>
      </w:r>
    </w:p>
    <w:p>
      <w:pPr>
        <w:pStyle w:val="Defstart"/>
      </w:pPr>
      <w:r>
        <w:rPr>
          <w:b/>
        </w:rPr>
        <w:tab/>
        <w:t>“</w:t>
      </w:r>
      <w:r>
        <w:rPr>
          <w:rStyle w:val="CharDefText"/>
        </w:rPr>
        <w:t>departmental land</w:t>
      </w:r>
      <w:r>
        <w:rPr>
          <w:b/>
        </w:rPr>
        <w:t>”</w:t>
      </w:r>
      <w:r>
        <w:t xml:space="preserve"> means land vested in the Minister by a proclamation under section 9 or land otherwise acquired by the Minister for the purposes of this Act;</w:t>
      </w:r>
    </w:p>
    <w:p>
      <w:pPr>
        <w:pStyle w:val="Defstart"/>
      </w:pPr>
      <w:r>
        <w:rPr>
          <w:b/>
        </w:rPr>
        <w:tab/>
        <w:t>“</w:t>
      </w:r>
      <w:r>
        <w:rPr>
          <w:rStyle w:val="CharDefText"/>
        </w:rPr>
        <w:t>infringement notice</w:t>
      </w:r>
      <w:r>
        <w:rPr>
          <w:b/>
        </w:rPr>
        <w:t>”</w:t>
      </w:r>
      <w:r>
        <w:t xml:space="preserve"> means an infringement notice served under section 18A(2);</w:t>
      </w:r>
    </w:p>
    <w:p>
      <w:pPr>
        <w:pStyle w:val="Defstart"/>
      </w:pPr>
      <w:r>
        <w:rPr>
          <w:b/>
        </w:rPr>
        <w:tab/>
        <w:t>“</w:t>
      </w:r>
      <w:r>
        <w:rPr>
          <w:rStyle w:val="CharDefText"/>
        </w:rPr>
        <w:t>Port Authority</w:t>
      </w:r>
      <w:r>
        <w:rPr>
          <w:b/>
        </w:rPr>
        <w:t>”</w:t>
      </w:r>
      <w:r>
        <w:t xml:space="preserve"> means a body corporate established under an Act as a port authority in relation to a port within the State.</w:t>
      </w:r>
    </w:p>
    <w:p>
      <w:pPr>
        <w:pStyle w:val="Footnotesection"/>
      </w:pPr>
      <w:r>
        <w:tab/>
        <w:t xml:space="preserve">[Section 3 inserted by No. 47 of 1993 s. 19; amended by No. 78 of 1994 s. 4.] </w:t>
      </w:r>
    </w:p>
    <w:p>
      <w:pPr>
        <w:pStyle w:val="Heading5"/>
        <w:rPr>
          <w:snapToGrid w:val="0"/>
        </w:rPr>
      </w:pPr>
      <w:bookmarkStart w:id="13" w:name="_Toc59589652"/>
      <w:bookmarkStart w:id="14" w:name="_Toc69874255"/>
      <w:bookmarkStart w:id="15" w:name="_Toc131400209"/>
      <w:bookmarkStart w:id="16" w:name="_Toc122759946"/>
      <w:r>
        <w:rPr>
          <w:rStyle w:val="CharSectno"/>
        </w:rPr>
        <w:t>4</w:t>
      </w:r>
      <w:r>
        <w:rPr>
          <w:snapToGrid w:val="0"/>
        </w:rPr>
        <w:t>.</w:t>
      </w:r>
      <w:r>
        <w:rPr>
          <w:snapToGrid w:val="0"/>
        </w:rPr>
        <w:tab/>
      </w:r>
      <w:bookmarkEnd w:id="13"/>
      <w:bookmarkEnd w:id="14"/>
      <w:r>
        <w:rPr>
          <w:snapToGrid w:val="0"/>
        </w:rPr>
        <w:t>Officers and employees</w:t>
      </w:r>
      <w:bookmarkEnd w:id="15"/>
      <w:bookmarkEnd w:id="16"/>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 xml:space="preserve">[Section 4 amended by No. 113 of 1987 s. 32; No. 47 of 1993 s. 20; No. 32 of 1994 s. 19.] </w:t>
      </w:r>
    </w:p>
    <w:p>
      <w:pPr>
        <w:pStyle w:val="Heading5"/>
        <w:rPr>
          <w:snapToGrid w:val="0"/>
        </w:rPr>
      </w:pPr>
      <w:bookmarkStart w:id="17" w:name="_Toc59589653"/>
      <w:bookmarkStart w:id="18" w:name="_Toc69874256"/>
      <w:bookmarkStart w:id="19" w:name="_Toc131400210"/>
      <w:bookmarkStart w:id="20" w:name="_Toc122759947"/>
      <w:r>
        <w:rPr>
          <w:rStyle w:val="CharSectno"/>
        </w:rPr>
        <w:t>5</w:t>
      </w:r>
      <w:r>
        <w:rPr>
          <w:snapToGrid w:val="0"/>
        </w:rPr>
        <w:t>.</w:t>
      </w:r>
      <w:r>
        <w:rPr>
          <w:snapToGrid w:val="0"/>
        </w:rPr>
        <w:tab/>
        <w:t>Functions of the Department</w:t>
      </w:r>
      <w:bookmarkEnd w:id="17"/>
      <w:bookmarkEnd w:id="18"/>
      <w:bookmarkEnd w:id="19"/>
      <w:bookmarkEnd w:id="20"/>
      <w:r>
        <w:rPr>
          <w:snapToGrid w:val="0"/>
        </w:rPr>
        <w:t xml:space="preserve"> </w:t>
      </w:r>
    </w:p>
    <w:p>
      <w:pPr>
        <w:pStyle w:val="Subsection"/>
        <w:keepNext/>
        <w:rPr>
          <w:snapToGrid w:val="0"/>
        </w:rPr>
      </w:pPr>
      <w:r>
        <w:rPr>
          <w:snapToGrid w:val="0"/>
        </w:rPr>
        <w:tab/>
        <w:t>(1)</w:t>
      </w:r>
      <w:r>
        <w:rPr>
          <w:snapToGrid w:val="0"/>
        </w:rPr>
        <w:tab/>
        <w:t>Subject to this Act, the functions of the Department are —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pPr>
        <w:pStyle w:val="Indenta"/>
        <w:rPr>
          <w:snapToGrid w:val="0"/>
        </w:rPr>
      </w:pPr>
      <w:r>
        <w:rPr>
          <w:snapToGrid w:val="0"/>
        </w:rPr>
        <w:tab/>
        <w:t>(c)</w:t>
      </w:r>
      <w:r>
        <w:rPr>
          <w:snapToGrid w:val="0"/>
        </w:rPr>
        <w:tab/>
        <w:t>to advise the Minister on marine and port affairs;</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pPr>
        <w:pStyle w:val="Indenta"/>
        <w:rPr>
          <w:snapToGrid w:val="0"/>
        </w:rPr>
      </w:pPr>
      <w:r>
        <w:rPr>
          <w:snapToGrid w:val="0"/>
        </w:rPr>
        <w:tab/>
        <w:t>(g)</w:t>
      </w:r>
      <w:r>
        <w:rPr>
          <w:snapToGrid w:val="0"/>
        </w:rPr>
        <w:tab/>
        <w:t>to provide for the commercial development and promotion of the ports referred to in paragraph (f);</w:t>
      </w:r>
    </w:p>
    <w:p>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fishing industry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t>(j)</w:t>
      </w:r>
      <w:r>
        <w:rPr>
          <w:snapToGrid w:val="0"/>
        </w:rPr>
        <w:tab/>
        <w:t>to preserve and protect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snapToGrid w:val="0"/>
        </w:rPr>
      </w:pPr>
      <w:r>
        <w:rPr>
          <w:snapToGrid w:val="0"/>
        </w:rPr>
        <w:tab/>
        <w:t>(2)</w:t>
      </w:r>
      <w:r>
        <w:rPr>
          <w:snapToGrid w:val="0"/>
        </w:rPr>
        <w:tab/>
        <w:t xml:space="preserve">In this section </w:t>
      </w:r>
      <w:r>
        <w:rPr>
          <w:b/>
          <w:snapToGrid w:val="0"/>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Heading5"/>
        <w:rPr>
          <w:snapToGrid w:val="0"/>
        </w:rPr>
      </w:pPr>
      <w:bookmarkStart w:id="21" w:name="_Toc59589654"/>
      <w:bookmarkStart w:id="22" w:name="_Toc69874257"/>
      <w:bookmarkStart w:id="23" w:name="_Toc131400211"/>
      <w:bookmarkStart w:id="24" w:name="_Toc122759948"/>
      <w:r>
        <w:rPr>
          <w:rStyle w:val="CharSectno"/>
        </w:rPr>
        <w:t>5A</w:t>
      </w:r>
      <w:r>
        <w:rPr>
          <w:snapToGrid w:val="0"/>
        </w:rPr>
        <w:t>.</w:t>
      </w:r>
      <w:r>
        <w:rPr>
          <w:snapToGrid w:val="0"/>
        </w:rPr>
        <w:tab/>
        <w:t>Provision of services at Broome and Wyndham</w:t>
      </w:r>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services</w:t>
      </w:r>
      <w:r>
        <w:rPr>
          <w:b/>
        </w:rPr>
        <w:t>”</w:t>
      </w:r>
      <w:r>
        <w:t xml:space="preserve"> means —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 xml:space="preserve">[Section 5A inserted by No. 46 of 1993 s. 39.] </w:t>
      </w:r>
    </w:p>
    <w:p>
      <w:pPr>
        <w:pStyle w:val="Heading5"/>
        <w:rPr>
          <w:snapToGrid w:val="0"/>
        </w:rPr>
      </w:pPr>
      <w:bookmarkStart w:id="25" w:name="_Toc59589655"/>
      <w:bookmarkStart w:id="26" w:name="_Toc69874258"/>
      <w:bookmarkStart w:id="27" w:name="_Toc131400212"/>
      <w:bookmarkStart w:id="28" w:name="_Toc122759949"/>
      <w:r>
        <w:rPr>
          <w:rStyle w:val="CharSectno"/>
        </w:rPr>
        <w:t>5B</w:t>
      </w:r>
      <w:r>
        <w:rPr>
          <w:snapToGrid w:val="0"/>
        </w:rPr>
        <w:t>.</w:t>
      </w:r>
      <w:r>
        <w:rPr>
          <w:snapToGrid w:val="0"/>
        </w:rPr>
        <w:tab/>
        <w:t>Erection of notices and signs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rPr>
          <w:snapToGrid w:val="0"/>
        </w:rPr>
      </w:pPr>
      <w:r>
        <w:rPr>
          <w:snapToGrid w:val="0"/>
        </w:rPr>
        <w:tab/>
        <w:t>Penalty: $500.</w:t>
      </w:r>
    </w:p>
    <w:p>
      <w:pPr>
        <w:pStyle w:val="Footnotesection"/>
      </w:pPr>
      <w:r>
        <w:tab/>
        <w:t xml:space="preserve">[Section 5B inserted by No. 78 of 1994 s. 5.] </w:t>
      </w:r>
    </w:p>
    <w:p>
      <w:pPr>
        <w:pStyle w:val="Heading5"/>
        <w:rPr>
          <w:snapToGrid w:val="0"/>
        </w:rPr>
      </w:pPr>
      <w:bookmarkStart w:id="29" w:name="_Toc59589656"/>
      <w:bookmarkStart w:id="30" w:name="_Toc69874259"/>
      <w:bookmarkStart w:id="31" w:name="_Toc131400213"/>
      <w:bookmarkStart w:id="32" w:name="_Toc122759950"/>
      <w:r>
        <w:rPr>
          <w:rStyle w:val="CharSectno"/>
        </w:rPr>
        <w:t>6</w:t>
      </w:r>
      <w:r>
        <w:rPr>
          <w:snapToGrid w:val="0"/>
        </w:rPr>
        <w:t>.</w:t>
      </w:r>
      <w:r>
        <w:rPr>
          <w:snapToGrid w:val="0"/>
        </w:rPr>
        <w:tab/>
        <w:t>Power of Minister to contract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33" w:name="_Toc59589657"/>
      <w:bookmarkStart w:id="34" w:name="_Toc69874260"/>
      <w:bookmarkStart w:id="35" w:name="_Toc131400214"/>
      <w:bookmarkStart w:id="36" w:name="_Toc122759951"/>
      <w:r>
        <w:rPr>
          <w:rStyle w:val="CharSectno"/>
        </w:rPr>
        <w:t>6A</w:t>
      </w:r>
      <w:r>
        <w:rPr>
          <w:snapToGrid w:val="0"/>
        </w:rPr>
        <w:t>.</w:t>
      </w:r>
      <w:r>
        <w:rPr>
          <w:snapToGrid w:val="0"/>
        </w:rPr>
        <w:tab/>
        <w:t>Provision of services etc. other than in connection with this Act</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rPr>
          <w:snapToGrid w:val="0"/>
        </w:rPr>
      </w:pPr>
      <w:r>
        <w:rPr>
          <w:snapToGrid w:val="0"/>
        </w:rPr>
        <w:tab/>
        <w:t>(3)</w:t>
      </w:r>
      <w:r>
        <w:rPr>
          <w:snapToGrid w:val="0"/>
        </w:rPr>
        <w:tab/>
        <w:t xml:space="preserve">In subsection (1), </w:t>
      </w:r>
      <w:r>
        <w:rPr>
          <w:b/>
          <w:snapToGrid w:val="0"/>
        </w:rPr>
        <w:t>“</w:t>
      </w:r>
      <w:r>
        <w:rPr>
          <w:rStyle w:val="CharDefText"/>
        </w:rPr>
        <w:t>services</w:t>
      </w:r>
      <w:r>
        <w:rPr>
          <w:b/>
          <w:snapToGrid w:val="0"/>
        </w:rPr>
        <w:t>”</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by No. 47 of 1993 s. 21.]</w:t>
      </w:r>
    </w:p>
    <w:p>
      <w:pPr>
        <w:pStyle w:val="Heading5"/>
        <w:rPr>
          <w:snapToGrid w:val="0"/>
        </w:rPr>
      </w:pPr>
      <w:bookmarkStart w:id="37" w:name="_Toc59589658"/>
      <w:bookmarkStart w:id="38" w:name="_Toc69874261"/>
      <w:bookmarkStart w:id="39" w:name="_Toc131400215"/>
      <w:bookmarkStart w:id="40" w:name="_Toc122759952"/>
      <w:r>
        <w:rPr>
          <w:rStyle w:val="CharSectno"/>
        </w:rPr>
        <w:t>7</w:t>
      </w:r>
      <w:r>
        <w:rPr>
          <w:snapToGrid w:val="0"/>
        </w:rPr>
        <w:t>.</w:t>
      </w:r>
      <w:r>
        <w:rPr>
          <w:snapToGrid w:val="0"/>
        </w:rPr>
        <w:tab/>
        <w:t>Power to appoint agents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41" w:name="_Toc59589659"/>
      <w:bookmarkStart w:id="42" w:name="_Toc69874262"/>
      <w:bookmarkStart w:id="43" w:name="_Toc131400216"/>
      <w:bookmarkStart w:id="44" w:name="_Toc122759953"/>
      <w:r>
        <w:rPr>
          <w:rStyle w:val="CharSectno"/>
        </w:rPr>
        <w:t>8</w:t>
      </w:r>
      <w:r>
        <w:rPr>
          <w:snapToGrid w:val="0"/>
        </w:rPr>
        <w:t>.</w:t>
      </w:r>
      <w:r>
        <w:rPr>
          <w:snapToGrid w:val="0"/>
        </w:rPr>
        <w:tab/>
        <w:t>Minister to be body corporate</w:t>
      </w:r>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For the purposes of this Act, the Minister —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45" w:name="_Toc59589660"/>
      <w:bookmarkStart w:id="46" w:name="_Toc69874263"/>
      <w:bookmarkStart w:id="47" w:name="_Toc131400217"/>
      <w:bookmarkStart w:id="48" w:name="_Toc122759954"/>
      <w:r>
        <w:rPr>
          <w:rStyle w:val="CharSectno"/>
        </w:rPr>
        <w:t>9</w:t>
      </w:r>
      <w:r>
        <w:rPr>
          <w:snapToGrid w:val="0"/>
        </w:rPr>
        <w:t>.</w:t>
      </w:r>
      <w:r>
        <w:rPr>
          <w:snapToGrid w:val="0"/>
        </w:rPr>
        <w:tab/>
        <w:t>Vesting by proclamation of Governor</w:t>
      </w:r>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For the purposes of this Act, the Governor may by proclamation —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49" w:name="_Toc59589661"/>
      <w:bookmarkStart w:id="50" w:name="_Toc69874264"/>
      <w:bookmarkStart w:id="51" w:name="_Toc131400218"/>
      <w:bookmarkStart w:id="52" w:name="_Toc122759955"/>
      <w:r>
        <w:rPr>
          <w:rStyle w:val="CharSectno"/>
        </w:rPr>
        <w:t>10</w:t>
      </w:r>
      <w:r>
        <w:rPr>
          <w:snapToGrid w:val="0"/>
        </w:rPr>
        <w:t>.</w:t>
      </w:r>
      <w:r>
        <w:rPr>
          <w:snapToGrid w:val="0"/>
        </w:rPr>
        <w:tab/>
        <w:t>Compulsory acquisition of land</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by No. 31 of 1997 s. 142.]</w:t>
      </w:r>
    </w:p>
    <w:p>
      <w:pPr>
        <w:pStyle w:val="Heading5"/>
        <w:rPr>
          <w:snapToGrid w:val="0"/>
        </w:rPr>
      </w:pPr>
      <w:bookmarkStart w:id="53" w:name="_Toc59589662"/>
      <w:bookmarkStart w:id="54" w:name="_Toc69874265"/>
      <w:bookmarkStart w:id="55" w:name="_Toc131400219"/>
      <w:bookmarkStart w:id="56" w:name="_Toc122759956"/>
      <w:r>
        <w:rPr>
          <w:rStyle w:val="CharSectno"/>
        </w:rPr>
        <w:t>11</w:t>
      </w:r>
      <w:r>
        <w:rPr>
          <w:snapToGrid w:val="0"/>
        </w:rPr>
        <w:t>.</w:t>
      </w:r>
      <w:r>
        <w:rPr>
          <w:snapToGrid w:val="0"/>
        </w:rPr>
        <w:tab/>
        <w:t>Exemption from rates, etc.</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 xml:space="preserve">[Section 11 amended by No. 14 of 1996 s. 4.] </w:t>
      </w:r>
    </w:p>
    <w:p>
      <w:pPr>
        <w:pStyle w:val="Heading5"/>
        <w:rPr>
          <w:snapToGrid w:val="0"/>
        </w:rPr>
      </w:pPr>
      <w:bookmarkStart w:id="57" w:name="_Toc59589663"/>
      <w:bookmarkStart w:id="58" w:name="_Toc69874266"/>
      <w:bookmarkStart w:id="59" w:name="_Toc131400220"/>
      <w:bookmarkStart w:id="60" w:name="_Toc122759957"/>
      <w:r>
        <w:rPr>
          <w:rStyle w:val="CharSectno"/>
        </w:rPr>
        <w:t>12</w:t>
      </w:r>
      <w:r>
        <w:rPr>
          <w:snapToGrid w:val="0"/>
        </w:rPr>
        <w:t>.</w:t>
      </w:r>
      <w:r>
        <w:rPr>
          <w:snapToGrid w:val="0"/>
        </w:rPr>
        <w:tab/>
        <w:t>Leases of vested land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section 50 of the </w:t>
      </w:r>
      <w:r>
        <w:rPr>
          <w:i/>
          <w:snapToGrid w:val="0"/>
        </w:rPr>
        <w:t>Swan River Trust Act 1988</w:t>
      </w:r>
      <w:r>
        <w:rPr>
          <w:snapToGrid w:val="0"/>
        </w:rPr>
        <w:t xml:space="preserve"> or under the Metropolitan Region Scheme</w:t>
      </w:r>
      <w:r>
        <w:t xml:space="preserve"> </w:t>
      </w:r>
      <w:del w:id="61" w:author="svcMRProcess" w:date="2015-11-01T22:30:00Z">
        <w:r>
          <w:rPr>
            <w:snapToGrid w:val="0"/>
          </w:rPr>
          <w:delText>made under</w:delText>
        </w:r>
      </w:del>
      <w:ins w:id="62" w:author="svcMRProcess" w:date="2015-11-01T22:30:00Z">
        <w:r>
          <w:t>as that term is defined in</w:t>
        </w:r>
      </w:ins>
      <w:r>
        <w:t xml:space="preserve"> the </w:t>
      </w:r>
      <w:del w:id="63" w:author="svcMRProcess" w:date="2015-11-01T22:30:00Z">
        <w:r>
          <w:rPr>
            <w:i/>
            <w:snapToGrid w:val="0"/>
          </w:rPr>
          <w:delText xml:space="preserve">Metropolitan Region Town </w:delText>
        </w:r>
      </w:del>
      <w:r>
        <w:rPr>
          <w:i/>
        </w:rPr>
        <w:t xml:space="preserve">Planning </w:t>
      </w:r>
      <w:del w:id="64" w:author="svcMRProcess" w:date="2015-11-01T22:30:00Z">
        <w:r>
          <w:rPr>
            <w:i/>
            <w:snapToGrid w:val="0"/>
          </w:rPr>
          <w:delText>Scheme</w:delText>
        </w:r>
      </w:del>
      <w:ins w:id="65" w:author="svcMRProcess" w:date="2015-11-01T22:30:00Z">
        <w:r>
          <w:rPr>
            <w:i/>
          </w:rPr>
          <w:t>and Development</w:t>
        </w:r>
      </w:ins>
      <w:r>
        <w:rPr>
          <w:i/>
        </w:rPr>
        <w:t xml:space="preserve"> Act </w:t>
      </w:r>
      <w:del w:id="66" w:author="svcMRProcess" w:date="2015-11-01T22:30:00Z">
        <w:r>
          <w:rPr>
            <w:i/>
            <w:snapToGrid w:val="0"/>
          </w:rPr>
          <w:delText>1959</w:delText>
        </w:r>
      </w:del>
      <w:ins w:id="67" w:author="svcMRProcess" w:date="2015-11-01T22:30:00Z">
        <w:r>
          <w:rPr>
            <w:i/>
          </w:rPr>
          <w:t>2005</w:t>
        </w:r>
      </w:ins>
      <w:r>
        <w:rPr>
          <w:snapToGrid w:val="0"/>
        </w:rPr>
        <w:t>, a lease shall not be granted under this section —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by No. 21 of 1988 s. 9; No. 78 of 1994 s. </w:t>
      </w:r>
      <w:del w:id="68" w:author="svcMRProcess" w:date="2015-11-01T22:30:00Z">
        <w:r>
          <w:delText>6</w:delText>
        </w:r>
      </w:del>
      <w:ins w:id="69" w:author="svcMRProcess" w:date="2015-11-01T22:30:00Z">
        <w:r>
          <w:t>6; No. 38 of 2005 s. 15</w:t>
        </w:r>
      </w:ins>
      <w:r>
        <w:t xml:space="preserve">.] </w:t>
      </w:r>
    </w:p>
    <w:p>
      <w:pPr>
        <w:pStyle w:val="Heading5"/>
        <w:rPr>
          <w:snapToGrid w:val="0"/>
        </w:rPr>
      </w:pPr>
      <w:bookmarkStart w:id="70" w:name="_Toc59589664"/>
      <w:bookmarkStart w:id="71" w:name="_Toc69874267"/>
      <w:bookmarkStart w:id="72" w:name="_Toc131400221"/>
      <w:bookmarkStart w:id="73" w:name="_Toc122759958"/>
      <w:r>
        <w:rPr>
          <w:rStyle w:val="CharSectno"/>
        </w:rPr>
        <w:t>13</w:t>
      </w:r>
      <w:r>
        <w:rPr>
          <w:snapToGrid w:val="0"/>
        </w:rPr>
        <w:t>.</w:t>
      </w:r>
      <w:r>
        <w:rPr>
          <w:snapToGrid w:val="0"/>
        </w:rPr>
        <w:tab/>
        <w:t>Revenue to be paid to Consolidated Fund</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Subject to section 14, all moneys received by the Minister or the Department are to be credited to the Consolidated Fund.</w:t>
      </w:r>
    </w:p>
    <w:p>
      <w:pPr>
        <w:pStyle w:val="Footnotesection"/>
      </w:pPr>
      <w:r>
        <w:tab/>
        <w:t>[Section 13 inserted by No. 47 of 1993 s. 22.]</w:t>
      </w:r>
    </w:p>
    <w:p>
      <w:pPr>
        <w:pStyle w:val="Heading5"/>
        <w:rPr>
          <w:snapToGrid w:val="0"/>
        </w:rPr>
      </w:pPr>
      <w:bookmarkStart w:id="74" w:name="_Toc59589665"/>
      <w:bookmarkStart w:id="75" w:name="_Toc69874268"/>
      <w:bookmarkStart w:id="76" w:name="_Toc131400222"/>
      <w:bookmarkStart w:id="77" w:name="_Toc122759959"/>
      <w:r>
        <w:rPr>
          <w:rStyle w:val="CharSectno"/>
        </w:rPr>
        <w:t>14</w:t>
      </w:r>
      <w:r>
        <w:rPr>
          <w:snapToGrid w:val="0"/>
        </w:rPr>
        <w:t>.</w:t>
      </w:r>
      <w:r>
        <w:rPr>
          <w:snapToGrid w:val="0"/>
        </w:rPr>
        <w:tab/>
        <w:t>Trust accounts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With the prior approval of the Treasurer and the Minister, trust accounts forming part of the Trust Fund referred to in section 9 of the </w:t>
      </w:r>
      <w:r>
        <w:rPr>
          <w:i/>
          <w:snapToGrid w:val="0"/>
        </w:rPr>
        <w:t>Financial Administration and Audit Act 1985</w:t>
      </w:r>
      <w:r>
        <w:rPr>
          <w:snapToGrid w:val="0"/>
        </w:rPr>
        <w:t xml:space="preserve"> may be established for such purposes, on such terms and conditions, and comprising such moneys, as the Treasurer and the Minister determine.</w:t>
      </w:r>
    </w:p>
    <w:p>
      <w:pPr>
        <w:pStyle w:val="Subsection"/>
        <w:rPr>
          <w:snapToGrid w:val="0"/>
        </w:rPr>
      </w:pPr>
      <w:r>
        <w:rPr>
          <w:snapToGrid w:val="0"/>
        </w:rPr>
        <w:tab/>
        <w:t>(2)</w:t>
      </w:r>
      <w:r>
        <w:rPr>
          <w:snapToGrid w:val="0"/>
        </w:rPr>
        <w:tab/>
        <w:t xml:space="preserve">Section 14 of the </w:t>
      </w:r>
      <w:r>
        <w:rPr>
          <w:i/>
          <w:snapToGrid w:val="0"/>
        </w:rPr>
        <w:t>Financial Administration and Audit Act 1985</w:t>
      </w:r>
      <w:r>
        <w:rPr>
          <w:snapToGrid w:val="0"/>
        </w:rPr>
        <w:t xml:space="preserve"> does not apply to such trust accounts.</w:t>
      </w:r>
    </w:p>
    <w:p>
      <w:pPr>
        <w:pStyle w:val="Footnotesection"/>
      </w:pPr>
      <w:r>
        <w:tab/>
        <w:t>[Section 14 amended by No. 6 of 1993 s. 11; No. 47 of 1993 s. 22.]</w:t>
      </w:r>
    </w:p>
    <w:p>
      <w:pPr>
        <w:pStyle w:val="Heading5"/>
        <w:rPr>
          <w:snapToGrid w:val="0"/>
        </w:rPr>
      </w:pPr>
      <w:bookmarkStart w:id="78" w:name="_Toc59589666"/>
      <w:bookmarkStart w:id="79" w:name="_Toc69874269"/>
      <w:bookmarkStart w:id="80" w:name="_Toc131400223"/>
      <w:bookmarkStart w:id="81" w:name="_Toc122759960"/>
      <w:r>
        <w:rPr>
          <w:rStyle w:val="CharSectno"/>
        </w:rPr>
        <w:t>14A</w:t>
      </w:r>
      <w:r>
        <w:rPr>
          <w:snapToGrid w:val="0"/>
        </w:rPr>
        <w:t>.</w:t>
      </w:r>
      <w:r>
        <w:rPr>
          <w:snapToGrid w:val="0"/>
        </w:rPr>
        <w:tab/>
        <w:t>Interest on overdue amounts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 xml:space="preserve">[Section 14A inserted by No. 46 of 1993 s. 40.] </w:t>
      </w:r>
    </w:p>
    <w:p>
      <w:pPr>
        <w:pStyle w:val="Ednotesection"/>
      </w:pPr>
      <w:r>
        <w:t>[</w:t>
      </w:r>
      <w:r>
        <w:rPr>
          <w:b/>
        </w:rPr>
        <w:t>15, 16.</w:t>
      </w:r>
      <w:r>
        <w:tab/>
        <w:t xml:space="preserve">Repealed by No. 47 of 1993 s. 22.] </w:t>
      </w:r>
    </w:p>
    <w:p>
      <w:pPr>
        <w:pStyle w:val="Ednotesection"/>
      </w:pPr>
      <w:r>
        <w:t>[</w:t>
      </w:r>
      <w:r>
        <w:rPr>
          <w:b/>
        </w:rPr>
        <w:t>17.</w:t>
      </w:r>
      <w:r>
        <w:tab/>
        <w:t xml:space="preserve">Repealed by No. 98 of 1985 s. 3.] </w:t>
      </w:r>
    </w:p>
    <w:p>
      <w:pPr>
        <w:pStyle w:val="Heading5"/>
        <w:rPr>
          <w:snapToGrid w:val="0"/>
        </w:rPr>
      </w:pPr>
      <w:bookmarkStart w:id="82" w:name="_Toc59589667"/>
      <w:bookmarkStart w:id="83" w:name="_Toc69874270"/>
      <w:bookmarkStart w:id="84" w:name="_Toc131400224"/>
      <w:bookmarkStart w:id="85" w:name="_Toc122759961"/>
      <w:r>
        <w:rPr>
          <w:rStyle w:val="CharSectno"/>
        </w:rPr>
        <w:t>18</w:t>
      </w:r>
      <w:r>
        <w:rPr>
          <w:snapToGrid w:val="0"/>
        </w:rPr>
        <w:t>.</w:t>
      </w:r>
      <w:r>
        <w:rPr>
          <w:snapToGrid w:val="0"/>
        </w:rPr>
        <w:tab/>
        <w:t>Delegation</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 xml:space="preserve">[Section 18 inserted by No. 47 of 1993 s. 23.] </w:t>
      </w:r>
    </w:p>
    <w:p>
      <w:pPr>
        <w:pStyle w:val="Heading5"/>
        <w:rPr>
          <w:snapToGrid w:val="0"/>
        </w:rPr>
      </w:pPr>
      <w:bookmarkStart w:id="86" w:name="_Toc59589668"/>
      <w:bookmarkStart w:id="87" w:name="_Toc69874271"/>
      <w:bookmarkStart w:id="88" w:name="_Toc131400225"/>
      <w:bookmarkStart w:id="89" w:name="_Toc122759962"/>
      <w:r>
        <w:rPr>
          <w:rStyle w:val="CharSectno"/>
        </w:rPr>
        <w:t>18A</w:t>
      </w:r>
      <w:r>
        <w:rPr>
          <w:snapToGrid w:val="0"/>
        </w:rPr>
        <w:t>.</w:t>
      </w:r>
      <w:r>
        <w:rPr>
          <w:snapToGrid w:val="0"/>
        </w:rPr>
        <w:tab/>
        <w:t>Infringement notices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Department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 xml:space="preserve">[Section 18A inserted by No. 78 of 1994 s. 7; amended by No. 78 of 1995 s. 69; No. 84 of 2004 s. 80.] </w:t>
      </w:r>
    </w:p>
    <w:p>
      <w:pPr>
        <w:pStyle w:val="Heading5"/>
        <w:rPr>
          <w:snapToGrid w:val="0"/>
        </w:rPr>
      </w:pPr>
      <w:bookmarkStart w:id="90" w:name="_Toc59589669"/>
      <w:bookmarkStart w:id="91" w:name="_Toc69874272"/>
      <w:bookmarkStart w:id="92" w:name="_Toc131400226"/>
      <w:bookmarkStart w:id="93" w:name="_Toc122759963"/>
      <w:r>
        <w:rPr>
          <w:rStyle w:val="CharSectno"/>
        </w:rPr>
        <w:t>18B</w:t>
      </w:r>
      <w:r>
        <w:rPr>
          <w:snapToGrid w:val="0"/>
        </w:rPr>
        <w:t>.</w:t>
      </w:r>
      <w:r>
        <w:rPr>
          <w:snapToGrid w:val="0"/>
        </w:rPr>
        <w:tab/>
        <w:t>Owner onus in relation to motor vehicles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authorised officer</w:t>
      </w:r>
      <w:r>
        <w:rPr>
          <w:b/>
        </w:rPr>
        <w:t>”</w:t>
      </w:r>
      <w:r>
        <w:t xml:space="preserve"> means an authorised officer appointed for the purposes of section 18A(2);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Footnotesection"/>
      </w:pPr>
      <w:r>
        <w:tab/>
        <w:t xml:space="preserve">[Section 18B inserted by No. 78 of 1994 s. 7.] </w:t>
      </w:r>
    </w:p>
    <w:p>
      <w:pPr>
        <w:pStyle w:val="Heading5"/>
        <w:rPr>
          <w:snapToGrid w:val="0"/>
        </w:rPr>
      </w:pPr>
      <w:bookmarkStart w:id="94" w:name="_Toc59589670"/>
      <w:bookmarkStart w:id="95" w:name="_Toc69874273"/>
      <w:bookmarkStart w:id="96" w:name="_Toc131400227"/>
      <w:bookmarkStart w:id="97" w:name="_Toc122759964"/>
      <w:r>
        <w:rPr>
          <w:rStyle w:val="CharSectno"/>
        </w:rPr>
        <w:t>19</w:t>
      </w:r>
      <w:r>
        <w:rPr>
          <w:snapToGrid w:val="0"/>
        </w:rPr>
        <w:t>.</w:t>
      </w:r>
      <w:r>
        <w:rPr>
          <w:snapToGrid w:val="0"/>
        </w:rPr>
        <w:tab/>
        <w:t>Power to make regulations</w:t>
      </w:r>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keepNext/>
        <w:rPr>
          <w:snapToGrid w:val="0"/>
        </w:rPr>
      </w:pPr>
      <w:r>
        <w:rPr>
          <w:snapToGrid w:val="0"/>
        </w:rPr>
        <w:tab/>
        <w:t>(a)</w:t>
      </w:r>
      <w:r>
        <w:rPr>
          <w:snapToGrid w:val="0"/>
        </w:rPr>
        <w:tab/>
        <w:t>regulating or prohibiting —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p>
    <w:p>
      <w:pPr>
        <w:pStyle w:val="Indenta"/>
        <w:keepNext/>
        <w:rPr>
          <w:snapToGrid w:val="0"/>
        </w:rPr>
      </w:pPr>
      <w:r>
        <w:rPr>
          <w:snapToGrid w:val="0"/>
        </w:rPr>
        <w:tab/>
        <w:t>(e)</w:t>
      </w:r>
      <w:r>
        <w:rPr>
          <w:snapToGrid w:val="0"/>
        </w:rPr>
        <w:tab/>
        <w:t>regulating the use of departmental areas and in particular —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19 amended by No. 78 of 1994 s. 8; No. 74 of 2003 s. 80.] </w:t>
      </w:r>
    </w:p>
    <w:p>
      <w:pPr>
        <w:pStyle w:val="Heading5"/>
        <w:rPr>
          <w:snapToGrid w:val="0"/>
        </w:rPr>
      </w:pPr>
      <w:bookmarkStart w:id="98" w:name="_Toc59589671"/>
      <w:bookmarkStart w:id="99" w:name="_Toc69874274"/>
      <w:bookmarkStart w:id="100" w:name="_Toc131400228"/>
      <w:bookmarkStart w:id="101" w:name="_Toc122759965"/>
      <w:r>
        <w:rPr>
          <w:rStyle w:val="CharSectno"/>
        </w:rPr>
        <w:t>20</w:t>
      </w:r>
      <w:r>
        <w:rPr>
          <w:snapToGrid w:val="0"/>
        </w:rPr>
        <w:t>.</w:t>
      </w:r>
      <w:r>
        <w:rPr>
          <w:snapToGrid w:val="0"/>
        </w:rPr>
        <w:tab/>
        <w:t>References to former departments and offices</w:t>
      </w:r>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former department</w:t>
      </w:r>
      <w:r>
        <w:rPr>
          <w:b/>
        </w:rPr>
        <w:t>”</w:t>
      </w:r>
      <w:r>
        <w:t xml:space="preserve"> means —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t>“</w:t>
      </w:r>
      <w:r>
        <w:rPr>
          <w:rStyle w:val="CharDefText"/>
        </w:rPr>
        <w:t>former office</w:t>
      </w:r>
      <w:r>
        <w:rPr>
          <w:b/>
        </w:rPr>
        <w:t>”</w:t>
      </w:r>
      <w:r>
        <w:t xml:space="preserve"> means —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by No. 47 of 1993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2" w:name="_Toc69874275"/>
      <w:bookmarkStart w:id="103" w:name="_Toc69874304"/>
      <w:bookmarkStart w:id="104" w:name="_Toc96247134"/>
      <w:bookmarkStart w:id="105" w:name="_Toc97020511"/>
      <w:bookmarkStart w:id="106" w:name="_Toc103071883"/>
      <w:bookmarkStart w:id="107" w:name="_Toc122759966"/>
      <w:bookmarkStart w:id="108" w:name="_Toc131400229"/>
      <w:r>
        <w:t>Notes</w:t>
      </w:r>
      <w:bookmarkEnd w:id="102"/>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w:t>
      </w:r>
      <w:del w:id="109" w:author="svcMRProcess" w:date="2015-11-01T22:3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0" w:name="_Toc131400230"/>
      <w:bookmarkStart w:id="111" w:name="_Toc69874276"/>
      <w:bookmarkStart w:id="112" w:name="_Toc122759967"/>
      <w:r>
        <w:rPr>
          <w:snapToGrid w:val="0"/>
        </w:rPr>
        <w:t>Compilation table</w:t>
      </w:r>
      <w:bookmarkEnd w:id="110"/>
      <w:bookmarkEnd w:id="111"/>
      <w:bookmarkEnd w:id="112"/>
    </w:p>
    <w:tbl>
      <w:tblPr>
        <w:tblW w:w="7084" w:type="dxa"/>
        <w:tblInd w:w="56" w:type="dxa"/>
        <w:tblLayout w:type="fixed"/>
        <w:tblCellMar>
          <w:left w:w="56" w:type="dxa"/>
          <w:right w:w="56" w:type="dxa"/>
        </w:tblCellMar>
        <w:tblLook w:val="0000" w:firstRow="0" w:lastRow="0" w:firstColumn="0" w:lastColumn="0" w:noHBand="0" w:noVBand="0"/>
      </w:tblPr>
      <w:tblGrid>
        <w:gridCol w:w="2267"/>
        <w:gridCol w:w="1133"/>
        <w:gridCol w:w="1134"/>
        <w:gridCol w:w="2550"/>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Marine and Harbours Act 1981</w:t>
            </w:r>
          </w:p>
        </w:tc>
        <w:tc>
          <w:tcPr>
            <w:tcW w:w="1133" w:type="dxa"/>
            <w:tcBorders>
              <w:top w:val="single" w:sz="8" w:space="0" w:color="auto"/>
            </w:tcBorders>
          </w:tcPr>
          <w:p>
            <w:pPr>
              <w:pStyle w:val="nTable"/>
              <w:spacing w:after="40"/>
              <w:rPr>
                <w:sz w:val="19"/>
              </w:rPr>
            </w:pPr>
            <w:r>
              <w:rPr>
                <w:sz w:val="19"/>
              </w:rPr>
              <w:t>21 of 1981</w:t>
            </w:r>
          </w:p>
        </w:tc>
        <w:tc>
          <w:tcPr>
            <w:tcW w:w="1134" w:type="dxa"/>
            <w:tcBorders>
              <w:top w:val="single" w:sz="8" w:space="0" w:color="auto"/>
            </w:tcBorders>
          </w:tcPr>
          <w:p>
            <w:pPr>
              <w:pStyle w:val="nTable"/>
              <w:spacing w:after="40"/>
              <w:rPr>
                <w:sz w:val="19"/>
              </w:rPr>
            </w:pPr>
            <w:r>
              <w:rPr>
                <w:sz w:val="19"/>
              </w:rPr>
              <w:t>26 May 1981</w:t>
            </w:r>
          </w:p>
        </w:tc>
        <w:tc>
          <w:tcPr>
            <w:tcW w:w="2549" w:type="dxa"/>
            <w:tcBorders>
              <w:top w:val="single" w:sz="8" w:space="0" w:color="auto"/>
            </w:tcBorders>
          </w:tcPr>
          <w:p>
            <w:pPr>
              <w:pStyle w:val="nTable"/>
              <w:spacing w:after="40"/>
              <w:rPr>
                <w:sz w:val="19"/>
              </w:rPr>
            </w:pPr>
            <w:r>
              <w:rPr>
                <w:sz w:val="19"/>
              </w:rPr>
              <w:t xml:space="preserve">1 Mar 1982 (see s. 2 and </w:t>
            </w:r>
            <w:r>
              <w:rPr>
                <w:i/>
                <w:sz w:val="19"/>
              </w:rPr>
              <w:t>Gazette</w:t>
            </w:r>
            <w:r>
              <w:rPr>
                <w:sz w:val="19"/>
              </w:rPr>
              <w:t xml:space="preserve"> 5 Feb 1982 p. 410)</w:t>
            </w:r>
          </w:p>
        </w:tc>
      </w:tr>
      <w:tr>
        <w:trPr>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49"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rPr>
                <w:sz w:val="19"/>
              </w:rPr>
            </w:pPr>
            <w:r>
              <w:rPr>
                <w:i/>
                <w:sz w:val="19"/>
              </w:rPr>
              <w:t>Acts Amendment (Public Service) Act 1987</w:t>
            </w:r>
            <w:r>
              <w:rPr>
                <w:sz w:val="19"/>
              </w:rPr>
              <w:t xml:space="preserve"> s. 32 </w:t>
            </w:r>
          </w:p>
        </w:tc>
        <w:tc>
          <w:tcPr>
            <w:tcW w:w="1133"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4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rPr>
                <w:sz w:val="19"/>
              </w:rPr>
            </w:pPr>
            <w:r>
              <w:rPr>
                <w:i/>
                <w:sz w:val="19"/>
              </w:rPr>
              <w:t>Acts Amendment (Swan River Trust) Act 1988</w:t>
            </w:r>
            <w:r>
              <w:rPr>
                <w:sz w:val="19"/>
              </w:rPr>
              <w:t xml:space="preserve"> Pt. 5</w:t>
            </w:r>
          </w:p>
        </w:tc>
        <w:tc>
          <w:tcPr>
            <w:tcW w:w="1133"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49"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49" w:type="dxa"/>
          </w:tcPr>
          <w:p>
            <w:pPr>
              <w:pStyle w:val="nTable"/>
              <w:spacing w:after="40"/>
              <w:rPr>
                <w:sz w:val="19"/>
              </w:rPr>
            </w:pPr>
            <w:r>
              <w:rPr>
                <w:sz w:val="19"/>
              </w:rPr>
              <w:t>1 Jul 1993 (see s. 2(1))</w:t>
            </w:r>
          </w:p>
        </w:tc>
      </w:tr>
      <w:tr>
        <w:trPr>
          <w:cantSplit/>
        </w:trPr>
        <w:tc>
          <w:tcPr>
            <w:tcW w:w="2266" w:type="dxa"/>
          </w:tcPr>
          <w:p>
            <w:pPr>
              <w:pStyle w:val="nTable"/>
              <w:spacing w:after="40"/>
              <w:rPr>
                <w:sz w:val="19"/>
              </w:rPr>
            </w:pPr>
            <w:r>
              <w:rPr>
                <w:i/>
                <w:sz w:val="19"/>
              </w:rPr>
              <w:t>Ports (Functions) Act 1993</w:t>
            </w:r>
            <w:r>
              <w:rPr>
                <w:sz w:val="19"/>
              </w:rPr>
              <w:t xml:space="preserve"> Pt. 3</w:t>
            </w:r>
          </w:p>
        </w:tc>
        <w:tc>
          <w:tcPr>
            <w:tcW w:w="1133"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49"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6" w:type="dxa"/>
          </w:tcPr>
          <w:p>
            <w:pPr>
              <w:pStyle w:val="nTable"/>
              <w:spacing w:after="40"/>
              <w:rPr>
                <w:sz w:val="19"/>
              </w:rPr>
            </w:pPr>
            <w:r>
              <w:rPr>
                <w:i/>
                <w:sz w:val="19"/>
              </w:rPr>
              <w:t>Acts Amendment (Department of Transport) Act 1993</w:t>
            </w:r>
            <w:r>
              <w:rPr>
                <w:sz w:val="19"/>
              </w:rPr>
              <w:t xml:space="preserve"> Pt. 9</w:t>
            </w:r>
          </w:p>
        </w:tc>
        <w:tc>
          <w:tcPr>
            <w:tcW w:w="1133"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49"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vertAlign w:val="superscript"/>
              </w:rPr>
            </w:pPr>
            <w:r>
              <w:rPr>
                <w:i/>
                <w:sz w:val="19"/>
              </w:rPr>
              <w:t>Marine and Harbours Amendment Act 1994 </w:t>
            </w:r>
            <w:r>
              <w:rPr>
                <w:sz w:val="19"/>
                <w:vertAlign w:val="superscript"/>
              </w:rPr>
              <w:t>2</w:t>
            </w:r>
          </w:p>
        </w:tc>
        <w:tc>
          <w:tcPr>
            <w:tcW w:w="1133" w:type="dxa"/>
          </w:tcPr>
          <w:p>
            <w:pPr>
              <w:pStyle w:val="nTable"/>
              <w:spacing w:after="40"/>
              <w:rPr>
                <w:sz w:val="19"/>
              </w:rPr>
            </w:pPr>
            <w:r>
              <w:rPr>
                <w:sz w:val="19"/>
              </w:rPr>
              <w:t>78 of 1994</w:t>
            </w:r>
          </w:p>
        </w:tc>
        <w:tc>
          <w:tcPr>
            <w:tcW w:w="1134" w:type="dxa"/>
          </w:tcPr>
          <w:p>
            <w:pPr>
              <w:pStyle w:val="nTable"/>
              <w:spacing w:after="40"/>
              <w:rPr>
                <w:sz w:val="19"/>
              </w:rPr>
            </w:pPr>
            <w:r>
              <w:rPr>
                <w:sz w:val="19"/>
              </w:rPr>
              <w:t>13 Dec 1994</w:t>
            </w:r>
          </w:p>
        </w:tc>
        <w:tc>
          <w:tcPr>
            <w:tcW w:w="2549" w:type="dxa"/>
          </w:tcPr>
          <w:p>
            <w:pPr>
              <w:pStyle w:val="nTable"/>
              <w:spacing w:after="40"/>
              <w:rPr>
                <w:sz w:val="19"/>
              </w:rPr>
            </w:pPr>
            <w:r>
              <w:rPr>
                <w:sz w:val="19"/>
              </w:rPr>
              <w:t>13 Dec 1994 (see s. 2)</w:t>
            </w:r>
          </w:p>
        </w:tc>
      </w:tr>
      <w:tr>
        <w:trPr>
          <w:cantSplit/>
        </w:trPr>
        <w:tc>
          <w:tcPr>
            <w:tcW w:w="2266" w:type="dxa"/>
          </w:tcPr>
          <w:p>
            <w:pPr>
              <w:pStyle w:val="nTable"/>
              <w:spacing w:after="40"/>
              <w:rPr>
                <w:sz w:val="19"/>
              </w:rPr>
            </w:pPr>
            <w:r>
              <w:rPr>
                <w:i/>
                <w:sz w:val="19"/>
              </w:rPr>
              <w:t>Sentencing (Consequential Provisions) Act 1995</w:t>
            </w:r>
            <w:r>
              <w:rPr>
                <w:sz w:val="19"/>
              </w:rPr>
              <w:t xml:space="preserve"> Pt. 50</w:t>
            </w:r>
          </w:p>
        </w:tc>
        <w:tc>
          <w:tcPr>
            <w:tcW w:w="1133"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7082" w:type="dxa"/>
            <w:gridSpan w:val="4"/>
          </w:tcPr>
          <w:p>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trPr>
          <w:cantSplit/>
        </w:trPr>
        <w:tc>
          <w:tcPr>
            <w:tcW w:w="2266" w:type="dxa"/>
          </w:tcPr>
          <w:p>
            <w:pPr>
              <w:pStyle w:val="nTable"/>
              <w:spacing w:after="40"/>
              <w:rPr>
                <w:sz w:val="19"/>
              </w:rPr>
            </w:pPr>
            <w:r>
              <w:rPr>
                <w:i/>
                <w:sz w:val="19"/>
              </w:rPr>
              <w:t>Acts Amendment (Land Administration) Act 1997</w:t>
            </w:r>
            <w:r>
              <w:rPr>
                <w:sz w:val="19"/>
              </w:rPr>
              <w:t xml:space="preserve"> s. 142</w:t>
            </w:r>
          </w:p>
        </w:tc>
        <w:tc>
          <w:tcPr>
            <w:tcW w:w="1133"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4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rPr>
                <w:sz w:val="19"/>
              </w:rPr>
            </w:pPr>
            <w:r>
              <w:rPr>
                <w:i/>
                <w:sz w:val="19"/>
              </w:rPr>
              <w:t>Statutes (Repeals and Minor Amendments) Act 2003</w:t>
            </w:r>
            <w:r>
              <w:rPr>
                <w:sz w:val="19"/>
              </w:rPr>
              <w:t xml:space="preserve"> s. 80</w:t>
            </w:r>
          </w:p>
        </w:tc>
        <w:tc>
          <w:tcPr>
            <w:tcW w:w="1133"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7082" w:type="dxa"/>
            <w:gridSpan w:val="4"/>
          </w:tcPr>
          <w:p>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49"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del w:id="113" w:author="svcMRProcess" w:date="2015-11-01T22:30:00Z"/>
          <w:snapToGrid w:val="0"/>
        </w:rPr>
      </w:pPr>
      <w:del w:id="114" w:author="svcMRProcess" w:date="2015-11-01T22: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5" w:author="svcMRProcess" w:date="2015-11-01T22:30:00Z"/>
          <w:snapToGrid w:val="0"/>
        </w:rPr>
      </w:pPr>
      <w:bookmarkStart w:id="116" w:name="_Toc534778309"/>
      <w:bookmarkStart w:id="117" w:name="_Toc7405063"/>
      <w:bookmarkStart w:id="118" w:name="_Toc117408453"/>
      <w:bookmarkStart w:id="119" w:name="_Toc122759968"/>
      <w:del w:id="120" w:author="svcMRProcess" w:date="2015-11-01T22:30:00Z">
        <w:r>
          <w:rPr>
            <w:snapToGrid w:val="0"/>
          </w:rPr>
          <w:delText>Provisions that have not come into operation</w:delText>
        </w:r>
        <w:bookmarkEnd w:id="116"/>
        <w:bookmarkEnd w:id="117"/>
        <w:bookmarkEnd w:id="118"/>
        <w:bookmarkEnd w:id="11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61"/>
        <w:gridCol w:w="72"/>
        <w:gridCol w:w="1134"/>
        <w:gridCol w:w="2552"/>
      </w:tblGrid>
      <w:tr>
        <w:trPr>
          <w:del w:id="121" w:author="svcMRProcess" w:date="2015-11-01T22:30:00Z"/>
        </w:trPr>
        <w:tc>
          <w:tcPr>
            <w:tcW w:w="2280" w:type="dxa"/>
          </w:tcPr>
          <w:p>
            <w:pPr>
              <w:pStyle w:val="nTable"/>
              <w:rPr>
                <w:del w:id="122" w:author="svcMRProcess" w:date="2015-11-01T22:30:00Z"/>
                <w:b/>
                <w:snapToGrid w:val="0"/>
                <w:lang w:val="en-US"/>
              </w:rPr>
            </w:pPr>
            <w:del w:id="123" w:author="svcMRProcess" w:date="2015-11-01T22:30:00Z">
              <w:r>
                <w:rPr>
                  <w:b/>
                  <w:snapToGrid w:val="0"/>
                  <w:lang w:val="en-US"/>
                </w:rPr>
                <w:delText>Short title</w:delText>
              </w:r>
            </w:del>
          </w:p>
        </w:tc>
        <w:tc>
          <w:tcPr>
            <w:tcW w:w="1061" w:type="dxa"/>
          </w:tcPr>
          <w:p>
            <w:pPr>
              <w:pStyle w:val="nTable"/>
              <w:rPr>
                <w:del w:id="124" w:author="svcMRProcess" w:date="2015-11-01T22:30:00Z"/>
                <w:b/>
                <w:snapToGrid w:val="0"/>
                <w:lang w:val="en-US"/>
              </w:rPr>
            </w:pPr>
            <w:del w:id="125" w:author="svcMRProcess" w:date="2015-11-01T22:30:00Z">
              <w:r>
                <w:rPr>
                  <w:b/>
                  <w:snapToGrid w:val="0"/>
                  <w:lang w:val="en-US"/>
                </w:rPr>
                <w:delText>Number and Year</w:delText>
              </w:r>
            </w:del>
          </w:p>
        </w:tc>
        <w:tc>
          <w:tcPr>
            <w:tcW w:w="1195" w:type="dxa"/>
            <w:gridSpan w:val="2"/>
          </w:tcPr>
          <w:p>
            <w:pPr>
              <w:pStyle w:val="nTable"/>
              <w:rPr>
                <w:del w:id="126" w:author="svcMRProcess" w:date="2015-11-01T22:30:00Z"/>
                <w:b/>
                <w:snapToGrid w:val="0"/>
                <w:lang w:val="en-US"/>
              </w:rPr>
            </w:pPr>
            <w:del w:id="127" w:author="svcMRProcess" w:date="2015-11-01T22:30:00Z">
              <w:r>
                <w:rPr>
                  <w:b/>
                  <w:snapToGrid w:val="0"/>
                  <w:lang w:val="en-US"/>
                </w:rPr>
                <w:delText>Assent</w:delText>
              </w:r>
            </w:del>
          </w:p>
        </w:tc>
        <w:tc>
          <w:tcPr>
            <w:tcW w:w="2552" w:type="dxa"/>
          </w:tcPr>
          <w:p>
            <w:pPr>
              <w:pStyle w:val="nTable"/>
              <w:rPr>
                <w:del w:id="128" w:author="svcMRProcess" w:date="2015-11-01T22:30:00Z"/>
                <w:b/>
                <w:snapToGrid w:val="0"/>
                <w:lang w:val="en-US"/>
              </w:rPr>
            </w:pPr>
            <w:del w:id="129" w:author="svcMRProcess" w:date="2015-11-01T22:30:00Z">
              <w:r>
                <w:rPr>
                  <w:b/>
                  <w:snapToGrid w:val="0"/>
                  <w:lang w:val="en-US"/>
                </w:rPr>
                <w:delText>Commencement</w:delText>
              </w:r>
            </w:del>
          </w:p>
        </w:tc>
      </w:tr>
      <w:tr>
        <w:tblPrEx>
          <w:tblCellMar>
            <w:left w:w="56" w:type="dxa"/>
            <w:right w:w="56" w:type="dxa"/>
          </w:tblCellMar>
        </w:tblPrEx>
        <w:tc>
          <w:tcPr>
            <w:tcW w:w="2266" w:type="dxa"/>
            <w:tcBorders>
              <w:top w:val="nil"/>
              <w:bottom w:val="single" w:sz="8"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del w:id="130" w:author="svcMRProcess" w:date="2015-11-01T22:30:00Z">
              <w:r>
                <w:rPr>
                  <w:iCs/>
                  <w:sz w:val="19"/>
                </w:rPr>
                <w:delText> </w:delText>
              </w:r>
              <w:r>
                <w:rPr>
                  <w:iCs/>
                  <w:sz w:val="19"/>
                  <w:vertAlign w:val="superscript"/>
                </w:rPr>
                <w:delText>3</w:delText>
              </w:r>
            </w:del>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top w:val="nil"/>
              <w:bottom w:val="single" w:sz="8" w:space="0" w:color="auto"/>
            </w:tcBorders>
          </w:tcPr>
          <w:p>
            <w:pPr>
              <w:pStyle w:val="nTable"/>
              <w:spacing w:after="40"/>
              <w:rPr>
                <w:sz w:val="19"/>
              </w:rPr>
            </w:pPr>
            <w:r>
              <w:rPr>
                <w:sz w:val="19"/>
              </w:rPr>
              <w:t>12 Dec 2005</w:t>
            </w:r>
          </w:p>
        </w:tc>
        <w:tc>
          <w:tcPr>
            <w:tcW w:w="2551" w:type="dxa"/>
            <w:tcBorders>
              <w:top w:val="nil"/>
              <w:bottom w:val="single" w:sz="8" w:space="0" w:color="auto"/>
            </w:tcBorders>
          </w:tcPr>
          <w:p>
            <w:pPr>
              <w:pStyle w:val="nTable"/>
              <w:spacing w:after="40"/>
              <w:rPr>
                <w:snapToGrid w:val="0"/>
                <w:sz w:val="19"/>
                <w:lang w:val="en-US"/>
              </w:rPr>
            </w:pPr>
            <w:del w:id="131" w:author="svcMRProcess" w:date="2015-11-01T22:30:00Z">
              <w:r>
                <w:rPr>
                  <w:sz w:val="19"/>
                </w:rPr>
                <w:delText>To be proclaimed</w:delText>
              </w:r>
            </w:del>
            <w:ins w:id="132" w:author="svcMRProcess" w:date="2015-11-01T22:30:00Z">
              <w:r>
                <w:rPr>
                  <w:snapToGrid w:val="0"/>
                  <w:sz w:val="19"/>
                  <w:lang w:val="en-US"/>
                </w:rPr>
                <w:t>9 Apr 2006</w:t>
              </w:r>
            </w:ins>
            <w:r>
              <w:rPr>
                <w:snapToGrid w:val="0"/>
                <w:sz w:val="19"/>
                <w:lang w:val="en-US"/>
              </w:rPr>
              <w:t xml:space="preserve"> (see s. 2</w:t>
            </w:r>
            <w:ins w:id="133" w:author="svcMRProcess" w:date="2015-11-01T22:30: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MiscClose"/>
        <w:rPr>
          <w:snapToGrid w:val="0"/>
        </w:rPr>
      </w:pPr>
      <w:r>
        <w:rPr>
          <w:snapToGrid w:val="0"/>
        </w:rPr>
        <w:t>”.</w:t>
      </w:r>
    </w:p>
    <w:p>
      <w:pPr>
        <w:pStyle w:val="nSubsection"/>
        <w:rPr>
          <w:del w:id="134" w:author="svcMRProcess" w:date="2015-11-01T22:30:00Z"/>
          <w:snapToGrid w:val="0"/>
        </w:rPr>
      </w:pPr>
      <w:del w:id="135" w:author="svcMRProcess" w:date="2015-11-01T22:30:00Z">
        <w:r>
          <w:rPr>
            <w:vertAlign w:val="superscript"/>
          </w:rPr>
          <w:delText>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36" w:author="svcMRProcess" w:date="2015-11-01T22:30:00Z"/>
          <w:snapToGrid w:val="0"/>
        </w:rPr>
      </w:pPr>
      <w:del w:id="137" w:author="svcMRProcess" w:date="2015-11-01T22:30:00Z">
        <w:r>
          <w:rPr>
            <w:snapToGrid w:val="0"/>
          </w:rPr>
          <w:delText>“</w:delText>
        </w:r>
      </w:del>
    </w:p>
    <w:p>
      <w:pPr>
        <w:pStyle w:val="nzHeading5"/>
        <w:rPr>
          <w:del w:id="138" w:author="svcMRProcess" w:date="2015-11-01T22:30:00Z"/>
        </w:rPr>
      </w:pPr>
      <w:bookmarkStart w:id="139" w:name="_Toc476631191"/>
      <w:bookmarkStart w:id="140" w:name="_Toc477066412"/>
      <w:bookmarkStart w:id="141" w:name="_Toc497301942"/>
      <w:bookmarkStart w:id="142" w:name="_Toc83657956"/>
      <w:bookmarkStart w:id="143" w:name="_Toc122243710"/>
      <w:bookmarkStart w:id="144" w:name="_Toc122425166"/>
      <w:del w:id="145" w:author="svcMRProcess" w:date="2015-11-01T22:30:00Z">
        <w:r>
          <w:rPr>
            <w:rStyle w:val="CharSectno"/>
          </w:rPr>
          <w:delText>15</w:delText>
        </w:r>
        <w:r>
          <w:delText>.</w:delText>
        </w:r>
        <w:r>
          <w:tab/>
          <w:delText>Acts in Schedule 2 amended</w:delText>
        </w:r>
        <w:bookmarkEnd w:id="139"/>
        <w:bookmarkEnd w:id="140"/>
        <w:bookmarkEnd w:id="141"/>
        <w:bookmarkEnd w:id="142"/>
        <w:bookmarkEnd w:id="143"/>
        <w:bookmarkEnd w:id="144"/>
      </w:del>
    </w:p>
    <w:p>
      <w:pPr>
        <w:pStyle w:val="nzSubsection"/>
        <w:rPr>
          <w:del w:id="146" w:author="svcMRProcess" w:date="2015-11-01T22:30:00Z"/>
        </w:rPr>
      </w:pPr>
      <w:del w:id="147" w:author="svcMRProcess" w:date="2015-11-01T22:30:00Z">
        <w:r>
          <w:tab/>
        </w:r>
        <w:r>
          <w:tab/>
          <w:delText>The Acts mentioned in Schedule 2 are amended as set out in that Schedule.</w:delText>
        </w:r>
      </w:del>
    </w:p>
    <w:p>
      <w:pPr>
        <w:pStyle w:val="MiscClose"/>
        <w:rPr>
          <w:del w:id="148" w:author="svcMRProcess" w:date="2015-11-01T22:30:00Z"/>
          <w:snapToGrid w:val="0"/>
        </w:rPr>
      </w:pPr>
      <w:del w:id="149" w:author="svcMRProcess" w:date="2015-11-01T22:30:00Z">
        <w:r>
          <w:rPr>
            <w:snapToGrid w:val="0"/>
          </w:rPr>
          <w:delText>”.</w:delText>
        </w:r>
      </w:del>
    </w:p>
    <w:p>
      <w:pPr>
        <w:pStyle w:val="nSubsection"/>
        <w:rPr>
          <w:del w:id="150" w:author="svcMRProcess" w:date="2015-11-01T22:30:00Z"/>
        </w:rPr>
      </w:pPr>
      <w:del w:id="151" w:author="svcMRProcess" w:date="2015-11-01T22:30:00Z">
        <w:r>
          <w:tab/>
          <w:delText>Schedule 2, cl. 38 reads as follows:</w:delText>
        </w:r>
      </w:del>
    </w:p>
    <w:p>
      <w:pPr>
        <w:pStyle w:val="MiscOpen"/>
        <w:rPr>
          <w:del w:id="152" w:author="svcMRProcess" w:date="2015-11-01T22:30:00Z"/>
        </w:rPr>
      </w:pPr>
      <w:del w:id="153" w:author="svcMRProcess" w:date="2015-11-01T22:30:00Z">
        <w:r>
          <w:delText>“</w:delText>
        </w:r>
      </w:del>
    </w:p>
    <w:p>
      <w:pPr>
        <w:pStyle w:val="nzHeading2"/>
        <w:rPr>
          <w:del w:id="154" w:author="svcMRProcess" w:date="2015-11-01T22:30:00Z"/>
        </w:rPr>
      </w:pPr>
      <w:bookmarkStart w:id="155" w:name="_Toc122243734"/>
      <w:bookmarkStart w:id="156" w:name="_Toc122425190"/>
      <w:del w:id="157" w:author="svcMRProcess" w:date="2015-11-01T22:30: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55"/>
        <w:bookmarkEnd w:id="156"/>
      </w:del>
    </w:p>
    <w:p>
      <w:pPr>
        <w:pStyle w:val="nzMiscellaneousBody"/>
        <w:jc w:val="right"/>
        <w:rPr>
          <w:del w:id="158" w:author="svcMRProcess" w:date="2015-11-01T22:30:00Z"/>
        </w:rPr>
      </w:pPr>
      <w:del w:id="159" w:author="svcMRProcess" w:date="2015-11-01T22:30:00Z">
        <w:r>
          <w:delText>[s.</w:delText>
        </w:r>
        <w:bookmarkStart w:id="160" w:name="_Hlt485012328"/>
        <w:r>
          <w:delText> 15</w:delText>
        </w:r>
        <w:bookmarkEnd w:id="160"/>
        <w:r>
          <w:delText>]</w:delText>
        </w:r>
      </w:del>
    </w:p>
    <w:p>
      <w:pPr>
        <w:pStyle w:val="nzHeading5"/>
        <w:rPr>
          <w:del w:id="161" w:author="svcMRProcess" w:date="2015-11-01T22:30:00Z"/>
        </w:rPr>
      </w:pPr>
      <w:bookmarkStart w:id="162" w:name="_Toc476631237"/>
      <w:bookmarkStart w:id="163" w:name="_Toc477066457"/>
      <w:bookmarkStart w:id="164" w:name="_Toc497301985"/>
      <w:bookmarkStart w:id="165" w:name="_Toc83658049"/>
      <w:bookmarkStart w:id="166" w:name="_Toc122243772"/>
      <w:bookmarkStart w:id="167" w:name="_Toc122425228"/>
      <w:del w:id="168" w:author="svcMRProcess" w:date="2015-11-01T22:30:00Z">
        <w:r>
          <w:rPr>
            <w:rStyle w:val="CharSClsNo"/>
            <w:sz w:val="20"/>
          </w:rPr>
          <w:delText>38</w:delText>
        </w:r>
        <w:r>
          <w:delText>.</w:delText>
        </w:r>
        <w:r>
          <w:tab/>
        </w:r>
        <w:r>
          <w:rPr>
            <w:i/>
          </w:rPr>
          <w:delText>Marine and Harbours Act 1981</w:delText>
        </w:r>
        <w:bookmarkEnd w:id="162"/>
        <w:bookmarkEnd w:id="163"/>
        <w:bookmarkEnd w:id="164"/>
        <w:bookmarkEnd w:id="165"/>
        <w:bookmarkEnd w:id="166"/>
        <w:bookmarkEnd w:id="167"/>
      </w:del>
    </w:p>
    <w:p>
      <w:pPr>
        <w:pStyle w:val="nzSubsection"/>
        <w:rPr>
          <w:del w:id="169" w:author="svcMRProcess" w:date="2015-11-01T22:30:00Z"/>
        </w:rPr>
      </w:pPr>
      <w:del w:id="170" w:author="svcMRProcess" w:date="2015-11-01T22:30:00Z">
        <w:r>
          <w:tab/>
        </w:r>
        <w:r>
          <w:tab/>
          <w:delText xml:space="preserve">Section 12(3) is amended by deleting “made under the </w:delText>
        </w:r>
        <w:r>
          <w:rPr>
            <w:i/>
          </w:rPr>
          <w:delText>Metropolitan Region Town Planning Scheme Act 1959</w:delText>
        </w:r>
        <w:r>
          <w:delText xml:space="preserve">” and inserting instead — </w:delText>
        </w:r>
      </w:del>
    </w:p>
    <w:p>
      <w:pPr>
        <w:pStyle w:val="MiscOpen"/>
        <w:ind w:left="879"/>
        <w:rPr>
          <w:del w:id="171" w:author="svcMRProcess" w:date="2015-11-01T22:30:00Z"/>
          <w:sz w:val="22"/>
        </w:rPr>
      </w:pPr>
      <w:del w:id="172" w:author="svcMRProcess" w:date="2015-11-01T22:30:00Z">
        <w:r>
          <w:rPr>
            <w:sz w:val="22"/>
          </w:rPr>
          <w:delText xml:space="preserve">“    </w:delText>
        </w:r>
      </w:del>
    </w:p>
    <w:p>
      <w:pPr>
        <w:pStyle w:val="nzSubsection"/>
        <w:rPr>
          <w:del w:id="173" w:author="svcMRProcess" w:date="2015-11-01T22:30:00Z"/>
        </w:rPr>
      </w:pPr>
      <w:del w:id="174" w:author="svcMRProcess" w:date="2015-11-01T22:30:00Z">
        <w:r>
          <w:tab/>
        </w:r>
        <w:r>
          <w:tab/>
          <w:delText xml:space="preserve">as that term is defined in the </w:delText>
        </w:r>
        <w:r>
          <w:rPr>
            <w:i/>
          </w:rPr>
          <w:delText>Planning and Development Act 2005</w:delText>
        </w:r>
      </w:del>
    </w:p>
    <w:p>
      <w:pPr>
        <w:pStyle w:val="MiscClose"/>
        <w:ind w:right="136"/>
        <w:rPr>
          <w:del w:id="175" w:author="svcMRProcess" w:date="2015-11-01T22:30:00Z"/>
          <w:sz w:val="22"/>
        </w:rPr>
      </w:pPr>
      <w:del w:id="176" w:author="svcMRProcess" w:date="2015-11-01T22:30:00Z">
        <w:r>
          <w:rPr>
            <w:sz w:val="22"/>
          </w:rPr>
          <w:delText xml:space="preserve">    ”.</w:delText>
        </w:r>
      </w:del>
    </w:p>
    <w:p>
      <w:pPr>
        <w:pStyle w:val="MiscClose"/>
        <w:rPr>
          <w:del w:id="177" w:author="svcMRProcess" w:date="2015-11-01T22:30:00Z"/>
          <w:snapToGrid w:val="0"/>
        </w:rPr>
      </w:pPr>
      <w:del w:id="178" w:author="svcMRProcess" w:date="2015-11-01T22:30: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179" w:name="UpToHere"/>
      <w:bookmarkEnd w:id="179"/>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Marine and Harbours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Marine and Harbours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5CE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C255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F9881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FA2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DA35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DEE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147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F88A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401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C51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C24D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86A13E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5225</Words>
  <Characters>25028</Characters>
  <Application>Microsoft Office Word</Application>
  <DocSecurity>0</DocSecurity>
  <Lines>715</Lines>
  <Paragraphs>373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02-b0-02 - 02-c0-02</dc:title>
  <dc:subject/>
  <dc:creator/>
  <cp:keywords/>
  <dc:description/>
  <cp:lastModifiedBy>svcMRProcess</cp:lastModifiedBy>
  <cp:revision>2</cp:revision>
  <cp:lastPrinted>2004-05-07T03:52:00Z</cp:lastPrinted>
  <dcterms:created xsi:type="dcterms:W3CDTF">2015-11-01T14:30:00Z</dcterms:created>
  <dcterms:modified xsi:type="dcterms:W3CDTF">2015-11-01T14:30:00Z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475</vt:i4>
  </property>
  <property fmtid="{D5CDD505-2E9C-101B-9397-08002B2CF9AE}" pid="6" name="FromSuffix">
    <vt:lpwstr>02-b0-02</vt:lpwstr>
  </property>
  <property fmtid="{D5CDD505-2E9C-101B-9397-08002B2CF9AE}" pid="7" name="FromAsAtDate">
    <vt:lpwstr>12 Dec 2005</vt:lpwstr>
  </property>
  <property fmtid="{D5CDD505-2E9C-101B-9397-08002B2CF9AE}" pid="8" name="ToSuffix">
    <vt:lpwstr>02-c0-02</vt:lpwstr>
  </property>
  <property fmtid="{D5CDD505-2E9C-101B-9397-08002B2CF9AE}" pid="9" name="ToAsAtDate">
    <vt:lpwstr>09 Apr 2006</vt:lpwstr>
  </property>
</Properties>
</file>