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Director of Public Prosecutions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Director of Public Prosecutions Act 1991</w:t>
      </w:r>
    </w:p>
    <w:p>
      <w:pPr>
        <w:pStyle w:val="LongTitle"/>
        <w:rPr>
          <w:snapToGrid w:val="0"/>
        </w:rPr>
      </w:pPr>
      <w:r>
        <w:rPr>
          <w:snapToGrid w:val="0"/>
        </w:rPr>
        <w:t>A</w:t>
      </w:r>
      <w:bookmarkStart w:id="0" w:name="_GoBack"/>
      <w:bookmarkEnd w:id="0"/>
      <w:r>
        <w:rPr>
          <w:snapToGrid w:val="0"/>
        </w:rPr>
        <w:t>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bookmarkStart w:id="9" w:name="_Toc180471204"/>
      <w:bookmarkStart w:id="10" w:name="_Toc180567377"/>
      <w:bookmarkStart w:id="11" w:name="_Toc196732634"/>
      <w:bookmarkStart w:id="12" w:name="_Toc199753221"/>
      <w:bookmarkStart w:id="13" w:name="_Toc22384568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07476620"/>
      <w:bookmarkStart w:id="15" w:name="_Toc515349859"/>
      <w:bookmarkStart w:id="16" w:name="_Toc118520737"/>
      <w:bookmarkStart w:id="17" w:name="_Toc223845683"/>
      <w:bookmarkStart w:id="18" w:name="_Toc199753222"/>
      <w:r>
        <w:rPr>
          <w:rStyle w:val="CharSectno"/>
        </w:rPr>
        <w:t>1</w:t>
      </w:r>
      <w:r>
        <w:rPr>
          <w:snapToGrid w:val="0"/>
        </w:rPr>
        <w:t>.</w:t>
      </w:r>
      <w:r>
        <w:rPr>
          <w:snapToGrid w:val="0"/>
        </w:rPr>
        <w:tab/>
        <w:t>Short title</w:t>
      </w:r>
      <w:bookmarkEnd w:id="14"/>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pPr>
        <w:pStyle w:val="Heading5"/>
        <w:rPr>
          <w:snapToGrid w:val="0"/>
        </w:rPr>
      </w:pPr>
      <w:bookmarkStart w:id="19" w:name="_Toc507476621"/>
      <w:bookmarkStart w:id="20" w:name="_Toc515349860"/>
      <w:bookmarkStart w:id="21" w:name="_Toc118520738"/>
      <w:bookmarkStart w:id="22" w:name="_Toc223845684"/>
      <w:bookmarkStart w:id="23" w:name="_Toc199753223"/>
      <w:r>
        <w:rPr>
          <w:rStyle w:val="CharSectno"/>
        </w:rPr>
        <w:t>2</w:t>
      </w:r>
      <w:r>
        <w:rPr>
          <w:snapToGrid w:val="0"/>
        </w:rPr>
        <w:t>.</w:t>
      </w:r>
      <w:r>
        <w:rPr>
          <w:snapToGrid w:val="0"/>
        </w:rPr>
        <w:tab/>
        <w:t>Commencement</w:t>
      </w:r>
      <w:bookmarkEnd w:id="19"/>
      <w:bookmarkEnd w:id="20"/>
      <w:bookmarkEnd w:id="21"/>
      <w:bookmarkEnd w:id="22"/>
      <w:bookmarkEnd w:id="23"/>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24" w:name="_Toc507476622"/>
      <w:bookmarkStart w:id="25" w:name="_Toc515349861"/>
      <w:bookmarkStart w:id="26" w:name="_Toc118520739"/>
      <w:bookmarkStart w:id="27" w:name="_Toc223845685"/>
      <w:bookmarkStart w:id="28" w:name="_Toc199753224"/>
      <w:r>
        <w:rPr>
          <w:rStyle w:val="CharSectno"/>
        </w:rPr>
        <w:t>3</w:t>
      </w:r>
      <w:r>
        <w:rPr>
          <w:snapToGrid w:val="0"/>
        </w:rPr>
        <w:t>.</w:t>
      </w:r>
      <w:r>
        <w:rPr>
          <w:snapToGrid w:val="0"/>
        </w:rPr>
        <w:tab/>
        <w:t>Interpretation</w:t>
      </w:r>
      <w:bookmarkEnd w:id="24"/>
      <w:bookmarkEnd w:id="25"/>
      <w:bookmarkEnd w:id="26"/>
      <w:bookmarkEnd w:id="27"/>
      <w:bookmarkEnd w:id="28"/>
    </w:p>
    <w:p>
      <w:pPr>
        <w:pStyle w:val="Subsection"/>
        <w:rPr>
          <w:snapToGrid w:val="0"/>
        </w:rPr>
      </w:pPr>
      <w:r>
        <w:rPr>
          <w:snapToGrid w:val="0"/>
        </w:rPr>
        <w:tab/>
      </w:r>
      <w:r>
        <w:rPr>
          <w:snapToGrid w:val="0"/>
        </w:rPr>
        <w:tab/>
        <w:t>In this Act, unless the contrary intention appears —</w:t>
      </w:r>
    </w:p>
    <w:p>
      <w:pPr>
        <w:pStyle w:val="Defstart"/>
        <w:rPr>
          <w:ins w:id="29" w:author="svcMRProcess" w:date="2015-12-13T11:11:00Z"/>
        </w:rPr>
      </w:pPr>
      <w:ins w:id="30" w:author="svcMRProcess" w:date="2015-12-13T11:11:00Z">
        <w:r>
          <w:rPr>
            <w:b/>
          </w:rPr>
          <w:tab/>
        </w:r>
        <w:r>
          <w:rPr>
            <w:rStyle w:val="CharDefText"/>
          </w:rPr>
          <w:t>Australian lawyer</w:t>
        </w:r>
        <w:r>
          <w:t xml:space="preserve"> has the meaning given in the </w:t>
        </w:r>
        <w:r>
          <w:rPr>
            <w:i/>
            <w:iCs/>
          </w:rPr>
          <w:t>Legal Profession Act 2008</w:t>
        </w:r>
        <w:r>
          <w:t xml:space="preserve"> section 3;</w:t>
        </w:r>
      </w:ins>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w:t>
      </w:r>
      <w:del w:id="31" w:author="svcMRProcess" w:date="2015-12-13T11:11:00Z">
        <w:r>
          <w:delText>a</w:delText>
        </w:r>
      </w:del>
      <w:ins w:id="32" w:author="svcMRProcess" w:date="2015-12-13T11:11:00Z">
        <w:r>
          <w:t>an Australian</w:t>
        </w:r>
      </w:ins>
      <w:r>
        <w:t xml:space="preserve"> legal practitioner </w:t>
      </w:r>
      <w:del w:id="33" w:author="svcMRProcess" w:date="2015-12-13T11:11:00Z">
        <w:r>
          <w:delText>as defined</w:delText>
        </w:r>
      </w:del>
      <w:ins w:id="34" w:author="svcMRProcess" w:date="2015-12-13T11:11:00Z">
        <w:r>
          <w:t>within the meaning of that term</w:t>
        </w:r>
      </w:ins>
      <w:r>
        <w:t xml:space="preserve"> in the </w:t>
      </w:r>
      <w:r>
        <w:rPr>
          <w:i/>
          <w:iCs/>
        </w:rPr>
        <w:t xml:space="preserve">Legal </w:t>
      </w:r>
      <w:del w:id="35" w:author="svcMRProcess" w:date="2015-12-13T11:11:00Z">
        <w:r>
          <w:rPr>
            <w:i/>
          </w:rPr>
          <w:delText>Practice</w:delText>
        </w:r>
      </w:del>
      <w:ins w:id="36" w:author="svcMRProcess" w:date="2015-12-13T11:11:00Z">
        <w:r>
          <w:rPr>
            <w:i/>
            <w:iCs/>
          </w:rPr>
          <w:t>Profession</w:t>
        </w:r>
      </w:ins>
      <w:r>
        <w:rPr>
          <w:i/>
          <w:iCs/>
        </w:rPr>
        <w:t xml:space="preserve"> Act </w:t>
      </w:r>
      <w:del w:id="37" w:author="svcMRProcess" w:date="2015-12-13T11:11:00Z">
        <w:r>
          <w:rPr>
            <w:i/>
          </w:rPr>
          <w:delText>2003</w:delText>
        </w:r>
      </w:del>
      <w:ins w:id="38" w:author="svcMRProcess" w:date="2015-12-13T11:11:00Z">
        <w:r>
          <w:rPr>
            <w:i/>
            <w:iCs/>
          </w:rPr>
          <w:t>2008</w:t>
        </w:r>
        <w:r>
          <w:t xml:space="preserve"> section 3</w:t>
        </w:r>
      </w:ins>
      <w:r>
        <w:t>;</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by No. 32 of 1994 s. 19; No. 65 of 2003 s. 31(2</w:t>
      </w:r>
      <w:ins w:id="39" w:author="svcMRProcess" w:date="2015-12-13T11:11:00Z">
        <w:r>
          <w:t>); No. 21 of 2008 s. 659(2</w:t>
        </w:r>
      </w:ins>
      <w:r>
        <w:t>).]</w:t>
      </w:r>
    </w:p>
    <w:p>
      <w:pPr>
        <w:pStyle w:val="Heading2"/>
      </w:pPr>
      <w:bookmarkStart w:id="40" w:name="_Toc84823965"/>
      <w:bookmarkStart w:id="41" w:name="_Toc89512262"/>
      <w:bookmarkStart w:id="42" w:name="_Toc102277725"/>
      <w:bookmarkStart w:id="43" w:name="_Toc102719125"/>
      <w:bookmarkStart w:id="44" w:name="_Toc116955537"/>
      <w:bookmarkStart w:id="45" w:name="_Toc117650320"/>
      <w:bookmarkStart w:id="46" w:name="_Toc118514509"/>
      <w:bookmarkStart w:id="47" w:name="_Toc118520740"/>
      <w:bookmarkStart w:id="48" w:name="_Toc180471208"/>
      <w:bookmarkStart w:id="49" w:name="_Toc180567381"/>
      <w:bookmarkStart w:id="50" w:name="_Toc196732638"/>
      <w:bookmarkStart w:id="51" w:name="_Toc199753225"/>
      <w:bookmarkStart w:id="52" w:name="_Toc223845686"/>
      <w:r>
        <w:rPr>
          <w:rStyle w:val="CharPartNo"/>
        </w:rPr>
        <w:t>Part 2</w:t>
      </w:r>
      <w:r>
        <w:rPr>
          <w:rStyle w:val="CharDivNo"/>
        </w:rPr>
        <w:t> </w:t>
      </w:r>
      <w:r>
        <w:t>—</w:t>
      </w:r>
      <w:r>
        <w:rPr>
          <w:rStyle w:val="CharDivText"/>
        </w:rPr>
        <w:t> </w:t>
      </w:r>
      <w:r>
        <w:rPr>
          <w:rStyle w:val="CharPartText"/>
        </w:rPr>
        <w:t>Office of Director, and Deputy Director, of Public Prosecutions</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507476623"/>
      <w:bookmarkStart w:id="54" w:name="_Toc515349862"/>
      <w:bookmarkStart w:id="55" w:name="_Toc118520741"/>
      <w:bookmarkStart w:id="56" w:name="_Toc223845687"/>
      <w:bookmarkStart w:id="57" w:name="_Toc199753226"/>
      <w:r>
        <w:rPr>
          <w:rStyle w:val="CharSectno"/>
        </w:rPr>
        <w:t>4</w:t>
      </w:r>
      <w:r>
        <w:rPr>
          <w:snapToGrid w:val="0"/>
        </w:rPr>
        <w:t>.</w:t>
      </w:r>
      <w:r>
        <w:rPr>
          <w:snapToGrid w:val="0"/>
        </w:rPr>
        <w:tab/>
        <w:t>Office of Director and Deputy Director</w:t>
      </w:r>
      <w:bookmarkEnd w:id="53"/>
      <w:bookmarkEnd w:id="54"/>
      <w:bookmarkEnd w:id="55"/>
      <w:bookmarkEnd w:id="56"/>
      <w:bookmarkEnd w:id="57"/>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58" w:name="_Toc507476624"/>
      <w:bookmarkStart w:id="59" w:name="_Toc515349863"/>
      <w:bookmarkStart w:id="60" w:name="_Toc118520742"/>
      <w:bookmarkStart w:id="61" w:name="_Toc223845688"/>
      <w:bookmarkStart w:id="62" w:name="_Toc199753227"/>
      <w:r>
        <w:rPr>
          <w:rStyle w:val="CharSectno"/>
        </w:rPr>
        <w:t>5</w:t>
      </w:r>
      <w:r>
        <w:rPr>
          <w:snapToGrid w:val="0"/>
        </w:rPr>
        <w:t>.</w:t>
      </w:r>
      <w:r>
        <w:rPr>
          <w:snapToGrid w:val="0"/>
        </w:rPr>
        <w:tab/>
        <w:t>Appointments</w:t>
      </w:r>
      <w:bookmarkEnd w:id="58"/>
      <w:bookmarkEnd w:id="59"/>
      <w:bookmarkEnd w:id="60"/>
      <w:bookmarkEnd w:id="61"/>
      <w:bookmarkEnd w:id="62"/>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rPr>
          <w:ins w:id="63" w:author="svcMRProcess" w:date="2015-12-13T11:11:00Z"/>
        </w:rPr>
      </w:pPr>
      <w:r>
        <w:tab/>
        <w:t>(2)</w:t>
      </w:r>
      <w:r>
        <w:tab/>
        <w:t xml:space="preserve">A person </w:t>
      </w:r>
      <w:del w:id="64" w:author="svcMRProcess" w:date="2015-12-13T11:11:00Z">
        <w:r>
          <w:rPr>
            <w:snapToGrid w:val="0"/>
          </w:rPr>
          <w:delText>so appointed must be a</w:delText>
        </w:r>
        <w:r>
          <w:delText xml:space="preserve"> legal practitioner or a barrister or solicitor</w:delText>
        </w:r>
      </w:del>
      <w:ins w:id="65" w:author="svcMRProcess" w:date="2015-12-13T11:11:00Z">
        <w:r>
          <w:t>is eligible for appointment to the office</w:t>
        </w:r>
      </w:ins>
      <w:r>
        <w:t xml:space="preserve"> of </w:t>
      </w:r>
      <w:del w:id="66" w:author="svcMRProcess" w:date="2015-12-13T11:11:00Z">
        <w:r>
          <w:delText>the Supreme Court of another State or a Territory</w:delText>
        </w:r>
        <w:r>
          <w:rPr>
            <w:snapToGrid w:val="0"/>
          </w:rPr>
          <w:delText xml:space="preserve">, and in the case of the </w:delText>
        </w:r>
      </w:del>
      <w:r>
        <w:t xml:space="preserve">Director </w:t>
      </w:r>
      <w:del w:id="67" w:author="svcMRProcess" w:date="2015-12-13T11:11:00Z">
        <w:r>
          <w:rPr>
            <w:snapToGrid w:val="0"/>
          </w:rPr>
          <w:delText xml:space="preserve">must be a practitioner of </w:delText>
        </w:r>
      </w:del>
      <w:ins w:id="68" w:author="svcMRProcess" w:date="2015-12-13T11:11:00Z">
        <w:r>
          <w:t xml:space="preserve">if that person is an Australian lawyer and has had </w:t>
        </w:r>
      </w:ins>
      <w:r>
        <w:t xml:space="preserve">not less than 8 years’ </w:t>
      </w:r>
      <w:ins w:id="69" w:author="svcMRProcess" w:date="2015-12-13T11:11:00Z">
        <w:r>
          <w:t>legal experience.</w:t>
        </w:r>
      </w:ins>
    </w:p>
    <w:p>
      <w:pPr>
        <w:pStyle w:val="Subsection"/>
        <w:rPr>
          <w:ins w:id="70" w:author="svcMRProcess" w:date="2015-12-13T11:11:00Z"/>
        </w:rPr>
      </w:pPr>
      <w:ins w:id="71" w:author="svcMRProcess" w:date="2015-12-13T11:11:00Z">
        <w:r>
          <w:tab/>
          <w:t>(3)</w:t>
        </w:r>
        <w:r>
          <w:tab/>
          <w:t>A person is eligible for appointment to the office of Deputy Director if that person is an Australian lawyer and has had not less than 5 years’ legal experience.</w:t>
        </w:r>
      </w:ins>
    </w:p>
    <w:p>
      <w:pPr>
        <w:pStyle w:val="Subsection"/>
        <w:rPr>
          <w:ins w:id="72" w:author="svcMRProcess" w:date="2015-12-13T11:11:00Z"/>
        </w:rPr>
      </w:pPr>
      <w:ins w:id="73" w:author="svcMRProcess" w:date="2015-12-13T11:11:00Z">
        <w:r>
          <w:tab/>
          <w:t>(4)</w:t>
        </w:r>
        <w:r>
          <w:tab/>
          <w:t xml:space="preserve">In subsections (2) and (3) — </w:t>
        </w:r>
      </w:ins>
    </w:p>
    <w:p>
      <w:pPr>
        <w:pStyle w:val="Defstart"/>
        <w:rPr>
          <w:ins w:id="74" w:author="svcMRProcess" w:date="2015-12-13T11:11:00Z"/>
        </w:rPr>
      </w:pPr>
      <w:ins w:id="75" w:author="svcMRProcess" w:date="2015-12-13T11:11:00Z">
        <w:r>
          <w:rPr>
            <w:b/>
          </w:rPr>
          <w:tab/>
        </w:r>
        <w:r>
          <w:rPr>
            <w:rStyle w:val="CharDefText"/>
          </w:rPr>
          <w:t>legal experience</w:t>
        </w:r>
        <w:r>
          <w:rPr>
            <w:b/>
            <w:bCs/>
          </w:rPr>
          <w:t xml:space="preserve"> </w:t>
        </w:r>
        <w:r>
          <w:t xml:space="preserve">means — </w:t>
        </w:r>
      </w:ins>
    </w:p>
    <w:p>
      <w:pPr>
        <w:pStyle w:val="Defpara"/>
      </w:pPr>
      <w:ins w:id="76" w:author="svcMRProcess" w:date="2015-12-13T11:11:00Z">
        <w:r>
          <w:tab/>
          <w:t>(a)</w:t>
        </w:r>
        <w:r>
          <w:tab/>
        </w:r>
      </w:ins>
      <w:r>
        <w:t>standing and practice</w:t>
      </w:r>
      <w:del w:id="77" w:author="svcMRProcess" w:date="2015-12-13T11:11:00Z">
        <w:r>
          <w:delText>.</w:delText>
        </w:r>
      </w:del>
      <w:ins w:id="78" w:author="svcMRProcess" w:date="2015-12-13T11:11:00Z">
        <w:r>
          <w:t xml:space="preserve"> as a legal practitioner; or</w:t>
        </w:r>
      </w:ins>
    </w:p>
    <w:p>
      <w:pPr>
        <w:pStyle w:val="Defpara"/>
        <w:rPr>
          <w:ins w:id="79" w:author="svcMRProcess" w:date="2015-12-13T11:11:00Z"/>
        </w:rPr>
      </w:pPr>
      <w:ins w:id="80" w:author="svcMRProcess" w:date="2015-12-13T11:11:00Z">
        <w:r>
          <w:tab/>
          <w:t>(b)</w:t>
        </w:r>
        <w:r>
          <w:tab/>
          <w:t>judicial service (including service as a judge of a court, a magistrate or other judicial officer) in the State or elsewhere in a common law jurisdiction; or</w:t>
        </w:r>
      </w:ins>
    </w:p>
    <w:p>
      <w:pPr>
        <w:pStyle w:val="Defpara"/>
        <w:rPr>
          <w:ins w:id="81" w:author="svcMRProcess" w:date="2015-12-13T11:11:00Z"/>
        </w:rPr>
      </w:pPr>
      <w:ins w:id="82" w:author="svcMRProcess" w:date="2015-12-13T11:11:00Z">
        <w:r>
          <w:tab/>
          <w:t>(c)</w:t>
        </w:r>
        <w:r>
          <w:tab/>
          <w:t>a combination of both kinds of legal experience mentioned in paragraphs (a) and (b).</w:t>
        </w:r>
      </w:ins>
    </w:p>
    <w:p>
      <w:pPr>
        <w:pStyle w:val="Footnotesection"/>
      </w:pPr>
      <w:r>
        <w:tab/>
        <w:t>[Section 5 amended by No. 42 of 1997 s. 8; No. 65 of 2003 s. 110(2</w:t>
      </w:r>
      <w:ins w:id="83" w:author="svcMRProcess" w:date="2015-12-13T11:11:00Z">
        <w:r>
          <w:t>); No. 21 of 2008 s. 659(3</w:t>
        </w:r>
      </w:ins>
      <w:r>
        <w:t>).]</w:t>
      </w:r>
    </w:p>
    <w:p>
      <w:pPr>
        <w:pStyle w:val="Heading5"/>
        <w:rPr>
          <w:snapToGrid w:val="0"/>
        </w:rPr>
      </w:pPr>
      <w:bookmarkStart w:id="84" w:name="_Toc507476625"/>
      <w:bookmarkStart w:id="85" w:name="_Toc515349864"/>
      <w:bookmarkStart w:id="86" w:name="_Toc118520743"/>
      <w:bookmarkStart w:id="87" w:name="_Toc223845689"/>
      <w:bookmarkStart w:id="88" w:name="_Toc199753228"/>
      <w:r>
        <w:rPr>
          <w:rStyle w:val="CharSectno"/>
        </w:rPr>
        <w:t>6</w:t>
      </w:r>
      <w:r>
        <w:rPr>
          <w:snapToGrid w:val="0"/>
        </w:rPr>
        <w:t>.</w:t>
      </w:r>
      <w:r>
        <w:rPr>
          <w:snapToGrid w:val="0"/>
        </w:rPr>
        <w:tab/>
        <w:t>Deputy Director may perform Director’s functions</w:t>
      </w:r>
      <w:bookmarkEnd w:id="84"/>
      <w:bookmarkEnd w:id="85"/>
      <w:bookmarkEnd w:id="86"/>
      <w:bookmarkEnd w:id="87"/>
      <w:bookmarkEnd w:id="88"/>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89" w:name="_Toc507476626"/>
      <w:bookmarkStart w:id="90" w:name="_Toc515349865"/>
      <w:bookmarkStart w:id="91" w:name="_Toc118520744"/>
      <w:bookmarkStart w:id="92" w:name="_Toc223845690"/>
      <w:bookmarkStart w:id="93" w:name="_Toc199753229"/>
      <w:r>
        <w:rPr>
          <w:rStyle w:val="CharSectno"/>
        </w:rPr>
        <w:t>7</w:t>
      </w:r>
      <w:r>
        <w:rPr>
          <w:snapToGrid w:val="0"/>
        </w:rPr>
        <w:t>.</w:t>
      </w:r>
      <w:r>
        <w:rPr>
          <w:snapToGrid w:val="0"/>
        </w:rPr>
        <w:tab/>
        <w:t>Director’s tenure, salary, etc.</w:t>
      </w:r>
      <w:bookmarkEnd w:id="89"/>
      <w:bookmarkEnd w:id="90"/>
      <w:bookmarkEnd w:id="91"/>
      <w:bookmarkEnd w:id="92"/>
      <w:bookmarkEnd w:id="93"/>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94" w:name="_Toc507476627"/>
      <w:bookmarkStart w:id="95" w:name="_Toc515349866"/>
      <w:bookmarkStart w:id="96" w:name="_Toc118520745"/>
      <w:bookmarkStart w:id="97" w:name="_Toc223845691"/>
      <w:bookmarkStart w:id="98" w:name="_Toc199753230"/>
      <w:r>
        <w:rPr>
          <w:rStyle w:val="CharSectno"/>
        </w:rPr>
        <w:t>8</w:t>
      </w:r>
      <w:r>
        <w:rPr>
          <w:snapToGrid w:val="0"/>
        </w:rPr>
        <w:t>.</w:t>
      </w:r>
      <w:r>
        <w:rPr>
          <w:snapToGrid w:val="0"/>
        </w:rPr>
        <w:tab/>
        <w:t>Acting appointments</w:t>
      </w:r>
      <w:bookmarkEnd w:id="94"/>
      <w:bookmarkEnd w:id="95"/>
      <w:bookmarkEnd w:id="96"/>
      <w:bookmarkEnd w:id="97"/>
      <w:bookmarkEnd w:id="98"/>
    </w:p>
    <w:p>
      <w:pPr>
        <w:pStyle w:val="Subsection"/>
        <w:keepNext/>
        <w:rPr>
          <w:snapToGrid w:val="0"/>
        </w:rPr>
      </w:pPr>
      <w:r>
        <w:rPr>
          <w:snapToGrid w:val="0"/>
        </w:rPr>
        <w:tab/>
        <w:t>(1)</w:t>
      </w:r>
      <w:r>
        <w:rPr>
          <w:snapToGrid w:val="0"/>
        </w:rPr>
        <w:tab/>
        <w:t xml:space="preserve">The Governor may appoint a </w:t>
      </w:r>
      <w:del w:id="99" w:author="svcMRProcess" w:date="2015-12-13T11:11:00Z">
        <w:r>
          <w:rPr>
            <w:snapToGrid w:val="0"/>
          </w:rPr>
          <w:delText>legal practitioner</w:delText>
        </w:r>
      </w:del>
      <w:ins w:id="100" w:author="svcMRProcess" w:date="2015-12-13T11:11:00Z">
        <w:r>
          <w:rPr>
            <w:snapToGrid w:val="0"/>
          </w:rPr>
          <w:t>person</w:t>
        </w:r>
      </w:ins>
      <w:r>
        <w:rPr>
          <w:snapToGrid w:val="0"/>
        </w:rPr>
        <w:t xml:space="preserve">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 xml:space="preserve">The Governor may appoint a </w:t>
      </w:r>
      <w:del w:id="101" w:author="svcMRProcess" w:date="2015-12-13T11:11:00Z">
        <w:r>
          <w:rPr>
            <w:snapToGrid w:val="0"/>
          </w:rPr>
          <w:delText>legal practitioner</w:delText>
        </w:r>
      </w:del>
      <w:ins w:id="102" w:author="svcMRProcess" w:date="2015-12-13T11:11:00Z">
        <w:r>
          <w:rPr>
            <w:snapToGrid w:val="0"/>
          </w:rPr>
          <w:t>person</w:t>
        </w:r>
      </w:ins>
      <w:r>
        <w:rPr>
          <w:snapToGrid w:val="0"/>
        </w:rPr>
        <w:t xml:space="preserve">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w:t>
      </w:r>
    </w:p>
    <w:p>
      <w:pPr>
        <w:pStyle w:val="Indenta"/>
        <w:rPr>
          <w:snapToGrid w:val="0"/>
        </w:rPr>
      </w:pPr>
      <w:r>
        <w:rPr>
          <w:snapToGrid w:val="0"/>
        </w:rPr>
        <w:tab/>
        <w:t>(b)</w:t>
      </w:r>
      <w:r>
        <w:rPr>
          <w:snapToGrid w:val="0"/>
        </w:rPr>
        <w:tab/>
        <w:t>there is a defect or irregularity in the appointment;</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rPr>
          <w:ins w:id="103" w:author="svcMRProcess" w:date="2015-12-13T11:11:00Z"/>
        </w:rPr>
      </w:pPr>
      <w:ins w:id="104" w:author="svcMRProcess" w:date="2015-12-13T11:11:00Z">
        <w:r>
          <w:tab/>
          <w:t>[Section 8 amended by No. 21 of 2008 s. 659(4) and (5).]</w:t>
        </w:r>
      </w:ins>
    </w:p>
    <w:p>
      <w:pPr>
        <w:pStyle w:val="Heading5"/>
        <w:rPr>
          <w:snapToGrid w:val="0"/>
        </w:rPr>
      </w:pPr>
      <w:bookmarkStart w:id="105" w:name="_Toc507476628"/>
      <w:bookmarkStart w:id="106" w:name="_Toc515349867"/>
      <w:bookmarkStart w:id="107" w:name="_Toc118520746"/>
      <w:bookmarkStart w:id="108" w:name="_Toc223845692"/>
      <w:bookmarkStart w:id="109" w:name="_Toc199753231"/>
      <w:r>
        <w:rPr>
          <w:rStyle w:val="CharSectno"/>
        </w:rPr>
        <w:t>9</w:t>
      </w:r>
      <w:r>
        <w:rPr>
          <w:snapToGrid w:val="0"/>
        </w:rPr>
        <w:t>.</w:t>
      </w:r>
      <w:r>
        <w:rPr>
          <w:snapToGrid w:val="0"/>
        </w:rPr>
        <w:tab/>
        <w:t>Judicial notice of appointment and signature</w:t>
      </w:r>
      <w:bookmarkEnd w:id="105"/>
      <w:bookmarkEnd w:id="106"/>
      <w:bookmarkEnd w:id="107"/>
      <w:bookmarkEnd w:id="108"/>
      <w:bookmarkEnd w:id="109"/>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110" w:name="_Toc84823972"/>
      <w:bookmarkStart w:id="111" w:name="_Toc89512269"/>
      <w:bookmarkStart w:id="112" w:name="_Toc102277732"/>
      <w:bookmarkStart w:id="113" w:name="_Toc102719132"/>
      <w:bookmarkStart w:id="114" w:name="_Toc116955544"/>
      <w:bookmarkStart w:id="115" w:name="_Toc117650327"/>
      <w:bookmarkStart w:id="116" w:name="_Toc118514516"/>
      <w:bookmarkStart w:id="117" w:name="_Toc118520747"/>
      <w:bookmarkStart w:id="118" w:name="_Toc180471215"/>
      <w:bookmarkStart w:id="119" w:name="_Toc180567388"/>
      <w:bookmarkStart w:id="120" w:name="_Toc196732645"/>
      <w:bookmarkStart w:id="121" w:name="_Toc199753232"/>
      <w:bookmarkStart w:id="122" w:name="_Toc223845693"/>
      <w:r>
        <w:rPr>
          <w:rStyle w:val="CharPartNo"/>
        </w:rPr>
        <w:t>Part 3</w:t>
      </w:r>
      <w:r>
        <w:rPr>
          <w:rStyle w:val="CharDivNo"/>
        </w:rPr>
        <w:t> </w:t>
      </w:r>
      <w:r>
        <w:t>—</w:t>
      </w:r>
      <w:r>
        <w:rPr>
          <w:rStyle w:val="CharDivText"/>
        </w:rPr>
        <w:t> </w:t>
      </w:r>
      <w:r>
        <w:rPr>
          <w:rStyle w:val="CharPartText"/>
        </w:rPr>
        <w:t>Functions of Director</w:t>
      </w:r>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507476629"/>
      <w:bookmarkStart w:id="124" w:name="_Toc515349868"/>
      <w:bookmarkStart w:id="125" w:name="_Toc118520748"/>
      <w:bookmarkStart w:id="126" w:name="_Toc223845694"/>
      <w:bookmarkStart w:id="127" w:name="_Toc199753233"/>
      <w:r>
        <w:rPr>
          <w:rStyle w:val="CharSectno"/>
        </w:rPr>
        <w:t>10</w:t>
      </w:r>
      <w:r>
        <w:rPr>
          <w:snapToGrid w:val="0"/>
        </w:rPr>
        <w:t>.</w:t>
      </w:r>
      <w:r>
        <w:rPr>
          <w:snapToGrid w:val="0"/>
        </w:rPr>
        <w:tab/>
        <w:t>General principles relating to functions</w:t>
      </w:r>
      <w:bookmarkEnd w:id="123"/>
      <w:bookmarkEnd w:id="124"/>
      <w:bookmarkEnd w:id="125"/>
      <w:bookmarkEnd w:id="126"/>
      <w:bookmarkEnd w:id="127"/>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by No. 65 of 2003 s. 124(2).]</w:t>
      </w:r>
    </w:p>
    <w:p>
      <w:pPr>
        <w:pStyle w:val="Heading5"/>
      </w:pPr>
      <w:bookmarkStart w:id="128" w:name="_Toc118520749"/>
      <w:bookmarkStart w:id="129" w:name="_Toc223845695"/>
      <w:bookmarkStart w:id="130" w:name="_Toc199753234"/>
      <w:bookmarkStart w:id="131" w:name="_Toc507476631"/>
      <w:bookmarkStart w:id="132" w:name="_Toc515349870"/>
      <w:r>
        <w:rPr>
          <w:rStyle w:val="CharSectno"/>
        </w:rPr>
        <w:t>11</w:t>
      </w:r>
      <w:r>
        <w:t>.</w:t>
      </w:r>
      <w:r>
        <w:tab/>
        <w:t>Prosecutions</w:t>
      </w:r>
      <w:bookmarkEnd w:id="128"/>
      <w:bookmarkEnd w:id="129"/>
      <w:bookmarkEnd w:id="130"/>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w:t>
      </w:r>
    </w:p>
    <w:p>
      <w:pPr>
        <w:pStyle w:val="Indenta"/>
      </w:pPr>
      <w:r>
        <w:tab/>
        <w:t>(b)</w:t>
      </w:r>
      <w:r>
        <w:tab/>
        <w:t>prescribes who can commence a prosecution;</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pPr>
      <w:r>
        <w:tab/>
        <w:t>[Section 11 inserted by No. 21 of 2004 s. 3.]</w:t>
      </w:r>
    </w:p>
    <w:p>
      <w:pPr>
        <w:pStyle w:val="Ednotesection"/>
        <w:ind w:left="0" w:firstLine="0"/>
      </w:pPr>
      <w:bookmarkStart w:id="133" w:name="_Toc507476632"/>
      <w:bookmarkStart w:id="134" w:name="_Toc515349871"/>
      <w:bookmarkEnd w:id="131"/>
      <w:bookmarkEnd w:id="132"/>
      <w:r>
        <w:t>[</w:t>
      </w:r>
      <w:r>
        <w:rPr>
          <w:b/>
        </w:rPr>
        <w:t>12.</w:t>
      </w:r>
      <w:r>
        <w:tab/>
      </w:r>
      <w:del w:id="135" w:author="svcMRProcess" w:date="2015-12-13T11:11:00Z">
        <w:r>
          <w:delText>Repealed</w:delText>
        </w:r>
      </w:del>
      <w:ins w:id="136" w:author="svcMRProcess" w:date="2015-12-13T11:11:00Z">
        <w:r>
          <w:t>Deleted</w:t>
        </w:r>
      </w:ins>
      <w:r>
        <w:t xml:space="preserve"> by No. 21 of 2004 s. 4.]</w:t>
      </w:r>
    </w:p>
    <w:p>
      <w:pPr>
        <w:pStyle w:val="Heading5"/>
        <w:rPr>
          <w:snapToGrid w:val="0"/>
        </w:rPr>
      </w:pPr>
      <w:bookmarkStart w:id="137" w:name="_Toc118520750"/>
      <w:bookmarkStart w:id="138" w:name="_Toc223845696"/>
      <w:bookmarkStart w:id="139" w:name="_Toc199753235"/>
      <w:r>
        <w:rPr>
          <w:rStyle w:val="CharSectno"/>
        </w:rPr>
        <w:t>13</w:t>
      </w:r>
      <w:r>
        <w:rPr>
          <w:snapToGrid w:val="0"/>
        </w:rPr>
        <w:t>.</w:t>
      </w:r>
      <w:r>
        <w:rPr>
          <w:snapToGrid w:val="0"/>
        </w:rPr>
        <w:tab/>
        <w:t>Appeals</w:t>
      </w:r>
      <w:bookmarkEnd w:id="133"/>
      <w:bookmarkEnd w:id="134"/>
      <w:bookmarkEnd w:id="137"/>
      <w:bookmarkEnd w:id="138"/>
      <w:bookmarkEnd w:id="139"/>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140" w:name="_Toc507476633"/>
      <w:bookmarkStart w:id="141" w:name="_Toc515349872"/>
      <w:r>
        <w:tab/>
        <w:t>[Section 13 amended by No. 21 of 2004 s. 5; No. 84 of 2004 s. 31.]</w:t>
      </w:r>
    </w:p>
    <w:p>
      <w:pPr>
        <w:pStyle w:val="Heading5"/>
        <w:rPr>
          <w:snapToGrid w:val="0"/>
        </w:rPr>
      </w:pPr>
      <w:bookmarkStart w:id="142" w:name="_Toc118520751"/>
      <w:bookmarkStart w:id="143" w:name="_Toc223845697"/>
      <w:bookmarkStart w:id="144" w:name="_Toc199753236"/>
      <w:r>
        <w:rPr>
          <w:rStyle w:val="CharSectno"/>
        </w:rPr>
        <w:t>14</w:t>
      </w:r>
      <w:r>
        <w:rPr>
          <w:snapToGrid w:val="0"/>
        </w:rPr>
        <w:t>.</w:t>
      </w:r>
      <w:r>
        <w:rPr>
          <w:snapToGrid w:val="0"/>
        </w:rPr>
        <w:tab/>
        <w:t>Extradition</w:t>
      </w:r>
      <w:bookmarkEnd w:id="140"/>
      <w:bookmarkEnd w:id="141"/>
      <w:bookmarkEnd w:id="142"/>
      <w:bookmarkEnd w:id="143"/>
      <w:bookmarkEnd w:id="144"/>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145" w:name="_Toc507476634"/>
      <w:bookmarkStart w:id="146" w:name="_Toc515349873"/>
      <w:bookmarkStart w:id="147" w:name="_Toc118520752"/>
      <w:bookmarkStart w:id="148" w:name="_Toc223845698"/>
      <w:bookmarkStart w:id="149" w:name="_Toc199753237"/>
      <w:r>
        <w:rPr>
          <w:rStyle w:val="CharSectno"/>
        </w:rPr>
        <w:t>15</w:t>
      </w:r>
      <w:r>
        <w:rPr>
          <w:snapToGrid w:val="0"/>
        </w:rPr>
        <w:t>.</w:t>
      </w:r>
      <w:r>
        <w:rPr>
          <w:snapToGrid w:val="0"/>
        </w:rPr>
        <w:tab/>
        <w:t>Inquests</w:t>
      </w:r>
      <w:bookmarkEnd w:id="145"/>
      <w:bookmarkEnd w:id="146"/>
      <w:bookmarkEnd w:id="147"/>
      <w:bookmarkEnd w:id="148"/>
      <w:bookmarkEnd w:id="149"/>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rPr>
          <w:snapToGrid w:val="0"/>
        </w:rPr>
      </w:pPr>
      <w:r>
        <w:rPr>
          <w:snapToGrid w:val="0"/>
        </w:rPr>
        <w:tab/>
        <w:t>(b)</w:t>
      </w:r>
      <w:r>
        <w:rPr>
          <w:snapToGrid w:val="0"/>
        </w:rPr>
        <w:tab/>
        <w:t>with the concurrence of a coroner, to assist a coroner,</w:t>
      </w:r>
    </w:p>
    <w:p>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by No. 2 of 1996 s. 61.]</w:t>
      </w:r>
    </w:p>
    <w:p>
      <w:pPr>
        <w:pStyle w:val="Heading5"/>
        <w:rPr>
          <w:snapToGrid w:val="0"/>
        </w:rPr>
      </w:pPr>
      <w:bookmarkStart w:id="150" w:name="_Toc507476635"/>
      <w:bookmarkStart w:id="151" w:name="_Toc515349874"/>
      <w:bookmarkStart w:id="152" w:name="_Toc118520753"/>
      <w:bookmarkStart w:id="153" w:name="_Toc223845699"/>
      <w:bookmarkStart w:id="154" w:name="_Toc199753238"/>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150"/>
      <w:bookmarkEnd w:id="151"/>
      <w:bookmarkEnd w:id="152"/>
      <w:bookmarkEnd w:id="153"/>
      <w:bookmarkEnd w:id="154"/>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rStyle w:val="CharDefText"/>
        </w:rPr>
        <w:t>the Confiscation Act</w:t>
      </w:r>
      <w:r>
        <w:t>), it is a function of the Director to take any proceedings —</w:t>
      </w:r>
    </w:p>
    <w:p>
      <w:pPr>
        <w:pStyle w:val="Indenta"/>
      </w:pPr>
      <w:r>
        <w:tab/>
        <w:t>(a)</w:t>
      </w:r>
      <w:r>
        <w:tab/>
        <w:t>that arise under the Confiscation Act;</w:t>
      </w:r>
    </w:p>
    <w:p>
      <w:pPr>
        <w:pStyle w:val="Indenta"/>
      </w:pPr>
      <w:r>
        <w:tab/>
        <w:t>(b)</w:t>
      </w:r>
      <w:r>
        <w:tab/>
        <w:t>that arise from proceedings under the Confiscation Act;</w:t>
      </w:r>
    </w:p>
    <w:p>
      <w:pPr>
        <w:pStyle w:val="Indenta"/>
      </w:pPr>
      <w:r>
        <w:tab/>
        <w:t>(c)</w:t>
      </w:r>
      <w:r>
        <w:tab/>
        <w:t>that are required to give effect to a freezing notice under the Confiscation Act;</w:t>
      </w:r>
    </w:p>
    <w:p>
      <w:pPr>
        <w:pStyle w:val="Indenta"/>
      </w:pPr>
      <w:r>
        <w:tab/>
        <w:t>(d)</w:t>
      </w:r>
      <w:r>
        <w:tab/>
        <w:t>that are required to give effect to an order of a court under the Confiscation Act or a declaration of a court under the Confiscation Act;</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pPr>
      <w:r>
        <w:tab/>
        <w:t>[Section 16 amended by No. 69 of 2000 s. 12(1) and (2).]</w:t>
      </w:r>
    </w:p>
    <w:p>
      <w:pPr>
        <w:pStyle w:val="Heading5"/>
      </w:pPr>
      <w:bookmarkStart w:id="155" w:name="_Toc118520754"/>
      <w:bookmarkStart w:id="156" w:name="_Toc223845700"/>
      <w:bookmarkStart w:id="157" w:name="_Toc199753239"/>
      <w:bookmarkStart w:id="158" w:name="_Toc507476636"/>
      <w:bookmarkStart w:id="159" w:name="_Toc515349875"/>
      <w:r>
        <w:t>16A.</w:t>
      </w:r>
      <w:r>
        <w:tab/>
        <w:t>Prosecuting offences of other jurisdictions</w:t>
      </w:r>
      <w:bookmarkEnd w:id="155"/>
      <w:bookmarkEnd w:id="156"/>
      <w:bookmarkEnd w:id="157"/>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by No. 84 of 2004 s. 30.]</w:t>
      </w:r>
    </w:p>
    <w:p>
      <w:pPr>
        <w:pStyle w:val="Heading5"/>
        <w:rPr>
          <w:snapToGrid w:val="0"/>
        </w:rPr>
      </w:pPr>
      <w:bookmarkStart w:id="160" w:name="_Toc118520755"/>
      <w:bookmarkStart w:id="161" w:name="_Toc223845701"/>
      <w:bookmarkStart w:id="162" w:name="_Toc199753240"/>
      <w:r>
        <w:rPr>
          <w:rStyle w:val="CharSectno"/>
        </w:rPr>
        <w:t>17</w:t>
      </w:r>
      <w:r>
        <w:rPr>
          <w:snapToGrid w:val="0"/>
        </w:rPr>
        <w:t>.</w:t>
      </w:r>
      <w:r>
        <w:rPr>
          <w:snapToGrid w:val="0"/>
        </w:rPr>
        <w:tab/>
        <w:t>Assistance to officers of other jurisdictions</w:t>
      </w:r>
      <w:bookmarkEnd w:id="158"/>
      <w:bookmarkEnd w:id="159"/>
      <w:bookmarkEnd w:id="160"/>
      <w:bookmarkEnd w:id="161"/>
      <w:bookmarkEnd w:id="162"/>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163" w:name="_Toc507476637"/>
      <w:bookmarkStart w:id="164" w:name="_Toc515349876"/>
      <w:bookmarkStart w:id="165" w:name="_Toc118520756"/>
      <w:bookmarkStart w:id="166" w:name="_Toc223845702"/>
      <w:bookmarkStart w:id="167" w:name="_Toc199753241"/>
      <w:r>
        <w:rPr>
          <w:rStyle w:val="CharSectno"/>
        </w:rPr>
        <w:t>18</w:t>
      </w:r>
      <w:r>
        <w:rPr>
          <w:snapToGrid w:val="0"/>
        </w:rPr>
        <w:t>.</w:t>
      </w:r>
      <w:r>
        <w:rPr>
          <w:snapToGrid w:val="0"/>
        </w:rPr>
        <w:tab/>
        <w:t>Additional and related functions</w:t>
      </w:r>
      <w:bookmarkEnd w:id="163"/>
      <w:bookmarkEnd w:id="164"/>
      <w:bookmarkEnd w:id="165"/>
      <w:bookmarkEnd w:id="166"/>
      <w:bookmarkEnd w:id="167"/>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168" w:name="_Toc507476638"/>
      <w:bookmarkStart w:id="169" w:name="_Toc515349877"/>
      <w:bookmarkStart w:id="170" w:name="_Toc118520757"/>
      <w:bookmarkStart w:id="171" w:name="_Toc223845703"/>
      <w:bookmarkStart w:id="172" w:name="_Toc199753242"/>
      <w:r>
        <w:rPr>
          <w:rStyle w:val="CharSectno"/>
        </w:rPr>
        <w:t>19</w:t>
      </w:r>
      <w:r>
        <w:rPr>
          <w:snapToGrid w:val="0"/>
        </w:rPr>
        <w:t>.</w:t>
      </w:r>
      <w:r>
        <w:rPr>
          <w:snapToGrid w:val="0"/>
        </w:rPr>
        <w:tab/>
        <w:t>Further provisions as to taking over of matters</w:t>
      </w:r>
      <w:bookmarkEnd w:id="168"/>
      <w:bookmarkEnd w:id="169"/>
      <w:bookmarkEnd w:id="170"/>
      <w:bookmarkEnd w:id="171"/>
      <w:bookmarkEnd w:id="172"/>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173" w:name="_Toc507476639"/>
      <w:bookmarkStart w:id="174" w:name="_Toc515349878"/>
      <w:r>
        <w:tab/>
        <w:t>[Section 19 amended by No. 21 of 2004 s. 6; No. 84 of 2004 s. 80.]</w:t>
      </w:r>
    </w:p>
    <w:p>
      <w:pPr>
        <w:pStyle w:val="Heading5"/>
        <w:rPr>
          <w:snapToGrid w:val="0"/>
        </w:rPr>
      </w:pPr>
      <w:bookmarkStart w:id="175" w:name="_Toc118520758"/>
      <w:bookmarkStart w:id="176" w:name="_Toc223845704"/>
      <w:bookmarkStart w:id="177" w:name="_Toc199753243"/>
      <w:r>
        <w:rPr>
          <w:rStyle w:val="CharSectno"/>
        </w:rPr>
        <w:t>20</w:t>
      </w:r>
      <w:r>
        <w:rPr>
          <w:snapToGrid w:val="0"/>
        </w:rPr>
        <w:t>.</w:t>
      </w:r>
      <w:r>
        <w:rPr>
          <w:snapToGrid w:val="0"/>
        </w:rPr>
        <w:tab/>
        <w:t>Powers of Director</w:t>
      </w:r>
      <w:bookmarkEnd w:id="173"/>
      <w:bookmarkEnd w:id="174"/>
      <w:bookmarkEnd w:id="175"/>
      <w:bookmarkEnd w:id="176"/>
      <w:bookmarkEnd w:id="177"/>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178" w:name="_Toc507476640"/>
      <w:bookmarkStart w:id="179" w:name="_Toc515349879"/>
      <w:bookmarkStart w:id="180" w:name="_Toc118520759"/>
      <w:bookmarkStart w:id="181" w:name="_Toc223845705"/>
      <w:bookmarkStart w:id="182" w:name="_Toc199753244"/>
      <w:r>
        <w:rPr>
          <w:rStyle w:val="CharSectno"/>
        </w:rPr>
        <w:t>21</w:t>
      </w:r>
      <w:r>
        <w:rPr>
          <w:snapToGrid w:val="0"/>
        </w:rPr>
        <w:t>.</w:t>
      </w:r>
      <w:r>
        <w:rPr>
          <w:snapToGrid w:val="0"/>
        </w:rPr>
        <w:tab/>
        <w:t>Appearance by Director</w:t>
      </w:r>
      <w:bookmarkEnd w:id="178"/>
      <w:bookmarkEnd w:id="179"/>
      <w:bookmarkEnd w:id="180"/>
      <w:bookmarkEnd w:id="181"/>
      <w:bookmarkEnd w:id="182"/>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by No. 59 of 2004 s. 141.]</w:t>
      </w:r>
    </w:p>
    <w:p>
      <w:pPr>
        <w:pStyle w:val="Heading5"/>
        <w:rPr>
          <w:snapToGrid w:val="0"/>
        </w:rPr>
      </w:pPr>
      <w:bookmarkStart w:id="183" w:name="_Toc507476641"/>
      <w:bookmarkStart w:id="184" w:name="_Toc515349880"/>
      <w:bookmarkStart w:id="185" w:name="_Toc118520760"/>
      <w:bookmarkStart w:id="186" w:name="_Toc223845706"/>
      <w:bookmarkStart w:id="187" w:name="_Toc199753245"/>
      <w:r>
        <w:rPr>
          <w:rStyle w:val="CharSectno"/>
        </w:rPr>
        <w:t>22</w:t>
      </w:r>
      <w:r>
        <w:rPr>
          <w:snapToGrid w:val="0"/>
        </w:rPr>
        <w:t>.</w:t>
      </w:r>
      <w:r>
        <w:rPr>
          <w:snapToGrid w:val="0"/>
        </w:rPr>
        <w:tab/>
        <w:t>Director may request information</w:t>
      </w:r>
      <w:bookmarkEnd w:id="183"/>
      <w:bookmarkEnd w:id="184"/>
      <w:bookmarkEnd w:id="185"/>
      <w:bookmarkEnd w:id="186"/>
      <w:bookmarkEnd w:id="187"/>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188" w:name="_Toc507476642"/>
      <w:bookmarkStart w:id="189" w:name="_Toc515349881"/>
      <w:bookmarkStart w:id="190" w:name="_Toc118520761"/>
      <w:bookmarkStart w:id="191" w:name="_Toc223845707"/>
      <w:bookmarkStart w:id="192" w:name="_Toc199753246"/>
      <w:r>
        <w:rPr>
          <w:rStyle w:val="CharSectno"/>
        </w:rPr>
        <w:t>23</w:t>
      </w:r>
      <w:r>
        <w:rPr>
          <w:snapToGrid w:val="0"/>
        </w:rPr>
        <w:t>.</w:t>
      </w:r>
      <w:r>
        <w:rPr>
          <w:snapToGrid w:val="0"/>
        </w:rPr>
        <w:tab/>
        <w:t>Director may limit powers of other officials</w:t>
      </w:r>
      <w:bookmarkEnd w:id="188"/>
      <w:bookmarkEnd w:id="189"/>
      <w:bookmarkEnd w:id="190"/>
      <w:bookmarkEnd w:id="191"/>
      <w:bookmarkEnd w:id="192"/>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193" w:name="_Toc507476643"/>
      <w:bookmarkStart w:id="194" w:name="_Toc515349882"/>
      <w:r>
        <w:tab/>
        <w:t>[Section 23 amended by No. 21 of 2004 s. 7.]</w:t>
      </w:r>
    </w:p>
    <w:p>
      <w:pPr>
        <w:pStyle w:val="Heading5"/>
        <w:rPr>
          <w:snapToGrid w:val="0"/>
        </w:rPr>
      </w:pPr>
      <w:bookmarkStart w:id="195" w:name="_Toc118520762"/>
      <w:bookmarkStart w:id="196" w:name="_Toc223845708"/>
      <w:bookmarkStart w:id="197" w:name="_Toc199753247"/>
      <w:r>
        <w:rPr>
          <w:rStyle w:val="CharSectno"/>
        </w:rPr>
        <w:t>24</w:t>
      </w:r>
      <w:r>
        <w:rPr>
          <w:snapToGrid w:val="0"/>
        </w:rPr>
        <w:t>.</w:t>
      </w:r>
      <w:r>
        <w:rPr>
          <w:snapToGrid w:val="0"/>
        </w:rPr>
        <w:tab/>
        <w:t>Director may issue guidelines</w:t>
      </w:r>
      <w:bookmarkEnd w:id="193"/>
      <w:bookmarkEnd w:id="194"/>
      <w:bookmarkEnd w:id="195"/>
      <w:bookmarkEnd w:id="196"/>
      <w:bookmarkEnd w:id="197"/>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198" w:name="_Toc84823987"/>
      <w:bookmarkStart w:id="199" w:name="_Toc89512284"/>
      <w:bookmarkStart w:id="200" w:name="_Toc102277747"/>
      <w:bookmarkStart w:id="201" w:name="_Toc102719148"/>
      <w:bookmarkStart w:id="202" w:name="_Toc116955560"/>
      <w:bookmarkStart w:id="203" w:name="_Toc117650343"/>
      <w:bookmarkStart w:id="204" w:name="_Toc118514532"/>
      <w:bookmarkStart w:id="205" w:name="_Toc118520763"/>
      <w:bookmarkStart w:id="206" w:name="_Toc180471231"/>
      <w:bookmarkStart w:id="207" w:name="_Toc180567404"/>
      <w:bookmarkStart w:id="208" w:name="_Toc196732661"/>
      <w:bookmarkStart w:id="209" w:name="_Toc199753248"/>
      <w:bookmarkStart w:id="210" w:name="_Toc223845709"/>
      <w:r>
        <w:rPr>
          <w:rStyle w:val="CharPartNo"/>
        </w:rPr>
        <w:t>Part 4</w:t>
      </w:r>
      <w:r>
        <w:rPr>
          <w:rStyle w:val="CharDivNo"/>
        </w:rPr>
        <w:t> </w:t>
      </w:r>
      <w:r>
        <w:t>—</w:t>
      </w:r>
      <w:r>
        <w:rPr>
          <w:rStyle w:val="CharDivText"/>
        </w:rPr>
        <w:t> </w:t>
      </w:r>
      <w:r>
        <w:rPr>
          <w:rStyle w:val="CharPartText"/>
        </w:rPr>
        <w:t>Relationship with Attorney General</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spacing w:before="160"/>
        <w:rPr>
          <w:snapToGrid w:val="0"/>
        </w:rPr>
      </w:pPr>
      <w:bookmarkStart w:id="211" w:name="_Toc507476644"/>
      <w:bookmarkStart w:id="212" w:name="_Toc515349883"/>
      <w:bookmarkStart w:id="213" w:name="_Toc118520764"/>
      <w:bookmarkStart w:id="214" w:name="_Toc223845710"/>
      <w:bookmarkStart w:id="215" w:name="_Toc199753249"/>
      <w:r>
        <w:rPr>
          <w:rStyle w:val="CharSectno"/>
        </w:rPr>
        <w:t>25</w:t>
      </w:r>
      <w:r>
        <w:rPr>
          <w:snapToGrid w:val="0"/>
        </w:rPr>
        <w:t>.</w:t>
      </w:r>
      <w:r>
        <w:rPr>
          <w:snapToGrid w:val="0"/>
        </w:rPr>
        <w:tab/>
        <w:t>General freedom from direction</w:t>
      </w:r>
      <w:bookmarkEnd w:id="211"/>
      <w:bookmarkEnd w:id="212"/>
      <w:bookmarkEnd w:id="213"/>
      <w:bookmarkEnd w:id="214"/>
      <w:bookmarkEnd w:id="215"/>
    </w:p>
    <w:p>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160"/>
        <w:rPr>
          <w:snapToGrid w:val="0"/>
        </w:rPr>
      </w:pPr>
      <w:bookmarkStart w:id="216" w:name="_Toc507476645"/>
      <w:bookmarkStart w:id="217" w:name="_Toc515349884"/>
      <w:bookmarkStart w:id="218" w:name="_Toc118520765"/>
      <w:bookmarkStart w:id="219" w:name="_Toc223845711"/>
      <w:bookmarkStart w:id="220" w:name="_Toc199753250"/>
      <w:r>
        <w:rPr>
          <w:rStyle w:val="CharSectno"/>
        </w:rPr>
        <w:t>26</w:t>
      </w:r>
      <w:r>
        <w:rPr>
          <w:snapToGrid w:val="0"/>
        </w:rPr>
        <w:t>.</w:t>
      </w:r>
      <w:r>
        <w:rPr>
          <w:snapToGrid w:val="0"/>
        </w:rPr>
        <w:tab/>
        <w:t>Consultation</w:t>
      </w:r>
      <w:bookmarkEnd w:id="216"/>
      <w:bookmarkEnd w:id="217"/>
      <w:bookmarkEnd w:id="218"/>
      <w:bookmarkEnd w:id="219"/>
      <w:bookmarkEnd w:id="220"/>
    </w:p>
    <w:p>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160"/>
        <w:rPr>
          <w:snapToGrid w:val="0"/>
        </w:rPr>
      </w:pPr>
      <w:bookmarkStart w:id="221" w:name="_Toc507476646"/>
      <w:bookmarkStart w:id="222" w:name="_Toc515349885"/>
      <w:bookmarkStart w:id="223" w:name="_Toc118520766"/>
      <w:bookmarkStart w:id="224" w:name="_Toc223845712"/>
      <w:bookmarkStart w:id="225" w:name="_Toc199753251"/>
      <w:r>
        <w:rPr>
          <w:rStyle w:val="CharSectno"/>
        </w:rPr>
        <w:t>27</w:t>
      </w:r>
      <w:r>
        <w:rPr>
          <w:snapToGrid w:val="0"/>
        </w:rPr>
        <w:t>.</w:t>
      </w:r>
      <w:r>
        <w:rPr>
          <w:snapToGrid w:val="0"/>
        </w:rPr>
        <w:tab/>
        <w:t>Directions by Attorney General</w:t>
      </w:r>
      <w:bookmarkEnd w:id="221"/>
      <w:bookmarkEnd w:id="222"/>
      <w:bookmarkEnd w:id="223"/>
      <w:bookmarkEnd w:id="224"/>
      <w:bookmarkEnd w:id="225"/>
    </w:p>
    <w:p>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20"/>
        <w:rPr>
          <w:snapToGrid w:val="0"/>
        </w:rPr>
      </w:pPr>
      <w:r>
        <w:rPr>
          <w:snapToGrid w:val="0"/>
        </w:rPr>
        <w:tab/>
        <w:t>(2)</w:t>
      </w:r>
      <w:r>
        <w:rPr>
          <w:snapToGrid w:val="0"/>
        </w:rPr>
        <w:tab/>
        <w:t>A direction may not be issued under subsection (1) in respect of a particular case.</w:t>
      </w:r>
    </w:p>
    <w:p>
      <w:pPr>
        <w:pStyle w:val="Subsection"/>
        <w:spacing w:before="120"/>
        <w:rPr>
          <w:snapToGrid w:val="0"/>
        </w:rPr>
      </w:pPr>
      <w:r>
        <w:rPr>
          <w:snapToGrid w:val="0"/>
        </w:rPr>
        <w:tab/>
        <w:t>(3)</w:t>
      </w:r>
      <w:r>
        <w:rPr>
          <w:snapToGrid w:val="0"/>
        </w:rPr>
        <w:tab/>
        <w:t>The Director may —</w:t>
      </w:r>
    </w:p>
    <w:p>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spacing w:before="100"/>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226" w:name="_Toc507476647"/>
      <w:bookmarkStart w:id="227" w:name="_Toc515349886"/>
      <w:bookmarkStart w:id="228" w:name="_Toc118520767"/>
      <w:bookmarkStart w:id="229" w:name="_Toc223845713"/>
      <w:bookmarkStart w:id="230" w:name="_Toc199753252"/>
      <w:r>
        <w:rPr>
          <w:rStyle w:val="CharSectno"/>
        </w:rPr>
        <w:t>28</w:t>
      </w:r>
      <w:r>
        <w:rPr>
          <w:snapToGrid w:val="0"/>
        </w:rPr>
        <w:t>.</w:t>
      </w:r>
      <w:r>
        <w:rPr>
          <w:snapToGrid w:val="0"/>
        </w:rPr>
        <w:tab/>
        <w:t>Consistency between Attorney General and Director</w:t>
      </w:r>
      <w:bookmarkEnd w:id="226"/>
      <w:bookmarkEnd w:id="227"/>
      <w:bookmarkEnd w:id="228"/>
      <w:bookmarkEnd w:id="229"/>
      <w:bookmarkEnd w:id="230"/>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231" w:name="_Toc507476648"/>
      <w:bookmarkStart w:id="232" w:name="_Toc515349887"/>
      <w:bookmarkStart w:id="233" w:name="_Toc118520768"/>
      <w:bookmarkStart w:id="234" w:name="_Toc223845714"/>
      <w:bookmarkStart w:id="235" w:name="_Toc199753253"/>
      <w:r>
        <w:rPr>
          <w:rStyle w:val="CharSectno"/>
        </w:rPr>
        <w:t>29</w:t>
      </w:r>
      <w:r>
        <w:rPr>
          <w:snapToGrid w:val="0"/>
        </w:rPr>
        <w:t>.</w:t>
      </w:r>
      <w:r>
        <w:rPr>
          <w:snapToGrid w:val="0"/>
        </w:rPr>
        <w:tab/>
        <w:t>Information to be furnished to Attorney General</w:t>
      </w:r>
      <w:bookmarkEnd w:id="231"/>
      <w:bookmarkEnd w:id="232"/>
      <w:bookmarkEnd w:id="233"/>
      <w:bookmarkEnd w:id="234"/>
      <w:bookmarkEnd w:id="235"/>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236" w:name="_Toc84823993"/>
      <w:bookmarkStart w:id="237" w:name="_Toc89512290"/>
      <w:bookmarkStart w:id="238" w:name="_Toc102277753"/>
      <w:bookmarkStart w:id="239" w:name="_Toc102719154"/>
      <w:bookmarkStart w:id="240" w:name="_Toc116955566"/>
      <w:bookmarkStart w:id="241" w:name="_Toc117650349"/>
      <w:bookmarkStart w:id="242" w:name="_Toc118514538"/>
      <w:bookmarkStart w:id="243" w:name="_Toc118520769"/>
      <w:bookmarkStart w:id="244" w:name="_Toc180471237"/>
      <w:bookmarkStart w:id="245" w:name="_Toc180567410"/>
      <w:bookmarkStart w:id="246" w:name="_Toc196732667"/>
      <w:bookmarkStart w:id="247" w:name="_Toc199753254"/>
      <w:bookmarkStart w:id="248" w:name="_Toc223845715"/>
      <w:r>
        <w:rPr>
          <w:rStyle w:val="CharPartNo"/>
        </w:rPr>
        <w:t>Part 5</w:t>
      </w:r>
      <w:r>
        <w:rPr>
          <w:rStyle w:val="CharDivNo"/>
        </w:rPr>
        <w:t> </w:t>
      </w:r>
      <w:r>
        <w:t>—</w:t>
      </w:r>
      <w:r>
        <w:rPr>
          <w:rStyle w:val="CharDivText"/>
        </w:rPr>
        <w:t> </w:t>
      </w:r>
      <w:r>
        <w:rPr>
          <w:rStyle w:val="CharPartText"/>
        </w:rPr>
        <w:t>Miscellaneous</w:t>
      </w:r>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507476649"/>
      <w:bookmarkStart w:id="250" w:name="_Toc515349888"/>
      <w:bookmarkStart w:id="251" w:name="_Toc118520770"/>
      <w:bookmarkStart w:id="252" w:name="_Toc223845716"/>
      <w:bookmarkStart w:id="253" w:name="_Toc199753255"/>
      <w:r>
        <w:rPr>
          <w:rStyle w:val="CharSectno"/>
        </w:rPr>
        <w:t>30</w:t>
      </w:r>
      <w:r>
        <w:rPr>
          <w:snapToGrid w:val="0"/>
        </w:rPr>
        <w:t>.</w:t>
      </w:r>
      <w:r>
        <w:rPr>
          <w:snapToGrid w:val="0"/>
        </w:rPr>
        <w:tab/>
        <w:t>Staff</w:t>
      </w:r>
      <w:bookmarkEnd w:id="249"/>
      <w:bookmarkEnd w:id="250"/>
      <w:bookmarkEnd w:id="251"/>
      <w:bookmarkEnd w:id="252"/>
      <w:bookmarkEnd w:id="253"/>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by No. 32 of 1994 s. 19.]</w:t>
      </w:r>
    </w:p>
    <w:p>
      <w:pPr>
        <w:pStyle w:val="Heading5"/>
        <w:rPr>
          <w:snapToGrid w:val="0"/>
        </w:rPr>
      </w:pPr>
      <w:bookmarkStart w:id="254" w:name="_Toc507476650"/>
      <w:bookmarkStart w:id="255" w:name="_Toc515349889"/>
      <w:bookmarkStart w:id="256" w:name="_Toc118520771"/>
      <w:bookmarkStart w:id="257" w:name="_Toc223845717"/>
      <w:bookmarkStart w:id="258" w:name="_Toc199753256"/>
      <w:r>
        <w:rPr>
          <w:rStyle w:val="CharSectno"/>
        </w:rPr>
        <w:t>31</w:t>
      </w:r>
      <w:r>
        <w:rPr>
          <w:snapToGrid w:val="0"/>
        </w:rPr>
        <w:t>.</w:t>
      </w:r>
      <w:r>
        <w:rPr>
          <w:snapToGrid w:val="0"/>
        </w:rPr>
        <w:tab/>
        <w:t>Delegation</w:t>
      </w:r>
      <w:bookmarkEnd w:id="254"/>
      <w:bookmarkEnd w:id="255"/>
      <w:bookmarkEnd w:id="256"/>
      <w:bookmarkEnd w:id="257"/>
      <w:bookmarkEnd w:id="258"/>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259" w:name="_Toc507476651"/>
      <w:bookmarkStart w:id="260" w:name="_Toc515349890"/>
      <w:bookmarkStart w:id="261" w:name="_Toc118520772"/>
      <w:bookmarkStart w:id="262" w:name="_Toc223845718"/>
      <w:bookmarkStart w:id="263" w:name="_Toc199753257"/>
      <w:r>
        <w:rPr>
          <w:rStyle w:val="CharSectno"/>
        </w:rPr>
        <w:t>32</w:t>
      </w:r>
      <w:r>
        <w:rPr>
          <w:snapToGrid w:val="0"/>
        </w:rPr>
        <w:t>.</w:t>
      </w:r>
      <w:r>
        <w:rPr>
          <w:snapToGrid w:val="0"/>
        </w:rPr>
        <w:tab/>
        <w:t>Annual report of Director</w:t>
      </w:r>
      <w:bookmarkEnd w:id="259"/>
      <w:bookmarkEnd w:id="260"/>
      <w:bookmarkEnd w:id="261"/>
      <w:bookmarkEnd w:id="262"/>
      <w:bookmarkEnd w:id="263"/>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264" w:name="_Toc507476652"/>
      <w:bookmarkStart w:id="265" w:name="_Toc515349891"/>
      <w:bookmarkStart w:id="266" w:name="_Toc118520773"/>
      <w:bookmarkStart w:id="267" w:name="_Toc223845719"/>
      <w:bookmarkStart w:id="268" w:name="_Toc199753258"/>
      <w:r>
        <w:rPr>
          <w:rStyle w:val="CharSectno"/>
        </w:rPr>
        <w:t>33</w:t>
      </w:r>
      <w:r>
        <w:rPr>
          <w:snapToGrid w:val="0"/>
        </w:rPr>
        <w:t>.</w:t>
      </w:r>
      <w:r>
        <w:rPr>
          <w:snapToGrid w:val="0"/>
        </w:rPr>
        <w:tab/>
        <w:t>Protection from liability</w:t>
      </w:r>
      <w:bookmarkEnd w:id="264"/>
      <w:bookmarkEnd w:id="265"/>
      <w:bookmarkEnd w:id="266"/>
      <w:bookmarkEnd w:id="267"/>
      <w:bookmarkEnd w:id="268"/>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269" w:name="_Toc507476653"/>
      <w:bookmarkStart w:id="270" w:name="_Toc515349892"/>
      <w:bookmarkStart w:id="271" w:name="_Toc118520774"/>
      <w:bookmarkStart w:id="272" w:name="_Toc223845720"/>
      <w:bookmarkStart w:id="273" w:name="_Toc199753259"/>
      <w:r>
        <w:rPr>
          <w:rStyle w:val="CharSectno"/>
        </w:rPr>
        <w:t>34</w:t>
      </w:r>
      <w:r>
        <w:rPr>
          <w:snapToGrid w:val="0"/>
        </w:rPr>
        <w:t>.</w:t>
      </w:r>
      <w:r>
        <w:rPr>
          <w:snapToGrid w:val="0"/>
        </w:rPr>
        <w:tab/>
        <w:t>Regulations</w:t>
      </w:r>
      <w:bookmarkEnd w:id="269"/>
      <w:bookmarkEnd w:id="270"/>
      <w:bookmarkEnd w:id="271"/>
      <w:bookmarkEnd w:id="272"/>
      <w:bookmarkEnd w:id="273"/>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274" w:name="_Toc507476654"/>
      <w:bookmarkStart w:id="275" w:name="_Toc515349893"/>
      <w:bookmarkStart w:id="276" w:name="_Toc118520775"/>
      <w:bookmarkStart w:id="277" w:name="_Toc223845721"/>
      <w:bookmarkStart w:id="278" w:name="_Toc199753260"/>
      <w:r>
        <w:rPr>
          <w:rStyle w:val="CharSectno"/>
        </w:rPr>
        <w:t>35</w:t>
      </w:r>
      <w:r>
        <w:rPr>
          <w:snapToGrid w:val="0"/>
        </w:rPr>
        <w:t>.</w:t>
      </w:r>
      <w:r>
        <w:rPr>
          <w:snapToGrid w:val="0"/>
        </w:rPr>
        <w:tab/>
        <w:t>Savings and transitional</w:t>
      </w:r>
      <w:bookmarkEnd w:id="274"/>
      <w:bookmarkEnd w:id="275"/>
      <w:bookmarkEnd w:id="276"/>
      <w:bookmarkEnd w:id="277"/>
      <w:bookmarkEnd w:id="278"/>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79" w:name="_Toc515351004"/>
      <w:bookmarkStart w:id="280" w:name="_Toc515677341"/>
      <w:bookmarkStart w:id="281" w:name="_Toc117650356"/>
      <w:bookmarkStart w:id="282" w:name="_Toc118514545"/>
      <w:bookmarkStart w:id="283" w:name="_Toc118520776"/>
      <w:bookmarkStart w:id="284" w:name="_Toc180471244"/>
      <w:bookmarkStart w:id="285" w:name="_Toc180567417"/>
      <w:bookmarkStart w:id="286" w:name="_Toc196732674"/>
      <w:bookmarkStart w:id="287" w:name="_Toc199753261"/>
      <w:bookmarkStart w:id="288" w:name="_Toc223845722"/>
      <w:r>
        <w:rPr>
          <w:rStyle w:val="CharSchNo"/>
        </w:rPr>
        <w:t>Schedule 1</w:t>
      </w:r>
      <w:bookmarkEnd w:id="279"/>
      <w:bookmarkEnd w:id="280"/>
      <w:bookmarkEnd w:id="281"/>
      <w:bookmarkEnd w:id="282"/>
      <w:bookmarkEnd w:id="283"/>
      <w:bookmarkEnd w:id="284"/>
      <w:bookmarkEnd w:id="285"/>
      <w:bookmarkEnd w:id="286"/>
      <w:bookmarkEnd w:id="287"/>
      <w:bookmarkEnd w:id="288"/>
    </w:p>
    <w:p>
      <w:pPr>
        <w:pStyle w:val="yShoulderClause"/>
        <w:rPr>
          <w:snapToGrid w:val="0"/>
        </w:rPr>
      </w:pPr>
      <w:r>
        <w:rPr>
          <w:snapToGrid w:val="0"/>
        </w:rPr>
        <w:t>[section 7]</w:t>
      </w:r>
    </w:p>
    <w:p>
      <w:pPr>
        <w:pStyle w:val="yHeading2"/>
        <w:spacing w:before="220"/>
        <w:outlineLvl w:val="9"/>
      </w:pPr>
      <w:bookmarkStart w:id="289" w:name="_Toc117650357"/>
      <w:bookmarkStart w:id="290" w:name="_Toc118514546"/>
      <w:bookmarkStart w:id="291" w:name="_Toc118520777"/>
      <w:bookmarkStart w:id="292" w:name="_Toc180471245"/>
      <w:bookmarkStart w:id="293" w:name="_Toc180567418"/>
      <w:bookmarkStart w:id="294" w:name="_Toc196732675"/>
      <w:bookmarkStart w:id="295" w:name="_Toc199753262"/>
      <w:bookmarkStart w:id="296" w:name="_Toc223845723"/>
      <w:r>
        <w:rPr>
          <w:rStyle w:val="CharSchText"/>
        </w:rPr>
        <w:t>Tenure, salary, conditions of service, etc., of Director</w:t>
      </w:r>
      <w:bookmarkEnd w:id="289"/>
      <w:bookmarkEnd w:id="290"/>
      <w:bookmarkEnd w:id="291"/>
      <w:bookmarkEnd w:id="292"/>
      <w:bookmarkEnd w:id="293"/>
      <w:bookmarkEnd w:id="294"/>
      <w:bookmarkEnd w:id="295"/>
      <w:bookmarkEnd w:id="296"/>
    </w:p>
    <w:p>
      <w:pPr>
        <w:pStyle w:val="yHeading5"/>
        <w:spacing w:before="160"/>
        <w:outlineLvl w:val="9"/>
      </w:pPr>
      <w:bookmarkStart w:id="297" w:name="_Toc515349895"/>
      <w:bookmarkStart w:id="298" w:name="_Toc118520778"/>
      <w:bookmarkStart w:id="299" w:name="_Toc223845724"/>
      <w:bookmarkStart w:id="300" w:name="_Toc199753263"/>
      <w:r>
        <w:rPr>
          <w:rStyle w:val="CharSClsNo"/>
        </w:rPr>
        <w:t>1</w:t>
      </w:r>
      <w:r>
        <w:t>.</w:t>
      </w:r>
      <w:r>
        <w:tab/>
        <w:t>Tenure of office</w:t>
      </w:r>
      <w:bookmarkEnd w:id="297"/>
      <w:bookmarkEnd w:id="298"/>
      <w:bookmarkEnd w:id="299"/>
      <w:bookmarkEnd w:id="300"/>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r>
      <w:del w:id="301" w:author="svcMRProcess" w:date="2015-12-13T11:11:00Z">
        <w:r>
          <w:delText>repealed</w:delText>
        </w:r>
      </w:del>
      <w:ins w:id="302" w:author="svcMRProcess" w:date="2015-12-13T11:11:00Z">
        <w:r>
          <w:t>deleted</w:t>
        </w:r>
      </w:ins>
      <w:r>
        <w:t>]</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303" w:name="_Toc515349896"/>
      <w:r>
        <w:tab/>
        <w:t>[Clause 1 amended by No. 42 of 1997 s. 8.]</w:t>
      </w:r>
    </w:p>
    <w:p>
      <w:pPr>
        <w:pStyle w:val="yHeading5"/>
        <w:outlineLvl w:val="9"/>
      </w:pPr>
      <w:bookmarkStart w:id="304" w:name="_Toc118520779"/>
      <w:bookmarkStart w:id="305" w:name="_Toc223845725"/>
      <w:bookmarkStart w:id="306" w:name="_Toc199753264"/>
      <w:r>
        <w:rPr>
          <w:rStyle w:val="CharSClsNo"/>
        </w:rPr>
        <w:t>2</w:t>
      </w:r>
      <w:r>
        <w:t>.</w:t>
      </w:r>
      <w:r>
        <w:tab/>
        <w:t>Salary and entitlements</w:t>
      </w:r>
      <w:bookmarkEnd w:id="303"/>
      <w:bookmarkEnd w:id="304"/>
      <w:bookmarkEnd w:id="305"/>
      <w:bookmarkEnd w:id="306"/>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307" w:name="_Toc515349897"/>
      <w:bookmarkStart w:id="308" w:name="_Toc118520780"/>
      <w:bookmarkStart w:id="309" w:name="_Toc223845726"/>
      <w:bookmarkStart w:id="310" w:name="_Toc199753265"/>
      <w:r>
        <w:rPr>
          <w:rStyle w:val="CharSClsNo"/>
        </w:rPr>
        <w:t>3</w:t>
      </w:r>
      <w:r>
        <w:t>.</w:t>
      </w:r>
      <w:r>
        <w:tab/>
        <w:t>Superannuation</w:t>
      </w:r>
      <w:bookmarkEnd w:id="307"/>
      <w:bookmarkEnd w:id="308"/>
      <w:bookmarkEnd w:id="309"/>
      <w:bookmarkEnd w:id="310"/>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r>
      <w:del w:id="311" w:author="svcMRProcess" w:date="2015-12-13T11:11:00Z">
        <w:r>
          <w:delText>repealed</w:delText>
        </w:r>
      </w:del>
      <w:ins w:id="312" w:author="svcMRProcess" w:date="2015-12-13T11:11:00Z">
        <w:r>
          <w:t>deleted</w:t>
        </w:r>
      </w:ins>
      <w:r>
        <w:t>]</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pPr>
        <w:pStyle w:val="yFootnotesection"/>
      </w:pPr>
      <w:bookmarkStart w:id="313" w:name="_Toc515349898"/>
      <w:r>
        <w:tab/>
        <w:t>[Clause 3 amended by No. 60 of 1995 s. 54; No. 43 of 2000 s. 39(1).]</w:t>
      </w:r>
    </w:p>
    <w:p>
      <w:pPr>
        <w:pStyle w:val="yHeading5"/>
        <w:outlineLvl w:val="9"/>
      </w:pPr>
      <w:bookmarkStart w:id="314" w:name="_Toc118520781"/>
      <w:bookmarkStart w:id="315" w:name="_Toc223845727"/>
      <w:bookmarkStart w:id="316" w:name="_Toc199753266"/>
      <w:r>
        <w:rPr>
          <w:rStyle w:val="CharSClsNo"/>
        </w:rPr>
        <w:t>4</w:t>
      </w:r>
      <w:r>
        <w:t>.</w:t>
      </w:r>
      <w:r>
        <w:tab/>
        <w:t>Appointment of public service officer</w:t>
      </w:r>
      <w:bookmarkEnd w:id="313"/>
      <w:bookmarkEnd w:id="314"/>
      <w:bookmarkEnd w:id="315"/>
      <w:bookmarkEnd w:id="316"/>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317" w:name="_Toc515349899"/>
      <w:r>
        <w:tab/>
        <w:t>[Clause 4 amended by No. 42 of 1997 s. 8.]</w:t>
      </w:r>
    </w:p>
    <w:p>
      <w:pPr>
        <w:pStyle w:val="yHeading5"/>
        <w:outlineLvl w:val="9"/>
      </w:pPr>
      <w:bookmarkStart w:id="318" w:name="_Toc118520782"/>
      <w:bookmarkStart w:id="319" w:name="_Toc223845728"/>
      <w:bookmarkStart w:id="320" w:name="_Toc199753267"/>
      <w:r>
        <w:rPr>
          <w:rStyle w:val="CharSClsNo"/>
        </w:rPr>
        <w:t>5</w:t>
      </w:r>
      <w:r>
        <w:t>.</w:t>
      </w:r>
      <w:r>
        <w:tab/>
        <w:t>Certain requirements to be observed</w:t>
      </w:r>
      <w:bookmarkEnd w:id="317"/>
      <w:bookmarkEnd w:id="318"/>
      <w:bookmarkEnd w:id="319"/>
      <w:bookmarkEnd w:id="320"/>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321" w:name="_Toc515349900"/>
      <w:bookmarkStart w:id="322" w:name="_Toc118520783"/>
      <w:bookmarkStart w:id="323" w:name="_Toc223845729"/>
      <w:bookmarkStart w:id="324" w:name="_Toc199753268"/>
      <w:r>
        <w:rPr>
          <w:rStyle w:val="CharSClsNo"/>
        </w:rPr>
        <w:t>6</w:t>
      </w:r>
      <w:r>
        <w:t>.</w:t>
      </w:r>
      <w:r>
        <w:tab/>
        <w:t>Removal from office</w:t>
      </w:r>
      <w:bookmarkEnd w:id="321"/>
      <w:bookmarkEnd w:id="322"/>
      <w:bookmarkEnd w:id="323"/>
      <w:bookmarkEnd w:id="324"/>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Heading5"/>
        <w:outlineLvl w:val="9"/>
      </w:pPr>
      <w:bookmarkStart w:id="325" w:name="_Toc515349901"/>
      <w:bookmarkStart w:id="326" w:name="_Toc118520784"/>
      <w:bookmarkStart w:id="327" w:name="_Toc223845730"/>
      <w:bookmarkStart w:id="328" w:name="_Toc199753269"/>
      <w:r>
        <w:rPr>
          <w:rStyle w:val="CharSClsNo"/>
        </w:rPr>
        <w:t>7</w:t>
      </w:r>
      <w:r>
        <w:t>.</w:t>
      </w:r>
      <w:r>
        <w:tab/>
        <w:t>Other conditions of service</w:t>
      </w:r>
      <w:bookmarkEnd w:id="325"/>
      <w:bookmarkEnd w:id="326"/>
      <w:bookmarkEnd w:id="327"/>
      <w:bookmarkEnd w:id="328"/>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29" w:name="_Toc84824009"/>
      <w:bookmarkStart w:id="330" w:name="_Toc89512306"/>
      <w:bookmarkStart w:id="331" w:name="_Toc102277769"/>
      <w:bookmarkStart w:id="332" w:name="_Toc102719170"/>
      <w:bookmarkStart w:id="333" w:name="_Toc116955582"/>
      <w:bookmarkStart w:id="334" w:name="_Toc117650365"/>
      <w:bookmarkStart w:id="335" w:name="_Toc118514554"/>
      <w:bookmarkStart w:id="336" w:name="_Toc118520785"/>
      <w:bookmarkStart w:id="337" w:name="_Toc180471253"/>
      <w:bookmarkStart w:id="338" w:name="_Toc180567426"/>
      <w:bookmarkStart w:id="339" w:name="_Toc196732683"/>
      <w:bookmarkStart w:id="340" w:name="_Toc199753270"/>
      <w:bookmarkStart w:id="341" w:name="_Toc223845731"/>
      <w:r>
        <w:t>Notes</w:t>
      </w:r>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42" w:name="_Toc118520786"/>
      <w:bookmarkStart w:id="343" w:name="_Toc223845732"/>
      <w:bookmarkStart w:id="344" w:name="_Toc199753271"/>
      <w:r>
        <w:t>Compilation table</w:t>
      </w:r>
      <w:bookmarkEnd w:id="342"/>
      <w:bookmarkEnd w:id="343"/>
      <w:bookmarkEnd w:id="3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Director of Public Prosecutions Act 1991</w:t>
            </w:r>
          </w:p>
        </w:tc>
        <w:tc>
          <w:tcPr>
            <w:tcW w:w="1134" w:type="dxa"/>
          </w:tcPr>
          <w:p>
            <w:pPr>
              <w:pStyle w:val="nTable"/>
              <w:spacing w:after="40"/>
              <w:rPr>
                <w:sz w:val="19"/>
              </w:rPr>
            </w:pPr>
            <w:r>
              <w:rPr>
                <w:sz w:val="19"/>
              </w:rPr>
              <w:t>12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Government Employees Superannuation Amendment Act (No. 2) 1995</w:t>
            </w:r>
            <w:r>
              <w:rPr>
                <w:sz w:val="19"/>
              </w:rPr>
              <w:t xml:space="preserve"> s. 54</w:t>
            </w:r>
          </w:p>
        </w:tc>
        <w:tc>
          <w:tcPr>
            <w:tcW w:w="1134" w:type="dxa"/>
          </w:tcPr>
          <w:p>
            <w:pPr>
              <w:pStyle w:val="nTable"/>
              <w:spacing w:after="40"/>
              <w:rPr>
                <w:sz w:val="19"/>
              </w:rPr>
            </w:pPr>
            <w:r>
              <w:rPr>
                <w:sz w:val="19"/>
              </w:rPr>
              <w:t>60 of 1995</w:t>
            </w:r>
          </w:p>
        </w:tc>
        <w:tc>
          <w:tcPr>
            <w:tcW w:w="1134" w:type="dxa"/>
          </w:tcPr>
          <w:p>
            <w:pPr>
              <w:pStyle w:val="nTable"/>
              <w:spacing w:after="40"/>
              <w:rPr>
                <w:sz w:val="19"/>
              </w:rPr>
            </w:pPr>
            <w:r>
              <w:rPr>
                <w:sz w:val="19"/>
              </w:rPr>
              <w:t>21 Dec 1995</w:t>
            </w:r>
          </w:p>
        </w:tc>
        <w:tc>
          <w:tcPr>
            <w:tcW w:w="2551" w:type="dxa"/>
          </w:tcPr>
          <w:p>
            <w:pPr>
              <w:pStyle w:val="nTable"/>
              <w:spacing w:after="40"/>
              <w:rPr>
                <w:sz w:val="19"/>
              </w:rPr>
            </w:pPr>
            <w:r>
              <w:rPr>
                <w:sz w:val="19"/>
              </w:rPr>
              <w:t xml:space="preserve">30 Dec 1995 (see s. 2 and </w:t>
            </w:r>
            <w:r>
              <w:rPr>
                <w:i/>
                <w:sz w:val="19"/>
              </w:rPr>
              <w:t>Gazette</w:t>
            </w:r>
            <w:r>
              <w:rPr>
                <w:sz w:val="19"/>
              </w:rPr>
              <w:t xml:space="preserve"> 29 Dec 1995 p. 6287)</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39(1)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spacing w:before="40" w:after="40"/>
              <w:rPr>
                <w:i/>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1" w:type="dxa"/>
          </w:tcPr>
          <w:p>
            <w:pPr>
              <w:pStyle w:val="nTable"/>
              <w:spacing w:after="40"/>
              <w:rPr>
                <w:i/>
                <w:sz w:val="19"/>
              </w:rPr>
            </w:pPr>
            <w:r>
              <w:rPr>
                <w:sz w:val="19"/>
              </w:rPr>
              <w:t xml:space="preserve">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trPr>
          <w:cantSplit/>
        </w:trPr>
        <w:tc>
          <w:tcPr>
            <w:tcW w:w="2268" w:type="dxa"/>
          </w:tcPr>
          <w:p>
            <w:pPr>
              <w:pStyle w:val="nTable"/>
              <w:spacing w:after="40"/>
              <w:rPr>
                <w:sz w:val="19"/>
              </w:rPr>
            </w:pPr>
            <w:r>
              <w:rPr>
                <w:i/>
                <w:sz w:val="19"/>
              </w:rPr>
              <w:t>Criminal Law (Procedure) Amendment Act 2002</w:t>
            </w:r>
            <w:r>
              <w:rPr>
                <w:sz w:val="19"/>
              </w:rPr>
              <w:t xml:space="preserve"> Pt. 4 Div. 4</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31, 110 and 124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Director of Public Prosecutions Amendment Act 2004</w:t>
            </w:r>
          </w:p>
        </w:tc>
        <w:tc>
          <w:tcPr>
            <w:tcW w:w="1134" w:type="dxa"/>
          </w:tcPr>
          <w:p>
            <w:pPr>
              <w:pStyle w:val="nTable"/>
              <w:spacing w:after="40"/>
              <w:rPr>
                <w:sz w:val="19"/>
              </w:rPr>
            </w:pPr>
            <w:r>
              <w:rPr>
                <w:sz w:val="19"/>
              </w:rPr>
              <w:t>21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pPr>
              <w:pStyle w:val="nTable"/>
              <w:spacing w:after="40"/>
              <w:rPr>
                <w:sz w:val="19"/>
              </w:rPr>
            </w:pPr>
            <w:r>
              <w:rPr>
                <w:snapToGrid w:val="0"/>
                <w:sz w:val="19"/>
                <w:lang w:val="en-US"/>
              </w:rPr>
              <w:t>59 of 2004 (as amended by No. 2 of 2008 s. 77(7))</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r>
        <w:trPr>
          <w:cantSplit/>
          <w:ins w:id="345" w:author="svcMRProcess" w:date="2015-12-13T11:11:00Z"/>
        </w:trPr>
        <w:tc>
          <w:tcPr>
            <w:tcW w:w="2268" w:type="dxa"/>
            <w:tcBorders>
              <w:bottom w:val="single" w:sz="4" w:space="0" w:color="auto"/>
            </w:tcBorders>
          </w:tcPr>
          <w:p>
            <w:pPr>
              <w:pStyle w:val="nTable"/>
              <w:spacing w:after="40"/>
              <w:ind w:right="113"/>
              <w:rPr>
                <w:ins w:id="346" w:author="svcMRProcess" w:date="2015-12-13T11:11:00Z"/>
                <w:i/>
                <w:snapToGrid w:val="0"/>
                <w:sz w:val="19"/>
                <w:lang w:val="en-US"/>
              </w:rPr>
            </w:pPr>
            <w:bookmarkStart w:id="347" w:name="UpToHere"/>
            <w:ins w:id="348" w:author="svcMRProcess" w:date="2015-12-13T11:11:00Z">
              <w:r>
                <w:rPr>
                  <w:i/>
                  <w:iCs/>
                  <w:snapToGrid w:val="0"/>
                  <w:sz w:val="19"/>
                  <w:lang w:val="en-US"/>
                </w:rPr>
                <w:t>Legal Profession Act 2008</w:t>
              </w:r>
              <w:r>
                <w:rPr>
                  <w:i/>
                  <w:snapToGrid w:val="0"/>
                  <w:sz w:val="19"/>
                  <w:lang w:val="en-US"/>
                </w:rPr>
                <w:t xml:space="preserve"> </w:t>
              </w:r>
              <w:r>
                <w:rPr>
                  <w:iCs/>
                  <w:snapToGrid w:val="0"/>
                  <w:sz w:val="19"/>
                  <w:lang w:val="en-US"/>
                </w:rPr>
                <w:t xml:space="preserve">s. 659 </w:t>
              </w:r>
            </w:ins>
          </w:p>
        </w:tc>
        <w:tc>
          <w:tcPr>
            <w:tcW w:w="1134" w:type="dxa"/>
            <w:tcBorders>
              <w:bottom w:val="single" w:sz="4" w:space="0" w:color="auto"/>
            </w:tcBorders>
          </w:tcPr>
          <w:p>
            <w:pPr>
              <w:pStyle w:val="nTable"/>
              <w:spacing w:after="40"/>
              <w:rPr>
                <w:ins w:id="349" w:author="svcMRProcess" w:date="2015-12-13T11:11:00Z"/>
                <w:snapToGrid w:val="0"/>
                <w:sz w:val="19"/>
                <w:lang w:val="en-US"/>
              </w:rPr>
            </w:pPr>
            <w:ins w:id="350" w:author="svcMRProcess" w:date="2015-12-13T11:11:00Z">
              <w:r>
                <w:rPr>
                  <w:snapToGrid w:val="0"/>
                  <w:sz w:val="19"/>
                  <w:lang w:val="en-US"/>
                </w:rPr>
                <w:t>21 of 2008</w:t>
              </w:r>
            </w:ins>
          </w:p>
        </w:tc>
        <w:tc>
          <w:tcPr>
            <w:tcW w:w="1134" w:type="dxa"/>
            <w:tcBorders>
              <w:bottom w:val="single" w:sz="4" w:space="0" w:color="auto"/>
            </w:tcBorders>
          </w:tcPr>
          <w:p>
            <w:pPr>
              <w:pStyle w:val="nTable"/>
              <w:spacing w:after="40"/>
              <w:rPr>
                <w:ins w:id="351" w:author="svcMRProcess" w:date="2015-12-13T11:11:00Z"/>
                <w:sz w:val="19"/>
              </w:rPr>
            </w:pPr>
            <w:ins w:id="352" w:author="svcMRProcess" w:date="2015-12-13T11:11:00Z">
              <w:r>
                <w:rPr>
                  <w:snapToGrid w:val="0"/>
                  <w:sz w:val="19"/>
                  <w:lang w:val="en-US"/>
                </w:rPr>
                <w:t>27 May 2008</w:t>
              </w:r>
            </w:ins>
          </w:p>
        </w:tc>
        <w:tc>
          <w:tcPr>
            <w:tcW w:w="2552" w:type="dxa"/>
            <w:tcBorders>
              <w:bottom w:val="single" w:sz="4" w:space="0" w:color="auto"/>
            </w:tcBorders>
          </w:tcPr>
          <w:p>
            <w:pPr>
              <w:pStyle w:val="nTable"/>
              <w:spacing w:after="40"/>
              <w:rPr>
                <w:ins w:id="353" w:author="svcMRProcess" w:date="2015-12-13T11:11:00Z"/>
                <w:snapToGrid w:val="0"/>
                <w:sz w:val="19"/>
                <w:lang w:val="en-US"/>
              </w:rPr>
            </w:pPr>
            <w:ins w:id="354" w:author="svcMRProcess" w:date="2015-12-13T11:11: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bl>
    <w:bookmarkEnd w:id="347"/>
    <w:p>
      <w:pPr>
        <w:pStyle w:val="nSubsection"/>
        <w:spacing w:before="160"/>
        <w:ind w:left="482" w:hanging="482"/>
      </w:pPr>
      <w:r>
        <w:rPr>
          <w:vertAlign w:val="superscript"/>
        </w:rPr>
        <w:t>1a</w:t>
      </w:r>
      <w:r>
        <w:tab/>
        <w:t>On the date as at which thi</w:t>
      </w:r>
      <w:bookmarkStart w:id="355" w:name="_Hlt507390729"/>
      <w:bookmarkEnd w:id="35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6" w:name="_Toc118520787"/>
      <w:bookmarkStart w:id="357" w:name="_Toc223845733"/>
      <w:bookmarkStart w:id="358" w:name="_Toc199753272"/>
      <w:r>
        <w:t>Provisions that have not come into operation</w:t>
      </w:r>
      <w:bookmarkEnd w:id="356"/>
      <w:bookmarkEnd w:id="357"/>
      <w:bookmarkEnd w:id="35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4" w:type="dxa"/>
            <w:tcBorders>
              <w:bottom w:val="single" w:sz="4" w:space="0" w:color="auto"/>
            </w:tcBorders>
          </w:tcPr>
          <w:p>
            <w:pPr>
              <w:pStyle w:val="nTable"/>
              <w:spacing w:after="40"/>
              <w:rPr>
                <w:sz w:val="19"/>
              </w:rPr>
            </w:pPr>
            <w:r>
              <w:rPr>
                <w:snapToGrid w:val="0"/>
                <w:sz w:val="19"/>
                <w:lang w:val="en-US"/>
              </w:rPr>
              <w:t>25 of 2007</w:t>
            </w:r>
          </w:p>
        </w:tc>
        <w:tc>
          <w:tcPr>
            <w:tcW w:w="1134" w:type="dxa"/>
            <w:tcBorders>
              <w:bottom w:val="single" w:sz="4" w:space="0" w:color="auto"/>
            </w:tcBorders>
          </w:tcPr>
          <w:p>
            <w:pPr>
              <w:pStyle w:val="nTable"/>
              <w:spacing w:after="40"/>
              <w:rPr>
                <w:sz w:val="19"/>
              </w:rPr>
            </w:pPr>
            <w:r>
              <w:rPr>
                <w:sz w:val="19"/>
              </w:rPr>
              <w:t>16 Oct 2007</w:t>
            </w:r>
          </w:p>
        </w:tc>
        <w:tc>
          <w:tcPr>
            <w:tcW w:w="2552"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del w:id="359" w:author="svcMRProcess" w:date="2015-12-13T11:11:00Z"/>
        </w:trPr>
        <w:tc>
          <w:tcPr>
            <w:tcW w:w="2268" w:type="dxa"/>
            <w:tcBorders>
              <w:bottom w:val="single" w:sz="4" w:space="0" w:color="auto"/>
            </w:tcBorders>
          </w:tcPr>
          <w:p>
            <w:pPr>
              <w:pStyle w:val="nTable"/>
              <w:spacing w:after="40"/>
              <w:ind w:right="113"/>
              <w:rPr>
                <w:del w:id="360" w:author="svcMRProcess" w:date="2015-12-13T11:11:00Z"/>
                <w:i/>
                <w:snapToGrid w:val="0"/>
                <w:sz w:val="19"/>
                <w:lang w:val="en-US"/>
              </w:rPr>
            </w:pPr>
            <w:del w:id="361" w:author="svcMRProcess" w:date="2015-12-13T11:11: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659 </w:delText>
              </w:r>
              <w:r>
                <w:rPr>
                  <w:iCs/>
                  <w:snapToGrid w:val="0"/>
                  <w:sz w:val="19"/>
                  <w:vertAlign w:val="superscript"/>
                  <w:lang w:val="en-US"/>
                </w:rPr>
                <w:delText>7</w:delText>
              </w:r>
            </w:del>
          </w:p>
        </w:tc>
        <w:tc>
          <w:tcPr>
            <w:tcW w:w="1134" w:type="dxa"/>
            <w:tcBorders>
              <w:bottom w:val="single" w:sz="4" w:space="0" w:color="auto"/>
            </w:tcBorders>
          </w:tcPr>
          <w:p>
            <w:pPr>
              <w:pStyle w:val="nTable"/>
              <w:spacing w:after="40"/>
              <w:rPr>
                <w:del w:id="362" w:author="svcMRProcess" w:date="2015-12-13T11:11:00Z"/>
                <w:snapToGrid w:val="0"/>
                <w:sz w:val="19"/>
                <w:lang w:val="en-US"/>
              </w:rPr>
            </w:pPr>
            <w:del w:id="363" w:author="svcMRProcess" w:date="2015-12-13T11:11:00Z">
              <w:r>
                <w:rPr>
                  <w:snapToGrid w:val="0"/>
                  <w:sz w:val="19"/>
                  <w:lang w:val="en-US"/>
                </w:rPr>
                <w:delText>21 of 2008</w:delText>
              </w:r>
            </w:del>
          </w:p>
        </w:tc>
        <w:tc>
          <w:tcPr>
            <w:tcW w:w="1134" w:type="dxa"/>
            <w:tcBorders>
              <w:bottom w:val="single" w:sz="4" w:space="0" w:color="auto"/>
            </w:tcBorders>
          </w:tcPr>
          <w:p>
            <w:pPr>
              <w:pStyle w:val="nTable"/>
              <w:spacing w:after="40"/>
              <w:rPr>
                <w:del w:id="364" w:author="svcMRProcess" w:date="2015-12-13T11:11:00Z"/>
                <w:sz w:val="19"/>
              </w:rPr>
            </w:pPr>
            <w:del w:id="365" w:author="svcMRProcess" w:date="2015-12-13T11:11:00Z">
              <w:r>
                <w:rPr>
                  <w:snapToGrid w:val="0"/>
                  <w:sz w:val="19"/>
                  <w:lang w:val="en-US"/>
                </w:rPr>
                <w:delText>27 May 2008</w:delText>
              </w:r>
            </w:del>
          </w:p>
        </w:tc>
        <w:tc>
          <w:tcPr>
            <w:tcW w:w="2552" w:type="dxa"/>
            <w:tcBorders>
              <w:bottom w:val="single" w:sz="4" w:space="0" w:color="auto"/>
            </w:tcBorders>
          </w:tcPr>
          <w:p>
            <w:pPr>
              <w:pStyle w:val="nTable"/>
              <w:spacing w:after="40"/>
              <w:rPr>
                <w:del w:id="366" w:author="svcMRProcess" w:date="2015-12-13T11:11:00Z"/>
                <w:snapToGrid w:val="0"/>
                <w:sz w:val="19"/>
                <w:lang w:val="en-US"/>
              </w:rPr>
            </w:pPr>
            <w:del w:id="367" w:author="svcMRProcess" w:date="2015-12-13T11:11:00Z">
              <w:r>
                <w:rPr>
                  <w:snapToGrid w:val="0"/>
                  <w:sz w:val="19"/>
                  <w:lang w:val="en-US"/>
                </w:rPr>
                <w:delText>To be proclaimed (see s. 2(b))</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Criminal Property Confiscation (Consequential Provisions) Act 2000</w:t>
      </w:r>
      <w:r>
        <w:t xml:space="preserve"> s. 12(3) reads as follows:</w:t>
      </w:r>
    </w:p>
    <w:p>
      <w:pPr>
        <w:pStyle w:val="MiscOpen"/>
        <w:tabs>
          <w:tab w:val="clear" w:pos="893"/>
          <w:tab w:val="left" w:pos="1418"/>
        </w:tabs>
        <w:ind w:left="426"/>
      </w:pPr>
      <w:r>
        <w:t>“</w:t>
      </w: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MiscClose"/>
      </w:pPr>
      <w:r>
        <w:t>”.</w:t>
      </w:r>
    </w:p>
    <w:p>
      <w:pPr>
        <w:pStyle w:val="nSubsection"/>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1 cl. 46 (</w:t>
      </w:r>
      <w:r>
        <w:rPr>
          <w:snapToGrid w:val="0"/>
        </w:rPr>
        <w:t xml:space="preserve">amendment to s. 11(2)) was repealed by the </w:t>
      </w:r>
      <w:r>
        <w:rPr>
          <w:i/>
          <w:iCs/>
          <w:snapToGrid w:val="0"/>
        </w:rPr>
        <w:t>Criminal Law and Evidence Amendment Act 2008</w:t>
      </w:r>
      <w:r>
        <w:rPr>
          <w:snapToGrid w:val="0"/>
        </w:rPr>
        <w:t xml:space="preserve"> s. 77(7).</w:t>
      </w:r>
    </w:p>
    <w:p>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pPr>
        <w:pStyle w:val="MiscOpen"/>
        <w:tabs>
          <w:tab w:val="clear" w:pos="893"/>
          <w:tab w:val="left" w:pos="1418"/>
        </w:tabs>
        <w:ind w:left="426"/>
      </w:pPr>
      <w:r>
        <w:t>“</w:t>
      </w:r>
    </w:p>
    <w:p>
      <w:pPr>
        <w:pStyle w:val="nzSubsection"/>
      </w:pPr>
      <w:r>
        <w:tab/>
        <w:t>(2)</w:t>
      </w:r>
      <w:r>
        <w:tab/>
        <w:t xml:space="preserve">Clause 3 of Schedule 1 to the </w:t>
      </w:r>
      <w:r>
        <w:rPr>
          <w:i/>
        </w:rPr>
        <w:t>Director of Public Prosecutions Act 1991</w:t>
      </w:r>
      <w:r>
        <w:t xml:space="preserve"> is amended as follows:</w:t>
      </w:r>
    </w:p>
    <w:p>
      <w:pPr>
        <w:pStyle w:val="nzIndenta"/>
      </w:pPr>
      <w:r>
        <w:tab/>
        <w:t>(a)</w:t>
      </w:r>
      <w:r>
        <w:tab/>
        <w:t>subclauses (1), (2) and (4) are deleted;</w:t>
      </w:r>
    </w:p>
    <w:p>
      <w:pPr>
        <w:pStyle w:val="nzIndenta"/>
      </w:pPr>
      <w:r>
        <w:tab/>
        <w:t>(b)</w:t>
      </w:r>
      <w:r>
        <w:tab/>
        <w:t xml:space="preserve">in subclause (5) by deleting “a contributor within the meaning of the </w:t>
      </w:r>
      <w:r>
        <w:rPr>
          <w:i/>
        </w:rPr>
        <w:t>Superannuation and Family Benefits Act 1938</w:t>
      </w:r>
      <w:r>
        <w:t xml:space="preserve"> or”;</w:t>
      </w:r>
    </w:p>
    <w:p>
      <w:pPr>
        <w:pStyle w:val="nzIndenta"/>
      </w:pPr>
      <w:r>
        <w:tab/>
        <w:t>(c)</w:t>
      </w:r>
      <w:r>
        <w:tab/>
        <w:t>in subclause (7) by deleting “</w:t>
      </w:r>
      <w:r>
        <w:rPr>
          <w:i/>
        </w:rPr>
        <w:t>Superannuation and Family Benefits Act 1938</w:t>
      </w:r>
      <w:r>
        <w:t xml:space="preserve"> or the”;</w:t>
      </w:r>
    </w:p>
    <w:p>
      <w:pPr>
        <w:pStyle w:val="nzIndenta"/>
      </w:pPr>
      <w:r>
        <w:tab/>
        <w:t>(d)</w:t>
      </w:r>
      <w:r>
        <w:tab/>
        <w:t>in subclause (8) by deleting “the</w:t>
      </w:r>
      <w:r>
        <w:rPr>
          <w:i/>
        </w:rPr>
        <w:t xml:space="preserve"> Superannuation and Family Benefits Act 1938</w:t>
      </w:r>
      <w:r>
        <w:t xml:space="preserve"> or”.</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pPr>
        <w:pStyle w:val="MiscOpen"/>
        <w:keepNext w:val="0"/>
        <w:spacing w:before="60"/>
        <w:rPr>
          <w:sz w:val="20"/>
        </w:rPr>
      </w:pPr>
      <w:r>
        <w:rPr>
          <w:sz w:val="20"/>
        </w:rPr>
        <w:t>“</w:t>
      </w:r>
    </w:p>
    <w:p>
      <w:pPr>
        <w:pStyle w:val="nzHeading5"/>
      </w:pPr>
      <w:bookmarkStart w:id="368" w:name="_Toc170015858"/>
      <w:bookmarkStart w:id="369" w:name="_Toc170033326"/>
      <w:bookmarkStart w:id="370" w:name="_Toc179687592"/>
      <w:bookmarkStart w:id="371" w:name="_Toc180401615"/>
      <w:r>
        <w:rPr>
          <w:rStyle w:val="CharSectno"/>
        </w:rPr>
        <w:t>80</w:t>
      </w:r>
      <w:r>
        <w:t>.</w:t>
      </w:r>
      <w:r>
        <w:tab/>
      </w:r>
      <w:r>
        <w:rPr>
          <w:i/>
        </w:rPr>
        <w:t>Director of Public Prosecutions Act 1991</w:t>
      </w:r>
      <w:r>
        <w:t xml:space="preserve"> amended</w:t>
      </w:r>
      <w:bookmarkEnd w:id="368"/>
      <w:bookmarkEnd w:id="369"/>
      <w:bookmarkEnd w:id="370"/>
      <w:bookmarkEnd w:id="371"/>
    </w:p>
    <w:p>
      <w:pPr>
        <w:pStyle w:val="nzSubsection"/>
      </w:pPr>
      <w:r>
        <w:tab/>
        <w:t>(1)</w:t>
      </w:r>
      <w:r>
        <w:tab/>
        <w:t xml:space="preserve">The amendments in this section are to the </w:t>
      </w:r>
      <w:r>
        <w:rPr>
          <w:i/>
        </w:rPr>
        <w:t>Director of Public Prosecutions Act 1991</w:t>
      </w:r>
      <w:r>
        <w:t>.</w:t>
      </w:r>
    </w:p>
    <w:p>
      <w:pPr>
        <w:pStyle w:val="nzSubsection"/>
      </w:pPr>
      <w:r>
        <w:tab/>
        <w:t>(2)</w:t>
      </w:r>
      <w:r>
        <w:tab/>
        <w:t>Schedule 1 clause 3(5) to (8) are repealed.</w:t>
      </w:r>
    </w:p>
    <w:p>
      <w:pPr>
        <w:pStyle w:val="nzSubsection"/>
      </w:pPr>
      <w:r>
        <w:tab/>
        <w:t>(3)</w:t>
      </w:r>
      <w:r>
        <w:tab/>
        <w:t>After Schedule 1 clause 3 the following clause is inserted —</w:t>
      </w:r>
    </w:p>
    <w:p>
      <w:pPr>
        <w:pStyle w:val="MiscOpen"/>
      </w:pPr>
      <w:r>
        <w:t xml:space="preserve">“    </w:t>
      </w:r>
    </w:p>
    <w:p>
      <w:pPr>
        <w:pStyle w:val="nzHeading5"/>
      </w:pPr>
      <w:bookmarkStart w:id="372" w:name="_Toc170015859"/>
      <w:bookmarkStart w:id="373" w:name="_Toc170033327"/>
      <w:bookmarkStart w:id="374" w:name="_Toc179687593"/>
      <w:bookmarkStart w:id="375" w:name="_Toc180401616"/>
      <w:r>
        <w:t>3A.</w:t>
      </w:r>
      <w:r>
        <w:rPr>
          <w:b w:val="0"/>
        </w:rPr>
        <w:tab/>
      </w:r>
      <w:r>
        <w:rPr>
          <w:iCs/>
        </w:rPr>
        <w:t>Superannuation if subsequently appointed as judge</w:t>
      </w:r>
      <w:bookmarkEnd w:id="372"/>
      <w:bookmarkEnd w:id="373"/>
      <w:bookmarkEnd w:id="374"/>
      <w:bookmarkEnd w:id="375"/>
    </w:p>
    <w:p>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pPr>
        <w:pStyle w:val="nzSubsection"/>
      </w:pPr>
      <w:r>
        <w:tab/>
        <w:t>(5)</w:t>
      </w:r>
      <w:r>
        <w:tab/>
        <w:t>An election under subsection (1) is to be made in writing to the Minister within 30 days after ceasing to be Director and is irrevocable.</w:t>
      </w:r>
    </w:p>
    <w:p>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pPr>
        <w:pStyle w:val="MiscClose"/>
        <w:ind w:right="488"/>
      </w:pPr>
      <w:r>
        <w:t xml:space="preserve">    ”.</w:t>
      </w:r>
    </w:p>
    <w:p>
      <w:pPr>
        <w:pStyle w:val="MiscClose"/>
      </w:pPr>
      <w:r>
        <w:t>”.</w:t>
      </w:r>
    </w:p>
    <w:p>
      <w:pPr>
        <w:pStyle w:val="nSubsection"/>
        <w:rPr>
          <w:del w:id="376" w:author="svcMRProcess" w:date="2015-12-13T11:11:00Z"/>
          <w:snapToGrid w:val="0"/>
        </w:rPr>
      </w:pPr>
      <w:del w:id="377" w:author="svcMRProcess" w:date="2015-12-13T11:11:00Z">
        <w:r>
          <w:rPr>
            <w:snapToGrid w:val="0"/>
            <w:vertAlign w:val="superscript"/>
          </w:rPr>
          <w:delText>7</w:delText>
        </w:r>
        <w:r>
          <w:rPr>
            <w:snapToGrid w:val="0"/>
          </w:rPr>
          <w:tab/>
          <w:delText xml:space="preserve">On the date as at which this compilation was prepared, the </w:delText>
        </w:r>
        <w:r>
          <w:rPr>
            <w:i/>
            <w:iCs/>
            <w:snapToGrid w:val="0"/>
            <w:lang w:val="en-US"/>
          </w:rPr>
          <w:delText>Legal Profession Act 2008</w:delText>
        </w:r>
        <w:r>
          <w:rPr>
            <w:snapToGrid w:val="0"/>
            <w:lang w:val="en-US"/>
          </w:rPr>
          <w:delText xml:space="preserve"> s. 659</w:delText>
        </w:r>
        <w:r>
          <w:rPr>
            <w:snapToGrid w:val="0"/>
          </w:rPr>
          <w:delText xml:space="preserve"> had not come into operation.  It reads as follows:</w:delText>
        </w:r>
      </w:del>
    </w:p>
    <w:p>
      <w:pPr>
        <w:pStyle w:val="MiscOpen"/>
        <w:rPr>
          <w:del w:id="378" w:author="svcMRProcess" w:date="2015-12-13T11:11:00Z"/>
          <w:snapToGrid w:val="0"/>
        </w:rPr>
      </w:pPr>
      <w:del w:id="379" w:author="svcMRProcess" w:date="2015-12-13T11:11:00Z">
        <w:r>
          <w:rPr>
            <w:snapToGrid w:val="0"/>
          </w:rPr>
          <w:delText>“</w:delText>
        </w:r>
      </w:del>
    </w:p>
    <w:p>
      <w:pPr>
        <w:pStyle w:val="nzHeading5"/>
        <w:rPr>
          <w:del w:id="380" w:author="svcMRProcess" w:date="2015-12-13T11:11:00Z"/>
        </w:rPr>
      </w:pPr>
      <w:bookmarkStart w:id="381" w:name="_Toc198708636"/>
      <w:del w:id="382" w:author="svcMRProcess" w:date="2015-12-13T11:11:00Z">
        <w:r>
          <w:rPr>
            <w:rStyle w:val="CharSectno"/>
          </w:rPr>
          <w:delText>659</w:delText>
        </w:r>
        <w:r>
          <w:delText>.</w:delText>
        </w:r>
        <w:r>
          <w:tab/>
        </w:r>
        <w:r>
          <w:rPr>
            <w:i/>
            <w:iCs/>
          </w:rPr>
          <w:delText>Director of Public Prosecutions Act 1991</w:delText>
        </w:r>
        <w:r>
          <w:delText xml:space="preserve"> amended</w:delText>
        </w:r>
        <w:bookmarkEnd w:id="381"/>
      </w:del>
    </w:p>
    <w:p>
      <w:pPr>
        <w:pStyle w:val="nzSubsection"/>
        <w:rPr>
          <w:del w:id="383" w:author="svcMRProcess" w:date="2015-12-13T11:11:00Z"/>
        </w:rPr>
      </w:pPr>
      <w:del w:id="384" w:author="svcMRProcess" w:date="2015-12-13T11:11:00Z">
        <w:r>
          <w:tab/>
          <w:delText>(1)</w:delText>
        </w:r>
        <w:r>
          <w:tab/>
          <w:delText xml:space="preserve">The amendments in this section are to the </w:delText>
        </w:r>
        <w:r>
          <w:rPr>
            <w:i/>
            <w:iCs/>
          </w:rPr>
          <w:delText>Director of Public Prosecutions Act 1991</w:delText>
        </w:r>
        <w:r>
          <w:delText>.</w:delText>
        </w:r>
      </w:del>
    </w:p>
    <w:p>
      <w:pPr>
        <w:pStyle w:val="nzSubsection"/>
        <w:rPr>
          <w:del w:id="385" w:author="svcMRProcess" w:date="2015-12-13T11:11:00Z"/>
        </w:rPr>
      </w:pPr>
      <w:del w:id="386" w:author="svcMRProcess" w:date="2015-12-13T11:11:00Z">
        <w:r>
          <w:tab/>
          <w:delText>(2)</w:delText>
        </w:r>
        <w:r>
          <w:tab/>
          <w:delText>Section 3 is amended as follows:</w:delText>
        </w:r>
      </w:del>
    </w:p>
    <w:p>
      <w:pPr>
        <w:pStyle w:val="nzIndenta"/>
        <w:rPr>
          <w:del w:id="387" w:author="svcMRProcess" w:date="2015-12-13T11:11:00Z"/>
        </w:rPr>
      </w:pPr>
      <w:del w:id="388" w:author="svcMRProcess" w:date="2015-12-13T11:11:00Z">
        <w:r>
          <w:tab/>
          <w:delText>(a)</w:delText>
        </w:r>
        <w:r>
          <w:tab/>
          <w:delText xml:space="preserve">by inserting in the appropriate alphabetical position — </w:delText>
        </w:r>
      </w:del>
    </w:p>
    <w:p>
      <w:pPr>
        <w:pStyle w:val="MiscOpen"/>
        <w:ind w:left="880"/>
        <w:rPr>
          <w:del w:id="389" w:author="svcMRProcess" w:date="2015-12-13T11:11:00Z"/>
        </w:rPr>
      </w:pPr>
      <w:del w:id="390" w:author="svcMRProcess" w:date="2015-12-13T11:11:00Z">
        <w:r>
          <w:delText xml:space="preserve">“    </w:delText>
        </w:r>
      </w:del>
    </w:p>
    <w:p>
      <w:pPr>
        <w:pStyle w:val="nzDefstart"/>
        <w:rPr>
          <w:del w:id="391" w:author="svcMRProcess" w:date="2015-12-13T11:11:00Z"/>
        </w:rPr>
      </w:pPr>
      <w:del w:id="392" w:author="svcMRProcess" w:date="2015-12-13T11:11:00Z">
        <w:r>
          <w:rPr>
            <w:b/>
          </w:rPr>
          <w:tab/>
        </w:r>
        <w:r>
          <w:rPr>
            <w:rStyle w:val="CharDefText"/>
          </w:rPr>
          <w:delText>Australian lawyer</w:delText>
        </w:r>
        <w:r>
          <w:delText xml:space="preserve"> has the meaning given in the </w:delText>
        </w:r>
        <w:r>
          <w:rPr>
            <w:i/>
            <w:iCs/>
          </w:rPr>
          <w:delText>Legal Profession Act 2008</w:delText>
        </w:r>
        <w:r>
          <w:delText xml:space="preserve"> section 3;</w:delText>
        </w:r>
      </w:del>
    </w:p>
    <w:p>
      <w:pPr>
        <w:pStyle w:val="MiscClose"/>
        <w:rPr>
          <w:del w:id="393" w:author="svcMRProcess" w:date="2015-12-13T11:11:00Z"/>
        </w:rPr>
      </w:pPr>
      <w:del w:id="394" w:author="svcMRProcess" w:date="2015-12-13T11:11:00Z">
        <w:r>
          <w:delText xml:space="preserve">    ”;</w:delText>
        </w:r>
      </w:del>
    </w:p>
    <w:p>
      <w:pPr>
        <w:pStyle w:val="nzIndenta"/>
        <w:rPr>
          <w:del w:id="395" w:author="svcMRProcess" w:date="2015-12-13T11:11:00Z"/>
        </w:rPr>
      </w:pPr>
      <w:del w:id="396" w:author="svcMRProcess" w:date="2015-12-13T11:11:00Z">
        <w:r>
          <w:tab/>
          <w:delText>(b)</w:delText>
        </w:r>
        <w:r>
          <w:tab/>
          <w:delText xml:space="preserve">by deleting the definition of “legal practitioner” and inserting instead — </w:delText>
        </w:r>
      </w:del>
    </w:p>
    <w:p>
      <w:pPr>
        <w:pStyle w:val="MiscOpen"/>
        <w:ind w:left="880"/>
        <w:rPr>
          <w:del w:id="397" w:author="svcMRProcess" w:date="2015-12-13T11:11:00Z"/>
        </w:rPr>
      </w:pPr>
      <w:del w:id="398" w:author="svcMRProcess" w:date="2015-12-13T11:11:00Z">
        <w:r>
          <w:delText xml:space="preserve">“    </w:delText>
        </w:r>
      </w:del>
    </w:p>
    <w:p>
      <w:pPr>
        <w:pStyle w:val="nzDefstart"/>
        <w:rPr>
          <w:del w:id="399" w:author="svcMRProcess" w:date="2015-12-13T11:11:00Z"/>
        </w:rPr>
      </w:pPr>
      <w:del w:id="400" w:author="svcMRProcess" w:date="2015-12-13T11:11: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401" w:author="svcMRProcess" w:date="2015-12-13T11:11:00Z"/>
        </w:rPr>
      </w:pPr>
      <w:del w:id="402" w:author="svcMRProcess" w:date="2015-12-13T11:11:00Z">
        <w:r>
          <w:delText xml:space="preserve">    ”.</w:delText>
        </w:r>
      </w:del>
    </w:p>
    <w:p>
      <w:pPr>
        <w:pStyle w:val="nzSubsection"/>
        <w:rPr>
          <w:del w:id="403" w:author="svcMRProcess" w:date="2015-12-13T11:11:00Z"/>
        </w:rPr>
      </w:pPr>
      <w:del w:id="404" w:author="svcMRProcess" w:date="2015-12-13T11:11:00Z">
        <w:r>
          <w:tab/>
          <w:delText>(3)</w:delText>
        </w:r>
        <w:r>
          <w:tab/>
          <w:delText xml:space="preserve">Section 5(2) is repealed and the following subsections are inserted instead — </w:delText>
        </w:r>
      </w:del>
    </w:p>
    <w:p>
      <w:pPr>
        <w:pStyle w:val="MiscOpen"/>
        <w:ind w:left="600"/>
        <w:rPr>
          <w:del w:id="405" w:author="svcMRProcess" w:date="2015-12-13T11:11:00Z"/>
        </w:rPr>
      </w:pPr>
      <w:del w:id="406" w:author="svcMRProcess" w:date="2015-12-13T11:11:00Z">
        <w:r>
          <w:delText xml:space="preserve">“    </w:delText>
        </w:r>
      </w:del>
    </w:p>
    <w:p>
      <w:pPr>
        <w:pStyle w:val="nzSubsection"/>
        <w:rPr>
          <w:del w:id="407" w:author="svcMRProcess" w:date="2015-12-13T11:11:00Z"/>
        </w:rPr>
      </w:pPr>
      <w:del w:id="408" w:author="svcMRProcess" w:date="2015-12-13T11:11:00Z">
        <w:r>
          <w:tab/>
          <w:delText>(2)</w:delText>
        </w:r>
        <w:r>
          <w:tab/>
          <w:delText>A person is eligible for appointment to the office of Director if that person is an Australian lawyer and has had not less than 8 years’ legal experience.</w:delText>
        </w:r>
      </w:del>
    </w:p>
    <w:p>
      <w:pPr>
        <w:pStyle w:val="nzSubsection"/>
        <w:rPr>
          <w:del w:id="409" w:author="svcMRProcess" w:date="2015-12-13T11:11:00Z"/>
        </w:rPr>
      </w:pPr>
      <w:del w:id="410" w:author="svcMRProcess" w:date="2015-12-13T11:11:00Z">
        <w:r>
          <w:tab/>
          <w:delText>(3)</w:delText>
        </w:r>
        <w:r>
          <w:tab/>
          <w:delText>A person is eligible for appointment to the office of Deputy Director if that person is an Australian lawyer and has had not less than 5 years’ legal experience.</w:delText>
        </w:r>
      </w:del>
    </w:p>
    <w:p>
      <w:pPr>
        <w:pStyle w:val="nzSubsection"/>
        <w:rPr>
          <w:del w:id="411" w:author="svcMRProcess" w:date="2015-12-13T11:11:00Z"/>
        </w:rPr>
      </w:pPr>
      <w:del w:id="412" w:author="svcMRProcess" w:date="2015-12-13T11:11:00Z">
        <w:r>
          <w:tab/>
          <w:delText>(4)</w:delText>
        </w:r>
        <w:r>
          <w:tab/>
          <w:delText xml:space="preserve">In subsections (2) and (3) — </w:delText>
        </w:r>
      </w:del>
    </w:p>
    <w:p>
      <w:pPr>
        <w:pStyle w:val="nzDefstart"/>
        <w:rPr>
          <w:del w:id="413" w:author="svcMRProcess" w:date="2015-12-13T11:11:00Z"/>
        </w:rPr>
      </w:pPr>
      <w:del w:id="414" w:author="svcMRProcess" w:date="2015-12-13T11:11:00Z">
        <w:r>
          <w:rPr>
            <w:b/>
          </w:rPr>
          <w:tab/>
        </w:r>
        <w:r>
          <w:rPr>
            <w:rStyle w:val="CharDefText"/>
          </w:rPr>
          <w:delText>legal experience</w:delText>
        </w:r>
        <w:r>
          <w:rPr>
            <w:b/>
            <w:bCs/>
          </w:rPr>
          <w:delText xml:space="preserve"> </w:delText>
        </w:r>
        <w:r>
          <w:delText xml:space="preserve">means — </w:delText>
        </w:r>
      </w:del>
    </w:p>
    <w:p>
      <w:pPr>
        <w:pStyle w:val="nzDefpara"/>
        <w:rPr>
          <w:del w:id="415" w:author="svcMRProcess" w:date="2015-12-13T11:11:00Z"/>
        </w:rPr>
      </w:pPr>
      <w:del w:id="416" w:author="svcMRProcess" w:date="2015-12-13T11:11:00Z">
        <w:r>
          <w:tab/>
          <w:delText>(a)</w:delText>
        </w:r>
        <w:r>
          <w:tab/>
          <w:delText>standing and practice as a legal practitioner; or</w:delText>
        </w:r>
      </w:del>
    </w:p>
    <w:p>
      <w:pPr>
        <w:pStyle w:val="nzDefpara"/>
        <w:rPr>
          <w:del w:id="417" w:author="svcMRProcess" w:date="2015-12-13T11:11:00Z"/>
        </w:rPr>
      </w:pPr>
      <w:del w:id="418" w:author="svcMRProcess" w:date="2015-12-13T11:11:00Z">
        <w:r>
          <w:tab/>
          <w:delText>(b)</w:delText>
        </w:r>
        <w:r>
          <w:tab/>
          <w:delText>judicial service (including service as a judge of a court, a magistrate or other judicial officer) in the State or elsewhere in a common law jurisdiction; or</w:delText>
        </w:r>
      </w:del>
    </w:p>
    <w:p>
      <w:pPr>
        <w:pStyle w:val="nzDefpara"/>
        <w:rPr>
          <w:del w:id="419" w:author="svcMRProcess" w:date="2015-12-13T11:11:00Z"/>
        </w:rPr>
      </w:pPr>
      <w:del w:id="420" w:author="svcMRProcess" w:date="2015-12-13T11:11:00Z">
        <w:r>
          <w:tab/>
          <w:delText>(c)</w:delText>
        </w:r>
        <w:r>
          <w:tab/>
          <w:delText>a combination of both kinds of legal experience mentioned in paragraphs (a) and (b).</w:delText>
        </w:r>
      </w:del>
    </w:p>
    <w:p>
      <w:pPr>
        <w:pStyle w:val="MiscClose"/>
        <w:rPr>
          <w:del w:id="421" w:author="svcMRProcess" w:date="2015-12-13T11:11:00Z"/>
        </w:rPr>
      </w:pPr>
      <w:del w:id="422" w:author="svcMRProcess" w:date="2015-12-13T11:11:00Z">
        <w:r>
          <w:delText xml:space="preserve">    ”.</w:delText>
        </w:r>
      </w:del>
    </w:p>
    <w:p>
      <w:pPr>
        <w:pStyle w:val="nzSubsection"/>
        <w:rPr>
          <w:del w:id="423" w:author="svcMRProcess" w:date="2015-12-13T11:11:00Z"/>
        </w:rPr>
      </w:pPr>
      <w:del w:id="424" w:author="svcMRProcess" w:date="2015-12-13T11:11:00Z">
        <w:r>
          <w:tab/>
          <w:delText>(4)</w:delText>
        </w:r>
        <w:r>
          <w:tab/>
          <w:delText xml:space="preserve">Section 8(1) is amended by deleting “a legal practitioner” and inserting instead — </w:delText>
        </w:r>
      </w:del>
    </w:p>
    <w:p>
      <w:pPr>
        <w:pStyle w:val="nzSubsection"/>
        <w:rPr>
          <w:del w:id="425" w:author="svcMRProcess" w:date="2015-12-13T11:11:00Z"/>
        </w:rPr>
      </w:pPr>
      <w:del w:id="426" w:author="svcMRProcess" w:date="2015-12-13T11:11:00Z">
        <w:r>
          <w:tab/>
        </w:r>
        <w:r>
          <w:tab/>
          <w:delText>“    a person    ”.</w:delText>
        </w:r>
      </w:del>
    </w:p>
    <w:p>
      <w:pPr>
        <w:pStyle w:val="nzSubsection"/>
        <w:rPr>
          <w:del w:id="427" w:author="svcMRProcess" w:date="2015-12-13T11:11:00Z"/>
        </w:rPr>
      </w:pPr>
      <w:del w:id="428" w:author="svcMRProcess" w:date="2015-12-13T11:11:00Z">
        <w:r>
          <w:tab/>
          <w:delText>(5)</w:delText>
        </w:r>
        <w:r>
          <w:tab/>
          <w:delText xml:space="preserve">Section 8(4) is amended by deleting “a legal practitioner” and inserting instead — </w:delText>
        </w:r>
      </w:del>
    </w:p>
    <w:p>
      <w:pPr>
        <w:pStyle w:val="nzSubsection"/>
        <w:rPr>
          <w:del w:id="429" w:author="svcMRProcess" w:date="2015-12-13T11:11:00Z"/>
        </w:rPr>
      </w:pPr>
      <w:del w:id="430" w:author="svcMRProcess" w:date="2015-12-13T11:11:00Z">
        <w:r>
          <w:tab/>
        </w:r>
        <w:r>
          <w:tab/>
          <w:delText>“    a person    ”.</w:delText>
        </w:r>
      </w:del>
    </w:p>
    <w:p>
      <w:pPr>
        <w:pStyle w:val="MiscClose"/>
        <w:rPr>
          <w:del w:id="431" w:author="svcMRProcess" w:date="2015-12-13T11:11:00Z"/>
          <w:snapToGrid w:val="0"/>
        </w:rPr>
      </w:pPr>
      <w:del w:id="432" w:author="svcMRProcess" w:date="2015-12-13T11:11:00Z">
        <w:r>
          <w:rPr>
            <w:snapToGrid w:val="0"/>
          </w:rPr>
          <w:delText>”.</w:delText>
        </w:r>
      </w:del>
    </w:p>
    <w:p/>
    <w:p>
      <w:pPr>
        <w:sectPr>
          <w:headerReference w:type="even" r:id="rId24"/>
          <w:headerReference w:type="default" r:id="rId25"/>
          <w:pgSz w:w="11906" w:h="16838" w:code="9"/>
          <w:pgMar w:top="2381" w:right="2409" w:bottom="3543" w:left="2409"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334"/>
    <w:docVar w:name="WAFER_20151210102334" w:val="RemoveTrackChanges"/>
    <w:docVar w:name="WAFER_20151210102334_GUID" w:val="c1c9a1e9-54ce-4e85-8844-e5ad7663b1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6461</Words>
  <Characters>30884</Characters>
  <Application>Microsoft Office Word</Application>
  <DocSecurity>0</DocSecurity>
  <Lines>857</Lines>
  <Paragraphs>466</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02-e0-04 - 02-f0-04</dc:title>
  <dc:subject/>
  <dc:creator/>
  <cp:keywords/>
  <dc:description/>
  <cp:lastModifiedBy>svcMRProcess</cp:lastModifiedBy>
  <cp:revision>2</cp:revision>
  <cp:lastPrinted>2005-11-28T00:59:00Z</cp:lastPrinted>
  <dcterms:created xsi:type="dcterms:W3CDTF">2015-12-13T03:11:00Z</dcterms:created>
  <dcterms:modified xsi:type="dcterms:W3CDTF">2015-12-13T03:11:00Z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FromSuffix">
    <vt:lpwstr>02-e0-04</vt:lpwstr>
  </property>
  <property fmtid="{D5CDD505-2E9C-101B-9397-08002B2CF9AE}" pid="8" name="FromAsAtDate">
    <vt:lpwstr>27 May 2008</vt:lpwstr>
  </property>
  <property fmtid="{D5CDD505-2E9C-101B-9397-08002B2CF9AE}" pid="9" name="ToSuffix">
    <vt:lpwstr>02-f0-04</vt:lpwstr>
  </property>
  <property fmtid="{D5CDD505-2E9C-101B-9397-08002B2CF9AE}" pid="10" name="ToAsAtDate">
    <vt:lpwstr>01 Mar 2009</vt:lpwstr>
  </property>
</Properties>
</file>