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Valuers Licensing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02-f0-05</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02-g0-03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1440"/>
      </w:pPr>
      <w:r>
        <w:t xml:space="preserve">Land Valuers Licensing Act 1978 </w:t>
      </w:r>
    </w:p>
    <w:p>
      <w:pPr>
        <w:pStyle w:val="LongTitle"/>
        <w:rPr>
          <w:snapToGrid w:val="0"/>
        </w:rPr>
      </w:pPr>
      <w:r>
        <w:rPr>
          <w:snapToGrid w:val="0"/>
        </w:rPr>
        <w:t>A</w:t>
      </w:r>
      <w:bookmarkStart w:id="0" w:name="_GoBack"/>
      <w:bookmarkEnd w:id="0"/>
      <w:r>
        <w:rPr>
          <w:snapToGrid w:val="0"/>
        </w:rPr>
        <w:t xml:space="preserve">n Act to provide for the licensing of land valuers and for related purposes. </w:t>
      </w:r>
    </w:p>
    <w:p>
      <w:pPr>
        <w:pStyle w:val="Heading2"/>
      </w:pPr>
      <w:bookmarkStart w:id="1" w:name="_Toc89523131"/>
      <w:bookmarkStart w:id="2" w:name="_Toc89523179"/>
      <w:bookmarkStart w:id="3" w:name="_Toc92864325"/>
      <w:bookmarkStart w:id="4" w:name="_Toc97104104"/>
      <w:bookmarkStart w:id="5" w:name="_Toc102376424"/>
      <w:bookmarkStart w:id="6" w:name="_Toc132075308"/>
      <w:bookmarkStart w:id="7" w:name="_Toc132608661"/>
      <w:bookmarkStart w:id="8" w:name="_Toc132703355"/>
      <w:bookmarkStart w:id="9" w:name="_Toc134851042"/>
      <w:bookmarkStart w:id="10" w:name="_Toc137349804"/>
      <w:bookmarkStart w:id="11" w:name="_Toc172101507"/>
      <w:bookmarkStart w:id="12" w:name="_Toc193252393"/>
      <w:bookmarkStart w:id="13" w:name="_Toc196790597"/>
      <w:bookmarkStart w:id="14" w:name="_Toc199749691"/>
      <w:bookmarkStart w:id="15" w:name="_Toc22385275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411307494"/>
      <w:bookmarkStart w:id="17" w:name="_Toc7250784"/>
      <w:bookmarkStart w:id="18" w:name="_Toc102376425"/>
      <w:bookmarkStart w:id="19" w:name="_Toc223852752"/>
      <w:bookmarkStart w:id="20" w:name="_Toc199749692"/>
      <w:r>
        <w:rPr>
          <w:rStyle w:val="CharSectno"/>
        </w:rPr>
        <w:t>1</w:t>
      </w:r>
      <w:r>
        <w:rPr>
          <w:snapToGrid w:val="0"/>
        </w:rPr>
        <w:t>.</w:t>
      </w:r>
      <w:r>
        <w:rPr>
          <w:snapToGrid w:val="0"/>
        </w:rPr>
        <w:tab/>
        <w:t>Short title</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Valuers Licensing Act 1978 </w:t>
      </w:r>
      <w:r>
        <w:rPr>
          <w:snapToGrid w:val="0"/>
          <w:vertAlign w:val="superscript"/>
        </w:rPr>
        <w:t>1</w:t>
      </w:r>
      <w:r>
        <w:rPr>
          <w:snapToGrid w:val="0"/>
        </w:rPr>
        <w:t>.</w:t>
      </w:r>
    </w:p>
    <w:p>
      <w:pPr>
        <w:pStyle w:val="Heading5"/>
        <w:rPr>
          <w:snapToGrid w:val="0"/>
        </w:rPr>
      </w:pPr>
      <w:bookmarkStart w:id="21" w:name="_Toc411307495"/>
      <w:bookmarkStart w:id="22" w:name="_Toc7250785"/>
      <w:bookmarkStart w:id="23" w:name="_Toc102376426"/>
      <w:bookmarkStart w:id="24" w:name="_Toc223852753"/>
      <w:bookmarkStart w:id="25" w:name="_Toc199749693"/>
      <w:r>
        <w:rPr>
          <w:rStyle w:val="CharSectno"/>
        </w:rPr>
        <w:t>2</w:t>
      </w:r>
      <w:r>
        <w:rPr>
          <w:snapToGrid w:val="0"/>
        </w:rPr>
        <w:t>.</w:t>
      </w:r>
      <w:r>
        <w:rPr>
          <w:snapToGrid w:val="0"/>
        </w:rPr>
        <w:tab/>
        <w:t>Commencement</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r>
      <w:del w:id="26" w:author="svcMRProcess" w:date="2018-09-04T07:23:00Z">
        <w:r>
          <w:delText>Repealed</w:delText>
        </w:r>
      </w:del>
      <w:ins w:id="27" w:author="svcMRProcess" w:date="2018-09-04T07:23:00Z">
        <w:r>
          <w:t>Deleted</w:t>
        </w:r>
      </w:ins>
      <w:r>
        <w:t xml:space="preserve"> by No. 56 of 1995 s. 26.] </w:t>
      </w:r>
    </w:p>
    <w:p>
      <w:pPr>
        <w:pStyle w:val="Heading5"/>
        <w:rPr>
          <w:snapToGrid w:val="0"/>
        </w:rPr>
      </w:pPr>
      <w:bookmarkStart w:id="28" w:name="_Toc411307496"/>
      <w:bookmarkStart w:id="29" w:name="_Toc7250786"/>
      <w:bookmarkStart w:id="30" w:name="_Toc102376427"/>
      <w:bookmarkStart w:id="31" w:name="_Toc223852754"/>
      <w:bookmarkStart w:id="32" w:name="_Toc199749694"/>
      <w:r>
        <w:rPr>
          <w:rStyle w:val="CharSectno"/>
        </w:rPr>
        <w:t>4</w:t>
      </w:r>
      <w:r>
        <w:rPr>
          <w:snapToGrid w:val="0"/>
        </w:rPr>
        <w:t>.</w:t>
      </w:r>
      <w:r>
        <w:rPr>
          <w:snapToGrid w:val="0"/>
        </w:rPr>
        <w:tab/>
        <w:t>Interpretation</w:t>
      </w:r>
      <w:bookmarkEnd w:id="28"/>
      <w:bookmarkEnd w:id="29"/>
      <w:bookmarkEnd w:id="30"/>
      <w:bookmarkEnd w:id="31"/>
      <w:bookmarkEnd w:id="32"/>
      <w:r>
        <w:rPr>
          <w:snapToGrid w:val="0"/>
        </w:rPr>
        <w:t xml:space="preserve"> </w:t>
      </w:r>
    </w:p>
    <w:p>
      <w:pPr>
        <w:pStyle w:val="Subsection"/>
        <w:keepNext/>
        <w:rPr>
          <w:snapToGrid w:val="0"/>
        </w:rPr>
      </w:pPr>
      <w:r>
        <w:rPr>
          <w:snapToGrid w:val="0"/>
        </w:rPr>
        <w:tab/>
      </w:r>
      <w:r>
        <w:rPr>
          <w:snapToGrid w:val="0"/>
        </w:rPr>
        <w:tab/>
        <w:t>In this Act unless the context otherwise requires — </w:t>
      </w:r>
    </w:p>
    <w:p>
      <w:pPr>
        <w:pStyle w:val="Defstart"/>
      </w:pPr>
      <w:r>
        <w:rPr>
          <w:b/>
        </w:rPr>
        <w:tab/>
      </w:r>
      <w:r>
        <w:rPr>
          <w:rStyle w:val="CharDefText"/>
        </w:rPr>
        <w:t>approved</w:t>
      </w:r>
      <w:r>
        <w:t xml:space="preserve"> means approved by the Board;</w:t>
      </w:r>
    </w:p>
    <w:p>
      <w:pPr>
        <w:pStyle w:val="Defstart"/>
      </w:pPr>
      <w:r>
        <w:tab/>
      </w:r>
      <w:r>
        <w:rPr>
          <w:rStyle w:val="CharDefText"/>
        </w:rPr>
        <w:t>Australian Property Institute</w:t>
      </w:r>
      <w:r>
        <w:t xml:space="preserve"> means the incorporated association known as the Australian Property Institute;</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corporation</w:t>
      </w:r>
      <w:r>
        <w:t xml:space="preserve"> means any body corporate;</w:t>
      </w:r>
    </w:p>
    <w:p>
      <w:pPr>
        <w:pStyle w:val="Defstart"/>
      </w:pPr>
      <w:r>
        <w:rPr>
          <w:b/>
        </w:rPr>
        <w:tab/>
      </w:r>
      <w:r>
        <w:rPr>
          <w:rStyle w:val="CharDefText"/>
        </w:rPr>
        <w:t>land</w:t>
      </w:r>
      <w:r>
        <w:t xml:space="preserve"> includes any estate or interest in land;</w:t>
      </w:r>
    </w:p>
    <w:p>
      <w:pPr>
        <w:pStyle w:val="Defstart"/>
        <w:rPr>
          <w:ins w:id="33" w:author="svcMRProcess" w:date="2018-09-04T07:23:00Z"/>
        </w:rPr>
      </w:pPr>
      <w:ins w:id="34" w:author="svcMRProcess" w:date="2018-09-04T07:23:00Z">
        <w:r>
          <w:rPr>
            <w:b/>
          </w:rPr>
          <w:tab/>
        </w:r>
        <w:r>
          <w:rPr>
            <w:rStyle w:val="CharDefText"/>
          </w:rPr>
          <w:t>lawyer</w:t>
        </w:r>
        <w:r>
          <w:t xml:space="preserve"> means an Australian lawyer within the meaning of that term in the </w:t>
        </w:r>
        <w:r>
          <w:rPr>
            <w:i/>
            <w:iCs/>
          </w:rPr>
          <w:t>Legal Profession Act 2008</w:t>
        </w:r>
        <w:r>
          <w:t xml:space="preserve"> section 3;</w:t>
        </w:r>
      </w:ins>
    </w:p>
    <w:p>
      <w:pPr>
        <w:pStyle w:val="Defstart"/>
      </w:pPr>
      <w:r>
        <w:rPr>
          <w:b/>
        </w:rPr>
        <w:tab/>
      </w:r>
      <w:r>
        <w:rPr>
          <w:rStyle w:val="CharDefText"/>
        </w:rPr>
        <w:t>legal practitioner</w:t>
      </w:r>
      <w:r>
        <w:t xml:space="preserve"> means </w:t>
      </w:r>
      <w:del w:id="35" w:author="svcMRProcess" w:date="2018-09-04T07:23:00Z">
        <w:r>
          <w:delText>a certificated</w:delText>
        </w:r>
      </w:del>
      <w:ins w:id="36" w:author="svcMRProcess" w:date="2018-09-04T07:23:00Z">
        <w:r>
          <w:t>an Australian legal</w:t>
        </w:r>
      </w:ins>
      <w:r>
        <w:t xml:space="preserve"> practitioner within the meaning of </w:t>
      </w:r>
      <w:ins w:id="37" w:author="svcMRProcess" w:date="2018-09-04T07:23:00Z">
        <w:r>
          <w:t xml:space="preserve">that term in </w:t>
        </w:r>
      </w:ins>
      <w:r>
        <w:t xml:space="preserve">the </w:t>
      </w:r>
      <w:r>
        <w:rPr>
          <w:i/>
          <w:iCs/>
        </w:rPr>
        <w:t xml:space="preserve">Legal </w:t>
      </w:r>
      <w:del w:id="38" w:author="svcMRProcess" w:date="2018-09-04T07:23:00Z">
        <w:r>
          <w:rPr>
            <w:i/>
          </w:rPr>
          <w:delText>Practice</w:delText>
        </w:r>
      </w:del>
      <w:ins w:id="39" w:author="svcMRProcess" w:date="2018-09-04T07:23:00Z">
        <w:r>
          <w:rPr>
            <w:i/>
            <w:iCs/>
          </w:rPr>
          <w:t>Profession</w:t>
        </w:r>
      </w:ins>
      <w:r>
        <w:rPr>
          <w:i/>
          <w:iCs/>
        </w:rPr>
        <w:t xml:space="preserve"> Act </w:t>
      </w:r>
      <w:del w:id="40" w:author="svcMRProcess" w:date="2018-09-04T07:23:00Z">
        <w:r>
          <w:rPr>
            <w:i/>
          </w:rPr>
          <w:delText>2003</w:delText>
        </w:r>
      </w:del>
      <w:ins w:id="41" w:author="svcMRProcess" w:date="2018-09-04T07:23:00Z">
        <w:r>
          <w:rPr>
            <w:i/>
            <w:iCs/>
          </w:rPr>
          <w:t>2008</w:t>
        </w:r>
        <w:r>
          <w:t xml:space="preserve"> section 3</w:t>
        </w:r>
      </w:ins>
      <w:r>
        <w:t>;</w:t>
      </w:r>
    </w:p>
    <w:p>
      <w:pPr>
        <w:pStyle w:val="Defstart"/>
      </w:pPr>
      <w:r>
        <w:rPr>
          <w:b/>
        </w:rPr>
        <w:tab/>
      </w:r>
      <w:r>
        <w:rPr>
          <w:rStyle w:val="CharDefText"/>
        </w:rPr>
        <w:t>licence</w:t>
      </w:r>
      <w:r>
        <w:t xml:space="preserve"> means a licence under this Act;</w:t>
      </w:r>
    </w:p>
    <w:p>
      <w:pPr>
        <w:pStyle w:val="Defstart"/>
      </w:pPr>
      <w:r>
        <w:rPr>
          <w:b/>
        </w:rPr>
        <w:tab/>
      </w:r>
      <w:r>
        <w:rPr>
          <w:rStyle w:val="CharDefText"/>
        </w:rPr>
        <w:t>licensed valuer</w:t>
      </w:r>
      <w:r>
        <w:t xml:space="preserve"> means a person licensed under this Act;</w:t>
      </w:r>
    </w:p>
    <w:p>
      <w:pPr>
        <w:pStyle w:val="Defstart"/>
      </w:pPr>
      <w:r>
        <w:rPr>
          <w:b/>
        </w:rPr>
        <w:tab/>
      </w:r>
      <w:r>
        <w:rPr>
          <w:rStyle w:val="CharDefText"/>
        </w:rPr>
        <w:t>licensed valuers code of conduct</w:t>
      </w:r>
      <w:r>
        <w:t xml:space="preserve"> means the code published under section 26;</w:t>
      </w:r>
    </w:p>
    <w:p>
      <w:pPr>
        <w:pStyle w:val="Defstart"/>
      </w:pPr>
      <w:r>
        <w:rPr>
          <w:b/>
        </w:rPr>
        <w:tab/>
      </w:r>
      <w:r>
        <w:rPr>
          <w:rStyle w:val="CharDefText"/>
        </w:rPr>
        <w:t>member</w:t>
      </w:r>
      <w:r>
        <w:t xml:space="preserve"> means a member of the Board and includes the Chairman;</w:t>
      </w:r>
    </w:p>
    <w:p>
      <w:pPr>
        <w:pStyle w:val="Defstart"/>
      </w:pPr>
      <w:r>
        <w:rPr>
          <w:b/>
        </w:rPr>
        <w:lastRenderedPageBreak/>
        <w:tab/>
      </w:r>
      <w:r>
        <w:rPr>
          <w:rStyle w:val="CharDefText"/>
        </w:rPr>
        <w:t>member</w:t>
      </w:r>
      <w:r>
        <w:t>, where used in relation to membership of the Australian Property Institute, means a Fellow or Associate of that Institute;</w:t>
      </w:r>
    </w:p>
    <w:p>
      <w:pPr>
        <w:pStyle w:val="Defstart"/>
        <w:keepNext/>
      </w:pPr>
      <w:r>
        <w:rPr>
          <w:b/>
        </w:rPr>
        <w:tab/>
      </w:r>
      <w:r>
        <w:rPr>
          <w:rStyle w:val="CharDefText"/>
        </w:rPr>
        <w:t>officer</w:t>
      </w:r>
      <w:r>
        <w:t xml:space="preserve"> means — </w:t>
      </w:r>
    </w:p>
    <w:p>
      <w:pPr>
        <w:pStyle w:val="Defpara"/>
      </w:pPr>
      <w:r>
        <w:tab/>
        <w:t>(a)</w:t>
      </w:r>
      <w:r>
        <w:tab/>
        <w:t>in relation to a firm — a member of the firm or an employee of the firm whose sole or principal employment is in the service of the firm;</w:t>
      </w:r>
    </w:p>
    <w:p>
      <w:pPr>
        <w:pStyle w:val="Defpara"/>
      </w:pPr>
      <w:r>
        <w:tab/>
        <w:t>(b)</w:t>
      </w:r>
      <w:r>
        <w:tab/>
        <w:t>in relation to a corporation — any director, manager or secretary of the corporation or any employee of the corporation whose sole or principal employment is in the service of the corporation;</w:t>
      </w:r>
    </w:p>
    <w:p>
      <w:pPr>
        <w:pStyle w:val="Defstart"/>
      </w:pPr>
      <w:r>
        <w:rPr>
          <w:b/>
        </w:rPr>
        <w:tab/>
      </w:r>
      <w:r>
        <w:rPr>
          <w:rStyle w:val="CharDefText"/>
        </w:rPr>
        <w:t>Registrar</w:t>
      </w:r>
      <w:r>
        <w:t xml:space="preserve"> means the Registrar of the Board;</w:t>
      </w:r>
    </w:p>
    <w:p>
      <w:pPr>
        <w:pStyle w:val="Defstart"/>
      </w:pPr>
      <w:r>
        <w:rPr>
          <w:b/>
        </w:rPr>
        <w:tab/>
      </w:r>
      <w:r>
        <w:rPr>
          <w:rStyle w:val="CharDefText"/>
        </w:rPr>
        <w:t>the Board</w:t>
      </w:r>
      <w:r>
        <w:t xml:space="preserve"> means the Land Valuers Licensing Board.</w:t>
      </w:r>
    </w:p>
    <w:p>
      <w:pPr>
        <w:pStyle w:val="Footnotesection"/>
      </w:pPr>
      <w:r>
        <w:tab/>
        <w:t>[Section 4 amended by No. 15 of 1984 s. 3; No. 56 of 1995 s. 27; No. 65 of 2003 s. 44(2); No. 74 of 2003 s. 74(2); No. 55 of 2004 s. </w:t>
      </w:r>
      <w:del w:id="42" w:author="svcMRProcess" w:date="2018-09-04T07:23:00Z">
        <w:r>
          <w:delText>586.]</w:delText>
        </w:r>
      </w:del>
      <w:ins w:id="43" w:author="svcMRProcess" w:date="2018-09-04T07:23:00Z">
        <w:r>
          <w:t>586; No. 21 of 2008 s. 671(2).]</w:t>
        </w:r>
      </w:ins>
      <w:r>
        <w:t xml:space="preserve"> </w:t>
      </w:r>
    </w:p>
    <w:p>
      <w:pPr>
        <w:pStyle w:val="Heading2"/>
      </w:pPr>
      <w:bookmarkStart w:id="44" w:name="_Toc89523135"/>
      <w:bookmarkStart w:id="45" w:name="_Toc89523183"/>
      <w:bookmarkStart w:id="46" w:name="_Toc92864329"/>
      <w:bookmarkStart w:id="47" w:name="_Toc97104108"/>
      <w:bookmarkStart w:id="48" w:name="_Toc102376428"/>
      <w:bookmarkStart w:id="49" w:name="_Toc132075312"/>
      <w:bookmarkStart w:id="50" w:name="_Toc132608665"/>
      <w:bookmarkStart w:id="51" w:name="_Toc132703359"/>
      <w:bookmarkStart w:id="52" w:name="_Toc134851046"/>
      <w:bookmarkStart w:id="53" w:name="_Toc137349808"/>
      <w:bookmarkStart w:id="54" w:name="_Toc172101511"/>
      <w:bookmarkStart w:id="55" w:name="_Toc193252397"/>
      <w:bookmarkStart w:id="56" w:name="_Toc196790601"/>
      <w:bookmarkStart w:id="57" w:name="_Toc199749695"/>
      <w:bookmarkStart w:id="58" w:name="_Toc223852755"/>
      <w:r>
        <w:rPr>
          <w:rStyle w:val="CharPartNo"/>
        </w:rPr>
        <w:t>Part II</w:t>
      </w:r>
      <w:r>
        <w:t> — </w:t>
      </w:r>
      <w:r>
        <w:rPr>
          <w:rStyle w:val="CharPartText"/>
        </w:rPr>
        <w:t>Land Valuers Licensing Board</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3"/>
      </w:pPr>
      <w:bookmarkStart w:id="59" w:name="_Toc92864330"/>
      <w:bookmarkStart w:id="60" w:name="_Toc97104109"/>
      <w:bookmarkStart w:id="61" w:name="_Toc102376429"/>
      <w:bookmarkStart w:id="62" w:name="_Toc132075313"/>
      <w:bookmarkStart w:id="63" w:name="_Toc132608666"/>
      <w:bookmarkStart w:id="64" w:name="_Toc132703360"/>
      <w:bookmarkStart w:id="65" w:name="_Toc134851047"/>
      <w:bookmarkStart w:id="66" w:name="_Toc137349809"/>
      <w:bookmarkStart w:id="67" w:name="_Toc172101512"/>
      <w:bookmarkStart w:id="68" w:name="_Toc193252398"/>
      <w:bookmarkStart w:id="69" w:name="_Toc196790602"/>
      <w:bookmarkStart w:id="70" w:name="_Toc199749696"/>
      <w:bookmarkStart w:id="71" w:name="_Toc223852756"/>
      <w:bookmarkStart w:id="72" w:name="_Toc411307497"/>
      <w:bookmarkStart w:id="73" w:name="_Toc7250787"/>
      <w:r>
        <w:rPr>
          <w:rStyle w:val="CharDivNo"/>
        </w:rPr>
        <w:t>Division 1</w:t>
      </w:r>
      <w:r>
        <w:t xml:space="preserve"> — </w:t>
      </w:r>
      <w:r>
        <w:rPr>
          <w:rStyle w:val="CharDivText"/>
        </w:rPr>
        <w:t>Land Valuers Licensing Board</w:t>
      </w:r>
      <w:bookmarkEnd w:id="59"/>
      <w:bookmarkEnd w:id="60"/>
      <w:bookmarkEnd w:id="61"/>
      <w:bookmarkEnd w:id="62"/>
      <w:bookmarkEnd w:id="63"/>
      <w:bookmarkEnd w:id="64"/>
      <w:bookmarkEnd w:id="65"/>
      <w:bookmarkEnd w:id="66"/>
      <w:bookmarkEnd w:id="67"/>
      <w:bookmarkEnd w:id="68"/>
      <w:bookmarkEnd w:id="69"/>
      <w:bookmarkEnd w:id="70"/>
      <w:bookmarkEnd w:id="71"/>
    </w:p>
    <w:p>
      <w:pPr>
        <w:pStyle w:val="Footnoteheading"/>
        <w:tabs>
          <w:tab w:val="left" w:pos="851"/>
        </w:tabs>
      </w:pPr>
      <w:r>
        <w:tab/>
        <w:t>[Heading inserted by No. 55 of 2004 s. 587.]</w:t>
      </w:r>
    </w:p>
    <w:p>
      <w:pPr>
        <w:pStyle w:val="Heading5"/>
        <w:rPr>
          <w:snapToGrid w:val="0"/>
        </w:rPr>
      </w:pPr>
      <w:bookmarkStart w:id="74" w:name="_Toc102376430"/>
      <w:bookmarkStart w:id="75" w:name="_Toc223852757"/>
      <w:bookmarkStart w:id="76" w:name="_Toc199749697"/>
      <w:r>
        <w:rPr>
          <w:rStyle w:val="CharSectno"/>
        </w:rPr>
        <w:t>5</w:t>
      </w:r>
      <w:r>
        <w:rPr>
          <w:snapToGrid w:val="0"/>
        </w:rPr>
        <w:t>.</w:t>
      </w:r>
      <w:r>
        <w:rPr>
          <w:snapToGrid w:val="0"/>
        </w:rPr>
        <w:tab/>
        <w:t>The Board</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For the purposes of this Act there shall be a board to be known as the “Land Valuers Licensing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77" w:name="_Toc411307498"/>
      <w:bookmarkStart w:id="78" w:name="_Toc7250788"/>
      <w:bookmarkStart w:id="79" w:name="_Toc102376431"/>
      <w:bookmarkStart w:id="80" w:name="_Toc223852758"/>
      <w:bookmarkStart w:id="81" w:name="_Toc199749698"/>
      <w:r>
        <w:rPr>
          <w:rStyle w:val="CharSectno"/>
        </w:rPr>
        <w:t>6</w:t>
      </w:r>
      <w:r>
        <w:rPr>
          <w:snapToGrid w:val="0"/>
        </w:rPr>
        <w:t>.</w:t>
      </w:r>
      <w:r>
        <w:rPr>
          <w:snapToGrid w:val="0"/>
        </w:rPr>
        <w:tab/>
        <w:t>Composition of Board</w:t>
      </w:r>
      <w:bookmarkEnd w:id="77"/>
      <w:bookmarkEnd w:id="78"/>
      <w:bookmarkEnd w:id="79"/>
      <w:bookmarkEnd w:id="80"/>
      <w:bookmarkEnd w:id="81"/>
      <w:r>
        <w:rPr>
          <w:snapToGrid w:val="0"/>
        </w:rPr>
        <w:t xml:space="preserve"> </w:t>
      </w:r>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 xml:space="preserve">one, who shall be appointed to be a member and Chairman of the Board, shall be a person who is </w:t>
      </w:r>
      <w:r>
        <w:t xml:space="preserve">a </w:t>
      </w:r>
      <w:del w:id="82" w:author="svcMRProcess" w:date="2018-09-04T07:23:00Z">
        <w:r>
          <w:rPr>
            <w:snapToGrid w:val="0"/>
          </w:rPr>
          <w:delText xml:space="preserve">legal practitioner </w:delText>
        </w:r>
        <w:r>
          <w:delText>or a barrister or solicitor of the Supreme Court of another State or a Territory</w:delText>
        </w:r>
        <w:r>
          <w:rPr>
            <w:snapToGrid w:val="0"/>
          </w:rPr>
          <w:delText xml:space="preserve"> of</w:delText>
        </w:r>
      </w:del>
      <w:ins w:id="83" w:author="svcMRProcess" w:date="2018-09-04T07:23:00Z">
        <w:r>
          <w:t>lawyer who has had</w:t>
        </w:r>
      </w:ins>
      <w:r>
        <w:t xml:space="preserve"> not less than 7 years’ </w:t>
      </w:r>
      <w:del w:id="84" w:author="svcMRProcess" w:date="2018-09-04T07:23:00Z">
        <w:r>
          <w:rPr>
            <w:snapToGrid w:val="0"/>
          </w:rPr>
          <w:delText>standing</w:delText>
        </w:r>
      </w:del>
      <w:ins w:id="85" w:author="svcMRProcess" w:date="2018-09-04T07:23:00Z">
        <w:r>
          <w:t>legal experience</w:t>
        </w:r>
      </w:ins>
      <w:r>
        <w:rPr>
          <w:snapToGrid w:val="0"/>
        </w:rPr>
        <w:t xml:space="preserve"> and is nominated by the Minister from a panel of names submitted by The Law Society of Western Australia;</w:t>
      </w:r>
    </w:p>
    <w:p>
      <w:pPr>
        <w:pStyle w:val="Indenta"/>
        <w:rPr>
          <w:snapToGrid w:val="0"/>
        </w:rPr>
      </w:pPr>
      <w:r>
        <w:rPr>
          <w:snapToGrid w:val="0"/>
        </w:rPr>
        <w:tab/>
        <w:t>(b)</w:t>
      </w:r>
      <w:r>
        <w:rPr>
          <w:snapToGrid w:val="0"/>
        </w:rPr>
        <w:tab/>
        <w:t>one shall be a person who is nominated by the Minister;</w:t>
      </w:r>
    </w:p>
    <w:p>
      <w:pPr>
        <w:pStyle w:val="Indenta"/>
        <w:rPr>
          <w:snapToGrid w:val="0"/>
        </w:rPr>
      </w:pPr>
      <w:r>
        <w:rPr>
          <w:snapToGrid w:val="0"/>
        </w:rPr>
        <w:tab/>
        <w:t>(c)</w:t>
      </w:r>
      <w:r>
        <w:rPr>
          <w:snapToGrid w:val="0"/>
        </w:rPr>
        <w:tab/>
        <w:t>2 shall be persons who are experienced in the valuation of land, are members of the</w:t>
      </w:r>
      <w:r>
        <w:t xml:space="preserve"> Australian Property Institute</w:t>
      </w:r>
      <w:r>
        <w:rPr>
          <w:snapToGrid w:val="0"/>
        </w:rPr>
        <w:t>, and are nominated by the Minister from a panel of names submitted by the Western Australian Division of that Institute; and</w:t>
      </w:r>
    </w:p>
    <w:p>
      <w:pPr>
        <w:pStyle w:val="Indenta"/>
        <w:rPr>
          <w:snapToGrid w:val="0"/>
        </w:rPr>
      </w:pPr>
      <w:r>
        <w:rPr>
          <w:snapToGrid w:val="0"/>
        </w:rPr>
        <w:tab/>
        <w:t>(d)</w:t>
      </w:r>
      <w:r>
        <w:rPr>
          <w:snapToGrid w:val="0"/>
        </w:rPr>
        <w:tab/>
        <w:t>one shall be a person who is experienced in the valuation of land, is a member of the</w:t>
      </w:r>
      <w:r>
        <w:t xml:space="preserve"> Australian Property Institute</w:t>
      </w:r>
      <w:r>
        <w:rPr>
          <w:snapToGrid w:val="0"/>
        </w:rPr>
        <w:t>, and is nominated by the Minister from a panel of names submitted by the Real Estate Institute of Western Australia.</w:t>
      </w:r>
    </w:p>
    <w:p>
      <w:pPr>
        <w:pStyle w:val="Subsection"/>
        <w:rPr>
          <w:ins w:id="86" w:author="svcMRProcess" w:date="2018-09-04T07:23:00Z"/>
        </w:rPr>
      </w:pPr>
      <w:ins w:id="87" w:author="svcMRProcess" w:date="2018-09-04T07:23:00Z">
        <w:r>
          <w:tab/>
          <w:t>(1a)</w:t>
        </w:r>
        <w:r>
          <w:tab/>
          <w:t xml:space="preserve">In subsection (1)(a) — </w:t>
        </w:r>
      </w:ins>
    </w:p>
    <w:p>
      <w:pPr>
        <w:pStyle w:val="Defstart"/>
        <w:rPr>
          <w:ins w:id="88" w:author="svcMRProcess" w:date="2018-09-04T07:23:00Z"/>
        </w:rPr>
      </w:pPr>
      <w:ins w:id="89" w:author="svcMRProcess" w:date="2018-09-04T07:23:00Z">
        <w:r>
          <w:rPr>
            <w:b/>
          </w:rPr>
          <w:tab/>
        </w:r>
        <w:r>
          <w:rPr>
            <w:rStyle w:val="CharDefText"/>
          </w:rPr>
          <w:t>legal experience</w:t>
        </w:r>
        <w:r>
          <w:rPr>
            <w:b/>
            <w:bCs/>
          </w:rPr>
          <w:t xml:space="preserve"> </w:t>
        </w:r>
        <w:r>
          <w:t xml:space="preserve">means — </w:t>
        </w:r>
      </w:ins>
    </w:p>
    <w:p>
      <w:pPr>
        <w:pStyle w:val="Defpara"/>
        <w:rPr>
          <w:ins w:id="90" w:author="svcMRProcess" w:date="2018-09-04T07:23:00Z"/>
        </w:rPr>
      </w:pPr>
      <w:ins w:id="91" w:author="svcMRProcess" w:date="2018-09-04T07:23:00Z">
        <w:r>
          <w:tab/>
          <w:t>(a)</w:t>
        </w:r>
        <w:r>
          <w:tab/>
          <w:t>standing and practice as a legal practitioner; or</w:t>
        </w:r>
      </w:ins>
    </w:p>
    <w:p>
      <w:pPr>
        <w:pStyle w:val="Defpara"/>
        <w:rPr>
          <w:ins w:id="92" w:author="svcMRProcess" w:date="2018-09-04T07:23:00Z"/>
        </w:rPr>
      </w:pPr>
      <w:ins w:id="93" w:author="svcMRProcess" w:date="2018-09-04T07:23:00Z">
        <w:r>
          <w:tab/>
          <w:t>(b)</w:t>
        </w:r>
        <w:r>
          <w:tab/>
          <w:t>judicial service (including service as a judge of a court, a magistrate or other judicial officer) in the State or elsewhere in a common law jurisdiction; or</w:t>
        </w:r>
      </w:ins>
    </w:p>
    <w:p>
      <w:pPr>
        <w:pStyle w:val="Defpara"/>
        <w:rPr>
          <w:ins w:id="94" w:author="svcMRProcess" w:date="2018-09-04T07:23:00Z"/>
        </w:rPr>
      </w:pPr>
      <w:ins w:id="95" w:author="svcMRProcess" w:date="2018-09-04T07:23:00Z">
        <w:r>
          <w:tab/>
          <w:t>(c)</w:t>
        </w:r>
        <w:r>
          <w:tab/>
          <w:t>a combination of both kinds of legal experience mentioned in paragraphs (a) and (b).</w:t>
        </w:r>
      </w:ins>
    </w:p>
    <w:p>
      <w:pPr>
        <w:pStyle w:val="Subsection"/>
        <w:rPr>
          <w:snapToGrid w:val="0"/>
        </w:rPr>
      </w:pPr>
      <w:r>
        <w:rPr>
          <w:snapToGrid w:val="0"/>
        </w:rPr>
        <w:tab/>
        <w:t>(2)</w:t>
      </w:r>
      <w:r>
        <w:rPr>
          <w:snapToGrid w:val="0"/>
        </w:rPr>
        <w:tab/>
        <w:t>The Governor shall appoint one of the members appointed pursuant to subsection (1)(b), (c) or (d) to be Deputy Chairman of the Board.</w:t>
      </w:r>
    </w:p>
    <w:p>
      <w:pPr>
        <w:pStyle w:val="Subsection"/>
        <w:rPr>
          <w:snapToGrid w:val="0"/>
        </w:rPr>
      </w:pPr>
      <w:r>
        <w:rPr>
          <w:snapToGrid w:val="0"/>
        </w:rPr>
        <w:tab/>
        <w:t>(3)</w:t>
      </w:r>
      <w:r>
        <w:rPr>
          <w:snapToGrid w:val="0"/>
        </w:rPr>
        <w:tab/>
        <w:t>Whenever a panel of names is required for the purposes of filling the offices referred to in subsection (1)(a) or an office referred to in subsection (1)(c) or (d), the Minister shall, in writing, request the body referred to in the appropriate paragraph to submit to him, in writing, within the time specified in the request, a panel containing the names of 3 persons qualified and willing to act as members of the Board.</w:t>
      </w:r>
    </w:p>
    <w:p>
      <w:pPr>
        <w:pStyle w:val="Subsection"/>
        <w:keepNext/>
        <w:rPr>
          <w:snapToGrid w:val="0"/>
        </w:rPr>
      </w:pPr>
      <w:r>
        <w:rPr>
          <w:snapToGrid w:val="0"/>
        </w:rPr>
        <w:tab/>
        <w:t>(4)</w:t>
      </w:r>
      <w:r>
        <w:rPr>
          <w:snapToGrid w:val="0"/>
        </w:rPr>
        <w:tab/>
        <w:t>Where a request is made pursuant to subsection (3) the Minister may, if no panel or no panel of sufficient size, is submitted in accordance with the request, nominate for appointment — </w:t>
      </w:r>
    </w:p>
    <w:p>
      <w:pPr>
        <w:pStyle w:val="Indenta"/>
        <w:rPr>
          <w:snapToGrid w:val="0"/>
        </w:rPr>
      </w:pPr>
      <w:r>
        <w:rPr>
          <w:snapToGrid w:val="0"/>
        </w:rPr>
        <w:tab/>
        <w:t>(a)</w:t>
      </w:r>
      <w:r>
        <w:rPr>
          <w:snapToGrid w:val="0"/>
        </w:rPr>
        <w:tab/>
        <w:t xml:space="preserve">to the offices referred to in subsection (1)(a), such </w:t>
      </w:r>
      <w:del w:id="96" w:author="svcMRProcess" w:date="2018-09-04T07:23:00Z">
        <w:r>
          <w:rPr>
            <w:snapToGrid w:val="0"/>
          </w:rPr>
          <w:delText xml:space="preserve">legal practitioner </w:delText>
        </w:r>
        <w:r>
          <w:delText>or barrister or solicitor of the Supreme Court of another State or a Territory</w:delText>
        </w:r>
      </w:del>
      <w:ins w:id="97" w:author="svcMRProcess" w:date="2018-09-04T07:23:00Z">
        <w:r>
          <w:rPr>
            <w:snapToGrid w:val="0"/>
          </w:rPr>
          <w:t>lawyer</w:t>
        </w:r>
      </w:ins>
      <w:r>
        <w:rPr>
          <w:snapToGrid w:val="0"/>
        </w:rPr>
        <w:t xml:space="preserve"> of not less than 7 years standing as he thinks fit; or</w:t>
      </w:r>
    </w:p>
    <w:p>
      <w:pPr>
        <w:pStyle w:val="Indenta"/>
        <w:rPr>
          <w:snapToGrid w:val="0"/>
        </w:rPr>
      </w:pPr>
      <w:r>
        <w:rPr>
          <w:snapToGrid w:val="0"/>
        </w:rPr>
        <w:tab/>
        <w:t>(b)</w:t>
      </w:r>
      <w:r>
        <w:rPr>
          <w:snapToGrid w:val="0"/>
        </w:rPr>
        <w:tab/>
        <w:t>to an office referred to in subsection (1)(c) or (d), such person, being a person who is experienced in the valuation of land and is a member of the</w:t>
      </w:r>
      <w:r>
        <w:t xml:space="preserve"> Australian Property Institute</w:t>
      </w:r>
      <w:r>
        <w:rPr>
          <w:snapToGrid w:val="0"/>
        </w:rPr>
        <w:t>, as he thinks fit.</w:t>
      </w:r>
    </w:p>
    <w:p>
      <w:pPr>
        <w:pStyle w:val="Ednotesubsection"/>
      </w:pPr>
      <w:r>
        <w:tab/>
        <w:t>[(5)-(7)</w:t>
      </w:r>
      <w:r>
        <w:tab/>
      </w:r>
      <w:del w:id="98" w:author="svcMRProcess" w:date="2018-09-04T07:23:00Z">
        <w:r>
          <w:delText>repealed</w:delText>
        </w:r>
      </w:del>
      <w:ins w:id="99" w:author="svcMRProcess" w:date="2018-09-04T07:23:00Z">
        <w:r>
          <w:t>deleted</w:t>
        </w:r>
      </w:ins>
      <w:r>
        <w:t>]</w:t>
      </w:r>
    </w:p>
    <w:p>
      <w:pPr>
        <w:pStyle w:val="Subsection"/>
        <w:rPr>
          <w:snapToGrid w:val="0"/>
        </w:rPr>
      </w:pPr>
      <w:r>
        <w:rPr>
          <w:snapToGrid w:val="0"/>
        </w:rPr>
        <w:tab/>
        <w:t>(8)</w:t>
      </w:r>
      <w:r>
        <w:rPr>
          <w:snapToGrid w:val="0"/>
        </w:rPr>
        <w:tab/>
        <w:t>The Governor may appoint a person as the deputy of a member.</w:t>
      </w:r>
    </w:p>
    <w:p>
      <w:pPr>
        <w:pStyle w:val="Subsection"/>
        <w:rPr>
          <w:snapToGrid w:val="0"/>
        </w:rPr>
      </w:pPr>
      <w:r>
        <w:rPr>
          <w:snapToGrid w:val="0"/>
        </w:rPr>
        <w:tab/>
        <w:t>(9)</w:t>
      </w:r>
      <w:r>
        <w:rPr>
          <w:snapToGrid w:val="0"/>
        </w:rPr>
        <w:tab/>
        <w:t>The provisions of subsections (1), (3) and (4) as to qualifications and nomination that apply to and in relation to the appointment of a member apply, with any necessary modifications, to and in relation to the appointment of the deputy of that member.</w:t>
      </w:r>
    </w:p>
    <w:p>
      <w:pPr>
        <w:pStyle w:val="Subsection"/>
        <w:rPr>
          <w:snapToGrid w:val="0"/>
        </w:rPr>
      </w:pPr>
      <w:r>
        <w:rPr>
          <w:snapToGrid w:val="0"/>
        </w:rPr>
        <w:tab/>
        <w:t>(10)</w:t>
      </w:r>
      <w:r>
        <w:rPr>
          <w:snapToGrid w:val="0"/>
        </w:rPr>
        <w:tab/>
        <w:t>A person appointed pursuant to subsection (8) is, in the event of the absence from a meeting of the Board of the member of whom he is the deputy, entitled to attend that meeting and, when so attending, is deemed to be a member and has all the powers, functions, and duties of a member.</w:t>
      </w:r>
    </w:p>
    <w:p>
      <w:pPr>
        <w:pStyle w:val="Footnotesection"/>
      </w:pPr>
      <w:r>
        <w:tab/>
        <w:t>[Section 6 amended by No. 15 of 1984 s. 4; No. 65 of 2003 s. 115; No. 74 of 2003 s. 74(3</w:t>
      </w:r>
      <w:del w:id="100" w:author="svcMRProcess" w:date="2018-09-04T07:23:00Z">
        <w:r>
          <w:delText>).]</w:delText>
        </w:r>
      </w:del>
      <w:ins w:id="101" w:author="svcMRProcess" w:date="2018-09-04T07:23:00Z">
        <w:r>
          <w:t>); No. 21 of 2008 s. 671(3)</w:t>
        </w:r>
        <w:r>
          <w:noBreakHyphen/>
          <w:t>(5).]</w:t>
        </w:r>
      </w:ins>
      <w:r>
        <w:t xml:space="preserve"> </w:t>
      </w:r>
    </w:p>
    <w:p>
      <w:pPr>
        <w:pStyle w:val="Heading5"/>
        <w:rPr>
          <w:snapToGrid w:val="0"/>
        </w:rPr>
      </w:pPr>
      <w:bookmarkStart w:id="102" w:name="_Toc411307499"/>
      <w:bookmarkStart w:id="103" w:name="_Toc7250789"/>
      <w:bookmarkStart w:id="104" w:name="_Toc102376432"/>
      <w:bookmarkStart w:id="105" w:name="_Toc223852759"/>
      <w:bookmarkStart w:id="106" w:name="_Toc199749699"/>
      <w:r>
        <w:rPr>
          <w:rStyle w:val="CharSectno"/>
        </w:rPr>
        <w:t>7</w:t>
      </w:r>
      <w:r>
        <w:rPr>
          <w:snapToGrid w:val="0"/>
        </w:rPr>
        <w:t>.</w:t>
      </w:r>
      <w:r>
        <w:rPr>
          <w:snapToGrid w:val="0"/>
        </w:rPr>
        <w:tab/>
        <w:t>Term of office</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4 years, as is specified in the instrument of his appointment, but is eligible for re</w:t>
      </w:r>
      <w:r>
        <w:rPr>
          <w:snapToGrid w:val="0"/>
        </w:rPr>
        <w:noBreakHyphen/>
        <w:t>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rPr>
          <w:snapToGrid w:val="0"/>
        </w:rPr>
      </w:pPr>
      <w:r>
        <w:rPr>
          <w:snapToGrid w:val="0"/>
        </w:rPr>
        <w:tab/>
        <w:t>(4)</w:t>
      </w:r>
      <w:r>
        <w:rPr>
          <w:snapToGrid w:val="0"/>
        </w:rPr>
        <w:tab/>
        <w:t>The office of a member becomes vacant if — </w:t>
      </w:r>
    </w:p>
    <w:p>
      <w:pPr>
        <w:pStyle w:val="Indenta"/>
        <w:rPr>
          <w:snapToGrid w:val="0"/>
        </w:rPr>
      </w:pPr>
      <w:r>
        <w:rPr>
          <w:snapToGrid w:val="0"/>
        </w:rPr>
        <w:tab/>
        <w:t>(a)</w:t>
      </w:r>
      <w:r>
        <w:rPr>
          <w:snapToGrid w:val="0"/>
        </w:rPr>
        <w:tab/>
        <w:t>his term of office expires;</w:t>
      </w:r>
    </w:p>
    <w:p>
      <w:pPr>
        <w:pStyle w:val="Indenta"/>
        <w:rPr>
          <w:snapToGrid w:val="0"/>
        </w:rPr>
      </w:pPr>
      <w:r>
        <w:rPr>
          <w:snapToGrid w:val="0"/>
        </w:rPr>
        <w:tab/>
        <w:t>(b)</w:t>
      </w:r>
      <w:r>
        <w:rPr>
          <w:snapToGrid w:val="0"/>
        </w:rPr>
        <w:tab/>
        <w:t>his appointment is terminated pursuant to subsection (3);</w:t>
      </w:r>
    </w:p>
    <w:p>
      <w:pPr>
        <w:pStyle w:val="Indenta"/>
        <w:rPr>
          <w:snapToGrid w:val="0"/>
        </w:rPr>
      </w:pPr>
      <w:r>
        <w:rPr>
          <w:snapToGrid w:val="0"/>
        </w:rPr>
        <w:tab/>
        <w:t>(c)</w:t>
      </w:r>
      <w:r>
        <w:rPr>
          <w:snapToGrid w:val="0"/>
        </w:rPr>
        <w:tab/>
        <w:t>he becomes an undischarged bankrupt or a person whose property is subject to an order or arrangement under the laws relating to bankruptcy;</w:t>
      </w:r>
    </w:p>
    <w:p>
      <w:pPr>
        <w:pStyle w:val="Indenta"/>
        <w:rPr>
          <w:snapToGrid w:val="0"/>
        </w:rPr>
      </w:pPr>
      <w:r>
        <w:rPr>
          <w:snapToGrid w:val="0"/>
        </w:rPr>
        <w:tab/>
        <w:t>(d)</w:t>
      </w:r>
      <w:r>
        <w:rPr>
          <w:snapToGrid w:val="0"/>
        </w:rPr>
        <w:tab/>
        <w:t>he becomes permanently incapable of performing his duties as a member;</w:t>
      </w:r>
    </w:p>
    <w:p>
      <w:pPr>
        <w:pStyle w:val="Indenta"/>
        <w:rPr>
          <w:snapToGrid w:val="0"/>
        </w:rPr>
      </w:pPr>
      <w:r>
        <w:rPr>
          <w:snapToGrid w:val="0"/>
        </w:rPr>
        <w:tab/>
        <w:t>(e)</w:t>
      </w:r>
      <w:r>
        <w:rPr>
          <w:snapToGrid w:val="0"/>
        </w:rPr>
        <w:tab/>
        <w:t>he resigns his office by written notice addressed to the Minister;</w:t>
      </w:r>
    </w:p>
    <w:p>
      <w:pPr>
        <w:pStyle w:val="Indenta"/>
        <w:rPr>
          <w:snapToGrid w:val="0"/>
        </w:rPr>
      </w:pPr>
      <w:r>
        <w:rPr>
          <w:snapToGrid w:val="0"/>
        </w:rPr>
        <w:tab/>
        <w:t>(f)</w:t>
      </w:r>
      <w:r>
        <w:rPr>
          <w:snapToGrid w:val="0"/>
        </w:rPr>
        <w:tab/>
        <w:t>he absents himself, except on leave duly granted by the Minister from 3 consecutive meetings of the Board; or</w:t>
      </w:r>
    </w:p>
    <w:p>
      <w:pPr>
        <w:pStyle w:val="Indenta"/>
        <w:rPr>
          <w:snapToGrid w:val="0"/>
        </w:rPr>
      </w:pPr>
      <w:r>
        <w:rPr>
          <w:snapToGrid w:val="0"/>
        </w:rPr>
        <w:tab/>
        <w:t>(g)</w:t>
      </w:r>
      <w:r>
        <w:rPr>
          <w:snapToGrid w:val="0"/>
        </w:rPr>
        <w:tab/>
        <w:t>he ceases to hold any qualification required for his becoming or being a member.</w:t>
      </w:r>
    </w:p>
    <w:p>
      <w:pPr>
        <w:pStyle w:val="Heading5"/>
        <w:rPr>
          <w:snapToGrid w:val="0"/>
        </w:rPr>
      </w:pPr>
      <w:bookmarkStart w:id="107" w:name="_Toc411307500"/>
      <w:bookmarkStart w:id="108" w:name="_Toc7250790"/>
      <w:bookmarkStart w:id="109" w:name="_Toc102376433"/>
      <w:bookmarkStart w:id="110" w:name="_Toc223852760"/>
      <w:bookmarkStart w:id="111" w:name="_Toc199749700"/>
      <w:r>
        <w:rPr>
          <w:rStyle w:val="CharSectno"/>
        </w:rPr>
        <w:t>8</w:t>
      </w:r>
      <w:r>
        <w:rPr>
          <w:snapToGrid w:val="0"/>
        </w:rPr>
        <w:t>.</w:t>
      </w:r>
      <w:r>
        <w:rPr>
          <w:snapToGrid w:val="0"/>
        </w:rPr>
        <w:tab/>
        <w:t>Meetings of the Board</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the Deputy Chairman shall preside at all meetings at which he, but not the Chairman, is present, but where neither the Chairman nor the Deputy Chairman is present at a meeting of the Board, the members present shall appoint one of their number present to preside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The member presiding at a meeting of the Board has a deliberative vote only,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12" w:name="_Toc411307501"/>
      <w:bookmarkStart w:id="113" w:name="_Toc7250791"/>
      <w:bookmarkStart w:id="114" w:name="_Toc102376434"/>
      <w:bookmarkStart w:id="115" w:name="_Toc223852761"/>
      <w:bookmarkStart w:id="116" w:name="_Toc199749701"/>
      <w:r>
        <w:rPr>
          <w:rStyle w:val="CharSectno"/>
        </w:rPr>
        <w:t>9</w:t>
      </w:r>
      <w:r>
        <w:rPr>
          <w:snapToGrid w:val="0"/>
        </w:rPr>
        <w:t>.</w:t>
      </w:r>
      <w:r>
        <w:rPr>
          <w:snapToGrid w:val="0"/>
        </w:rPr>
        <w:tab/>
        <w:t>Validity of acts of Board</w:t>
      </w:r>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117" w:name="_Toc411307502"/>
      <w:bookmarkStart w:id="118" w:name="_Toc7250792"/>
      <w:bookmarkStart w:id="119" w:name="_Toc102376435"/>
      <w:bookmarkStart w:id="120" w:name="_Toc223852762"/>
      <w:bookmarkStart w:id="121" w:name="_Toc199749702"/>
      <w:r>
        <w:rPr>
          <w:rStyle w:val="CharSectno"/>
        </w:rPr>
        <w:t>10</w:t>
      </w:r>
      <w:r>
        <w:rPr>
          <w:snapToGrid w:val="0"/>
        </w:rPr>
        <w:t>.</w:t>
      </w:r>
      <w:r>
        <w:rPr>
          <w:snapToGrid w:val="0"/>
        </w:rPr>
        <w:tab/>
        <w:t>Remuneration of members</w:t>
      </w:r>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The members of the Board shall be paid such allowances and expenses as may from time to time be fixed by the Governor.</w:t>
      </w:r>
    </w:p>
    <w:p>
      <w:pPr>
        <w:pStyle w:val="Heading5"/>
        <w:rPr>
          <w:snapToGrid w:val="0"/>
        </w:rPr>
      </w:pPr>
      <w:bookmarkStart w:id="122" w:name="_Toc411307503"/>
      <w:bookmarkStart w:id="123" w:name="_Toc7250793"/>
      <w:bookmarkStart w:id="124" w:name="_Toc102376436"/>
      <w:bookmarkStart w:id="125" w:name="_Toc223852763"/>
      <w:bookmarkStart w:id="126" w:name="_Toc199749703"/>
      <w:r>
        <w:rPr>
          <w:rStyle w:val="CharSectno"/>
        </w:rPr>
        <w:t>11</w:t>
      </w:r>
      <w:r>
        <w:rPr>
          <w:snapToGrid w:val="0"/>
        </w:rPr>
        <w:t>.</w:t>
      </w:r>
      <w:r>
        <w:rPr>
          <w:snapToGrid w:val="0"/>
        </w:rPr>
        <w:tab/>
        <w:t>The Registrar and other officers</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or Assistant Registrar and of the fact that such person holds or has held such office.</w:t>
      </w:r>
    </w:p>
    <w:p>
      <w:pPr>
        <w:pStyle w:val="Footnotesection"/>
      </w:pPr>
      <w:r>
        <w:tab/>
        <w:t xml:space="preserve">[Section 11 amended by No. 32 of 1994 s. 3(1).] </w:t>
      </w:r>
    </w:p>
    <w:p>
      <w:pPr>
        <w:pStyle w:val="Heading3"/>
      </w:pPr>
      <w:bookmarkStart w:id="127" w:name="_Toc92864338"/>
      <w:bookmarkStart w:id="128" w:name="_Toc97104117"/>
      <w:bookmarkStart w:id="129" w:name="_Toc102376437"/>
      <w:bookmarkStart w:id="130" w:name="_Toc132075321"/>
      <w:bookmarkStart w:id="131" w:name="_Toc132608674"/>
      <w:bookmarkStart w:id="132" w:name="_Toc132703368"/>
      <w:bookmarkStart w:id="133" w:name="_Toc134851055"/>
      <w:bookmarkStart w:id="134" w:name="_Toc137349817"/>
      <w:bookmarkStart w:id="135" w:name="_Toc172101520"/>
      <w:bookmarkStart w:id="136" w:name="_Toc193252406"/>
      <w:bookmarkStart w:id="137" w:name="_Toc196790610"/>
      <w:bookmarkStart w:id="138" w:name="_Toc199749704"/>
      <w:bookmarkStart w:id="139" w:name="_Toc223852764"/>
      <w:bookmarkStart w:id="140" w:name="_Toc411307504"/>
      <w:bookmarkStart w:id="141" w:name="_Toc7250794"/>
      <w:r>
        <w:rPr>
          <w:rStyle w:val="CharDivNo"/>
        </w:rPr>
        <w:t>Division 2</w:t>
      </w:r>
      <w:r>
        <w:t> — </w:t>
      </w:r>
      <w:r>
        <w:rPr>
          <w:rStyle w:val="CharDivText"/>
        </w:rPr>
        <w:t>General</w:t>
      </w:r>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Footnoteheading"/>
        <w:tabs>
          <w:tab w:val="left" w:pos="851"/>
        </w:tabs>
      </w:pPr>
      <w:r>
        <w:tab/>
        <w:t>[Heading inserted by No. 55 of 2004 s. 588.]</w:t>
      </w:r>
    </w:p>
    <w:p>
      <w:pPr>
        <w:pStyle w:val="Heading5"/>
        <w:rPr>
          <w:snapToGrid w:val="0"/>
        </w:rPr>
      </w:pPr>
      <w:bookmarkStart w:id="142" w:name="_Toc102376438"/>
      <w:bookmarkStart w:id="143" w:name="_Toc223852765"/>
      <w:bookmarkStart w:id="144" w:name="_Toc199749705"/>
      <w:r>
        <w:rPr>
          <w:rStyle w:val="CharSectno"/>
        </w:rPr>
        <w:t>12</w:t>
      </w:r>
      <w:r>
        <w:rPr>
          <w:snapToGrid w:val="0"/>
        </w:rPr>
        <w:t>.</w:t>
      </w:r>
      <w:r>
        <w:rPr>
          <w:snapToGrid w:val="0"/>
        </w:rPr>
        <w:tab/>
        <w:t>Proceedings before the Board</w:t>
      </w:r>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 xml:space="preserve">The Board shall give to any person who is a party to proceedings instituted before the Board </w:t>
      </w:r>
      <w:r>
        <w:t xml:space="preserve">on an </w:t>
      </w:r>
      <w:r>
        <w:rPr>
          <w:snapToGrid w:val="0"/>
        </w:rPr>
        <w:t>application for the grant of a licence reasonable notice of the time and place at which it intends to hear those proceedings, and shall afford any such person a reasonable opportunity to call or give evidence, to examine or cross</w:t>
      </w:r>
      <w:r>
        <w:rPr>
          <w:snapToGrid w:val="0"/>
        </w:rPr>
        <w:noBreakHyphen/>
        <w:t>examine witnesses, and to make submissions to the Board unless</w:t>
      </w:r>
      <w:r>
        <w:t xml:space="preserve"> there is no objection.</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hear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Any party to proceedings before the Board shall be entitled to appear personally or by counsel.</w:t>
      </w:r>
    </w:p>
    <w:p>
      <w:pPr>
        <w:pStyle w:val="Subsection"/>
        <w:rPr>
          <w:snapToGrid w:val="0"/>
        </w:rPr>
      </w:pPr>
      <w:r>
        <w:rPr>
          <w:snapToGrid w:val="0"/>
        </w:rPr>
        <w:tab/>
        <w:t>(5)</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(6)</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w:t>
      </w:r>
      <w:r>
        <w:t xml:space="preserve"> $5 000.</w:t>
      </w:r>
    </w:p>
    <w:p>
      <w:pPr>
        <w:pStyle w:val="Subsection"/>
        <w:rPr>
          <w:snapToGrid w:val="0"/>
        </w:rPr>
      </w:pPr>
      <w:r>
        <w:rPr>
          <w:snapToGrid w:val="0"/>
        </w:rPr>
        <w:tab/>
        <w:t>(7)</w:t>
      </w:r>
      <w:r>
        <w:rPr>
          <w:snapToGrid w:val="0"/>
        </w:rPr>
        <w:tab/>
        <w:t xml:space="preserve">Where the Board is satisfied that for the purpose of protecting the business or interest of any person it is desirable that the proceedings of any part thereof be heard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[(8)</w:t>
      </w:r>
      <w:r>
        <w:tab/>
      </w:r>
      <w:del w:id="145" w:author="svcMRProcess" w:date="2018-09-04T07:23:00Z">
        <w:r>
          <w:delText>repealed</w:delText>
        </w:r>
      </w:del>
      <w:ins w:id="146" w:author="svcMRProcess" w:date="2018-09-04T07:23:00Z">
        <w:r>
          <w:t>deleted</w:t>
        </w:r>
      </w:ins>
      <w:r>
        <w:t>]</w:t>
      </w:r>
    </w:p>
    <w:p>
      <w:pPr>
        <w:pStyle w:val="Subsection"/>
        <w:rPr>
          <w:snapToGrid w:val="0"/>
        </w:rPr>
      </w:pPr>
      <w:r>
        <w:rPr>
          <w:snapToGrid w:val="0"/>
        </w:rPr>
        <w:tab/>
        <w:t>(9)</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is a barrister or solicitor, he is subject to the same liabilities as he would be in appearing before that Court.</w:t>
      </w:r>
    </w:p>
    <w:p>
      <w:pPr>
        <w:pStyle w:val="Footnotesection"/>
      </w:pPr>
      <w:bookmarkStart w:id="147" w:name="_Toc411307505"/>
      <w:bookmarkStart w:id="148" w:name="_Toc7250795"/>
      <w:r>
        <w:tab/>
        <w:t>[Section 12 amended by No. 55 of 2004 s. 589; No. 69 of 2006 s. 15.]</w:t>
      </w:r>
    </w:p>
    <w:p>
      <w:pPr>
        <w:pStyle w:val="Heading5"/>
        <w:rPr>
          <w:snapToGrid w:val="0"/>
        </w:rPr>
      </w:pPr>
      <w:bookmarkStart w:id="149" w:name="_Toc102376439"/>
      <w:bookmarkStart w:id="150" w:name="_Toc223852766"/>
      <w:bookmarkStart w:id="151" w:name="_Toc199749706"/>
      <w:r>
        <w:rPr>
          <w:rStyle w:val="CharSectno"/>
        </w:rPr>
        <w:t>13</w:t>
      </w:r>
      <w:r>
        <w:rPr>
          <w:snapToGrid w:val="0"/>
        </w:rPr>
        <w:t>.</w:t>
      </w:r>
      <w:r>
        <w:rPr>
          <w:snapToGrid w:val="0"/>
        </w:rPr>
        <w:tab/>
        <w:t>Powers of the Board</w:t>
      </w:r>
      <w:bookmarkEnd w:id="147"/>
      <w:bookmarkEnd w:id="148"/>
      <w:bookmarkEnd w:id="149"/>
      <w:bookmarkEnd w:id="150"/>
      <w:bookmarkEnd w:id="151"/>
      <w:r>
        <w:rPr>
          <w:snapToGrid w:val="0"/>
        </w:rPr>
        <w:t xml:space="preserve"> </w:t>
      </w:r>
    </w:p>
    <w:p>
      <w:pPr>
        <w:pStyle w:val="Subsection"/>
        <w:keepNext/>
        <w:rPr>
          <w:snapToGrid w:val="0"/>
        </w:rPr>
      </w:pPr>
      <w:r>
        <w:rPr>
          <w:snapToGrid w:val="0"/>
        </w:rPr>
        <w:tab/>
        <w:t>(1)</w:t>
      </w:r>
      <w:r>
        <w:rPr>
          <w:snapToGrid w:val="0"/>
        </w:rPr>
        <w:tab/>
        <w:t>In the exercise of its powers</w:t>
      </w:r>
      <w:r>
        <w:t xml:space="preserve"> in proceedings on an application for the grant of a licence</w:t>
      </w:r>
      <w:r>
        <w:rPr>
          <w:snapToGrid w:val="0"/>
        </w:rPr>
        <w: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r>
      <w:r>
        <w:rPr>
          <w:snapToGrid w:val="0"/>
          <w:spacing w:val="-4"/>
        </w:rPr>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w:t>
      </w:r>
      <w:r>
        <w:t xml:space="preserve">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bookmarkStart w:id="152" w:name="_Toc411307506"/>
      <w:bookmarkStart w:id="153" w:name="_Toc7250796"/>
      <w:r>
        <w:tab/>
        <w:t>[Section 13 amended by No. 55 of 2004 s. 590; No. 69 of 2006 s. 16.]</w:t>
      </w:r>
    </w:p>
    <w:p>
      <w:pPr>
        <w:pStyle w:val="Heading5"/>
        <w:rPr>
          <w:snapToGrid w:val="0"/>
        </w:rPr>
      </w:pPr>
      <w:bookmarkStart w:id="154" w:name="_Toc102376440"/>
      <w:bookmarkStart w:id="155" w:name="_Toc223852767"/>
      <w:bookmarkStart w:id="156" w:name="_Toc199749707"/>
      <w:r>
        <w:rPr>
          <w:rStyle w:val="CharSectno"/>
        </w:rPr>
        <w:t>14</w:t>
      </w:r>
      <w:r>
        <w:rPr>
          <w:snapToGrid w:val="0"/>
        </w:rPr>
        <w:t>.</w:t>
      </w:r>
      <w:r>
        <w:rPr>
          <w:snapToGrid w:val="0"/>
        </w:rPr>
        <w:tab/>
        <w:t>Orders for costs</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 (3)</w:t>
      </w:r>
      <w:r>
        <w:tab/>
      </w:r>
      <w:del w:id="157" w:author="svcMRProcess" w:date="2018-09-04T07:23:00Z">
        <w:r>
          <w:delText>repealed</w:delText>
        </w:r>
      </w:del>
      <w:ins w:id="158" w:author="svcMRProcess" w:date="2018-09-04T07:23:00Z">
        <w:r>
          <w:t>deleted</w:t>
        </w:r>
      </w:ins>
      <w:r>
        <w:t>]</w:t>
      </w:r>
    </w:p>
    <w:p>
      <w:pPr>
        <w:pStyle w:val="Footnotesection"/>
      </w:pPr>
      <w:bookmarkStart w:id="159" w:name="_Toc411307507"/>
      <w:bookmarkStart w:id="160" w:name="_Toc7250797"/>
      <w:r>
        <w:tab/>
        <w:t>[Section 14 amended by No. 55 of 2004 s. 591.]</w:t>
      </w:r>
    </w:p>
    <w:p>
      <w:pPr>
        <w:pStyle w:val="Heading5"/>
        <w:rPr>
          <w:snapToGrid w:val="0"/>
        </w:rPr>
      </w:pPr>
      <w:bookmarkStart w:id="161" w:name="_Toc102376441"/>
      <w:bookmarkStart w:id="162" w:name="_Toc223852768"/>
      <w:bookmarkStart w:id="163" w:name="_Toc199749708"/>
      <w:bookmarkStart w:id="164" w:name="_Toc7340318"/>
      <w:bookmarkStart w:id="165" w:name="_Toc89523150"/>
      <w:bookmarkStart w:id="166" w:name="_Toc89523198"/>
      <w:bookmarkEnd w:id="159"/>
      <w:bookmarkEnd w:id="160"/>
      <w:r>
        <w:rPr>
          <w:rStyle w:val="CharSectno"/>
        </w:rPr>
        <w:t>15</w:t>
      </w:r>
      <w:r>
        <w:rPr>
          <w:snapToGrid w:val="0"/>
        </w:rPr>
        <w:t>.</w:t>
      </w:r>
      <w:r>
        <w:rPr>
          <w:snapToGrid w:val="0"/>
        </w:rPr>
        <w:tab/>
        <w:t>Powers of investigation</w:t>
      </w:r>
      <w:bookmarkEnd w:id="161"/>
      <w:bookmarkEnd w:id="162"/>
      <w:bookmarkEnd w:id="163"/>
      <w:r>
        <w:rPr>
          <w:snapToGrid w:val="0"/>
        </w:rPr>
        <w:t xml:space="preserve"> </w:t>
      </w:r>
    </w:p>
    <w:p>
      <w:pPr>
        <w:pStyle w:val="Subsection"/>
        <w:spacing w:before="120"/>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licensed valuer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spacing w:before="120"/>
        <w:rPr>
          <w:snapToGrid w:val="0"/>
        </w:rPr>
      </w:pPr>
      <w:bookmarkStart w:id="167" w:name="_Hlt40842707"/>
      <w:bookmarkEnd w:id="167"/>
      <w:r>
        <w:rPr>
          <w:snapToGrid w:val="0"/>
        </w:rPr>
        <w:tab/>
        <w:t>(2)</w:t>
      </w:r>
      <w:r>
        <w:rPr>
          <w:snapToGrid w:val="0"/>
        </w:rPr>
        <w:tab/>
        <w:t>The Board may designate an officer of the Board to be an investigator to carry out an inquiry and report to the Board under this section.</w:t>
      </w:r>
    </w:p>
    <w:p>
      <w:pPr>
        <w:pStyle w:val="Subsection"/>
        <w:spacing w:before="120"/>
        <w:rPr>
          <w:snapToGrid w:val="0"/>
        </w:rPr>
      </w:pPr>
      <w:r>
        <w:rPr>
          <w:snapToGrid w:val="0"/>
        </w:rPr>
        <w:tab/>
        <w:t>(3)</w:t>
      </w:r>
      <w:r>
        <w:rPr>
          <w:snapToGrid w:val="0"/>
        </w:rPr>
        <w:tab/>
        <w:t xml:space="preserve">The investigator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spacing w:before="120"/>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signed by the Board and certifying that the person is designated as an investigator by the Board.</w:t>
      </w:r>
    </w:p>
    <w:p>
      <w:pPr>
        <w:pStyle w:val="Footnotesection"/>
      </w:pPr>
      <w:r>
        <w:tab/>
        <w:t>[Section 15 inserted by No. 55 of 2004 s. 592.]</w:t>
      </w:r>
    </w:p>
    <w:p>
      <w:pPr>
        <w:pStyle w:val="Heading5"/>
        <w:rPr>
          <w:snapToGrid w:val="0"/>
        </w:rPr>
      </w:pPr>
      <w:bookmarkStart w:id="168" w:name="_Toc102376442"/>
      <w:bookmarkStart w:id="169" w:name="_Toc223852769"/>
      <w:bookmarkStart w:id="170" w:name="_Toc199749709"/>
      <w:r>
        <w:rPr>
          <w:rStyle w:val="CharSectno"/>
        </w:rPr>
        <w:t>15A</w:t>
      </w:r>
      <w:r>
        <w:rPr>
          <w:snapToGrid w:val="0"/>
        </w:rPr>
        <w:t>.</w:t>
      </w:r>
      <w:r>
        <w:rPr>
          <w:snapToGrid w:val="0"/>
        </w:rPr>
        <w:tab/>
        <w:t>Incriminating information, questions, or documents</w:t>
      </w:r>
      <w:bookmarkEnd w:id="168"/>
      <w:bookmarkEnd w:id="169"/>
      <w:bookmarkEnd w:id="170"/>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15B(1)(b).</w:t>
      </w:r>
    </w:p>
    <w:p>
      <w:pPr>
        <w:pStyle w:val="Footnotesection"/>
      </w:pPr>
      <w:r>
        <w:tab/>
        <w:t>[Section 15A inserted by No. 55 of 2004 s. 592.]</w:t>
      </w:r>
    </w:p>
    <w:p>
      <w:pPr>
        <w:pStyle w:val="Heading5"/>
        <w:rPr>
          <w:snapToGrid w:val="0"/>
        </w:rPr>
      </w:pPr>
      <w:bookmarkStart w:id="171" w:name="_Toc102376443"/>
      <w:bookmarkStart w:id="172" w:name="_Toc223852770"/>
      <w:bookmarkStart w:id="173" w:name="_Toc199749710"/>
      <w:r>
        <w:rPr>
          <w:rStyle w:val="CharSectno"/>
        </w:rPr>
        <w:t>15B</w:t>
      </w:r>
      <w:r>
        <w:rPr>
          <w:snapToGrid w:val="0"/>
        </w:rPr>
        <w:t>.</w:t>
      </w:r>
      <w:r>
        <w:rPr>
          <w:snapToGrid w:val="0"/>
        </w:rPr>
        <w:tab/>
        <w:t>Failure to comply with investigation</w:t>
      </w:r>
      <w:bookmarkEnd w:id="171"/>
      <w:bookmarkEnd w:id="172"/>
      <w:bookmarkEnd w:id="173"/>
    </w:p>
    <w:p>
      <w:pPr>
        <w:pStyle w:val="Subsection"/>
        <w:spacing w:before="120"/>
        <w:rPr>
          <w:snapToGrid w:val="0"/>
        </w:rPr>
      </w:pPr>
      <w:r>
        <w:rPr>
          <w:snapToGrid w:val="0"/>
        </w:rPr>
        <w:tab/>
        <w:t>(1)</w:t>
      </w:r>
      <w:r>
        <w:rPr>
          <w:snapToGrid w:val="0"/>
        </w:rPr>
        <w:tab/>
        <w:t>Where under section 15 a person is required to give any information, answer any question, or produce any document and that person, without reasonable excuse (proof of which shall lie on him) — </w:t>
      </w:r>
    </w:p>
    <w:p>
      <w:pPr>
        <w:pStyle w:val="Indenta"/>
        <w:spacing w:before="60"/>
        <w:rPr>
          <w:snapToGrid w:val="0"/>
        </w:rPr>
      </w:pPr>
      <w:r>
        <w:rPr>
          <w:snapToGrid w:val="0"/>
        </w:rPr>
        <w:tab/>
        <w:t>(a)</w:t>
      </w:r>
      <w:r>
        <w:rPr>
          <w:snapToGrid w:val="0"/>
        </w:rPr>
        <w:tab/>
        <w:t>fails to give that information or answer that question at or within the time specified in the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spacing w:before="60"/>
        <w:rPr>
          <w:snapToGrid w:val="0"/>
        </w:rPr>
      </w:pPr>
      <w:r>
        <w:rPr>
          <w:snapToGrid w:val="0"/>
        </w:rPr>
        <w:tab/>
        <w:t>(c)</w:t>
      </w:r>
      <w:r>
        <w:rPr>
          <w:snapToGrid w:val="0"/>
        </w:rPr>
        <w:tab/>
        <w:t>fails to produce that document at or within the time specified in the requirement,</w:t>
      </w:r>
    </w:p>
    <w:p>
      <w:pPr>
        <w:pStyle w:val="Subsection"/>
        <w:spacing w:before="120"/>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 xml:space="preserve">It is a defence in any proceeding for an offence under subsection (1)(a) or (c) for the </w:t>
      </w:r>
      <w:r>
        <w:t xml:space="preserve">accused </w:t>
      </w:r>
      <w:r>
        <w:rPr>
          <w:snapToGrid w:val="0"/>
        </w:rPr>
        <w:t>to show — </w:t>
      </w:r>
    </w:p>
    <w:p>
      <w:pPr>
        <w:pStyle w:val="Indenta"/>
        <w:spacing w:before="60"/>
        <w:rPr>
          <w:snapToGrid w:val="0"/>
        </w:rPr>
      </w:pPr>
      <w:r>
        <w:rPr>
          <w:snapToGrid w:val="0"/>
        </w:rPr>
        <w:tab/>
        <w:t>(a)</w:t>
      </w:r>
      <w:r>
        <w:rPr>
          <w:snapToGrid w:val="0"/>
        </w:rPr>
        <w:tab/>
        <w:t xml:space="preserve">that, in the case of an alleged offence arising out of a requirement made orally under section 15, the investigator did not, when making the requirement, inform the </w:t>
      </w:r>
      <w:r>
        <w:t xml:space="preserve">accused </w:t>
      </w:r>
      <w:r>
        <w:rPr>
          <w:snapToGrid w:val="0"/>
        </w:rPr>
        <w:t>that he was required under this Act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spacing w:before="60"/>
        <w:rPr>
          <w:snapToGrid w:val="0"/>
        </w:rPr>
      </w:pPr>
      <w:r>
        <w:rPr>
          <w:snapToGrid w:val="0"/>
        </w:rPr>
        <w:tab/>
        <w:t>(c)</w:t>
      </w:r>
      <w:r>
        <w:rPr>
          <w:snapToGrid w:val="0"/>
        </w:rPr>
        <w:tab/>
        <w:t xml:space="preserve">that the time specified in the requirement did not afford the </w:t>
      </w:r>
      <w:r>
        <w:t xml:space="preserve">accused </w:t>
      </w:r>
      <w:r>
        <w:rPr>
          <w:snapToGrid w:val="0"/>
        </w:rPr>
        <w:t>sufficient notice to enable him to comply with the requirement; or</w:t>
      </w:r>
    </w:p>
    <w:p>
      <w:pPr>
        <w:pStyle w:val="Indenta"/>
        <w:spacing w:before="60"/>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15B inserted by No. 55 of 2004 s. 592; amended by No. 2 of 2008 s. 65.]</w:t>
      </w:r>
    </w:p>
    <w:p>
      <w:pPr>
        <w:pStyle w:val="Heading5"/>
        <w:rPr>
          <w:snapToGrid w:val="0"/>
        </w:rPr>
      </w:pPr>
      <w:bookmarkStart w:id="174" w:name="_Toc102376444"/>
      <w:bookmarkStart w:id="175" w:name="_Toc223852771"/>
      <w:bookmarkStart w:id="176" w:name="_Toc199749711"/>
      <w:r>
        <w:rPr>
          <w:rStyle w:val="CharSectno"/>
        </w:rPr>
        <w:t>15C</w:t>
      </w:r>
      <w:r>
        <w:rPr>
          <w:snapToGrid w:val="0"/>
        </w:rPr>
        <w:t>.</w:t>
      </w:r>
      <w:r>
        <w:rPr>
          <w:snapToGrid w:val="0"/>
        </w:rPr>
        <w:tab/>
        <w:t>Obstruction of investigator</w:t>
      </w:r>
      <w:bookmarkEnd w:id="174"/>
      <w:bookmarkEnd w:id="175"/>
      <w:bookmarkEnd w:id="176"/>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15.</w:t>
      </w:r>
    </w:p>
    <w:p>
      <w:pPr>
        <w:pStyle w:val="Penstart"/>
        <w:rPr>
          <w:snapToGrid w:val="0"/>
        </w:rPr>
      </w:pPr>
      <w:r>
        <w:rPr>
          <w:snapToGrid w:val="0"/>
        </w:rPr>
        <w:tab/>
        <w:t>Penalty: $2 000.</w:t>
      </w:r>
    </w:p>
    <w:p>
      <w:pPr>
        <w:pStyle w:val="Footnotesection"/>
      </w:pPr>
      <w:r>
        <w:tab/>
        <w:t>[Section 15C inserted by No. 55 of 2004 s. 592.]</w:t>
      </w:r>
    </w:p>
    <w:p>
      <w:pPr>
        <w:pStyle w:val="Heading5"/>
        <w:rPr>
          <w:snapToGrid w:val="0"/>
        </w:rPr>
      </w:pPr>
      <w:bookmarkStart w:id="177" w:name="_Toc102376445"/>
      <w:bookmarkStart w:id="178" w:name="_Toc223852772"/>
      <w:bookmarkStart w:id="179" w:name="_Toc199749712"/>
      <w:r>
        <w:rPr>
          <w:rStyle w:val="CharSectno"/>
        </w:rPr>
        <w:t>16</w:t>
      </w:r>
      <w:r>
        <w:rPr>
          <w:snapToGrid w:val="0"/>
        </w:rPr>
        <w:t>.</w:t>
      </w:r>
      <w:r>
        <w:rPr>
          <w:snapToGrid w:val="0"/>
        </w:rPr>
        <w:tab/>
      </w:r>
      <w:bookmarkEnd w:id="164"/>
      <w:r>
        <w:rPr>
          <w:snapToGrid w:val="0"/>
        </w:rPr>
        <w:t>Application for review</w:t>
      </w:r>
      <w:bookmarkEnd w:id="177"/>
      <w:bookmarkEnd w:id="178"/>
      <w:bookmarkEnd w:id="179"/>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a person whose licence is affected by a reviewable decision or who, under Part III, applies for or objects to the grant of a licence or the renewal of a licence;</w:t>
      </w:r>
    </w:p>
    <w:p>
      <w:pPr>
        <w:pStyle w:val="Defstart"/>
      </w:pPr>
      <w:r>
        <w:tab/>
      </w:r>
      <w:r>
        <w:rPr>
          <w:rStyle w:val="CharDefText"/>
        </w:rPr>
        <w:t>reviewable decision</w:t>
      </w:r>
      <w:r>
        <w:t xml:space="preserve"> means a decision under Part III other than a determination of the form in which an application or objection is to be made.</w:t>
      </w:r>
    </w:p>
    <w:p>
      <w:pPr>
        <w:pStyle w:val="Footnotesection"/>
      </w:pPr>
      <w:r>
        <w:tab/>
        <w:t>[Section 16 inserted by No. 55 of 2004 s. 592.]</w:t>
      </w:r>
    </w:p>
    <w:p>
      <w:pPr>
        <w:pStyle w:val="Heading2"/>
      </w:pPr>
      <w:bookmarkStart w:id="180" w:name="_Toc92864347"/>
      <w:bookmarkStart w:id="181" w:name="_Toc97104126"/>
      <w:bookmarkStart w:id="182" w:name="_Toc102376446"/>
      <w:bookmarkStart w:id="183" w:name="_Toc132075330"/>
      <w:bookmarkStart w:id="184" w:name="_Toc132608683"/>
      <w:bookmarkStart w:id="185" w:name="_Toc132703377"/>
      <w:bookmarkStart w:id="186" w:name="_Toc134851064"/>
      <w:bookmarkStart w:id="187" w:name="_Toc137349826"/>
      <w:bookmarkStart w:id="188" w:name="_Toc172101529"/>
      <w:bookmarkStart w:id="189" w:name="_Toc193252415"/>
      <w:bookmarkStart w:id="190" w:name="_Toc196790619"/>
      <w:bookmarkStart w:id="191" w:name="_Toc199749713"/>
      <w:bookmarkStart w:id="192" w:name="_Toc223852773"/>
      <w:r>
        <w:rPr>
          <w:rStyle w:val="CharPartNo"/>
        </w:rPr>
        <w:t>Part III</w:t>
      </w:r>
      <w:r>
        <w:rPr>
          <w:rStyle w:val="CharDivNo"/>
        </w:rPr>
        <w:t> </w:t>
      </w:r>
      <w:r>
        <w:t>—</w:t>
      </w:r>
      <w:r>
        <w:rPr>
          <w:rStyle w:val="CharDivText"/>
        </w:rPr>
        <w:t> </w:t>
      </w:r>
      <w:r>
        <w:rPr>
          <w:rStyle w:val="CharPartText"/>
        </w:rPr>
        <w:t>Licensing</w:t>
      </w:r>
      <w:bookmarkEnd w:id="165"/>
      <w:bookmarkEnd w:id="166"/>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PartText"/>
        </w:rPr>
        <w:t xml:space="preserve"> </w:t>
      </w:r>
    </w:p>
    <w:p>
      <w:pPr>
        <w:pStyle w:val="Heading5"/>
        <w:rPr>
          <w:snapToGrid w:val="0"/>
        </w:rPr>
      </w:pPr>
      <w:bookmarkStart w:id="193" w:name="_Toc411307509"/>
      <w:bookmarkStart w:id="194" w:name="_Toc7250799"/>
      <w:bookmarkStart w:id="195" w:name="_Toc102376447"/>
      <w:bookmarkStart w:id="196" w:name="_Toc223852774"/>
      <w:bookmarkStart w:id="197" w:name="_Toc199749714"/>
      <w:r>
        <w:rPr>
          <w:rStyle w:val="CharSectno"/>
        </w:rPr>
        <w:t>17</w:t>
      </w:r>
      <w:r>
        <w:rPr>
          <w:snapToGrid w:val="0"/>
        </w:rPr>
        <w:t>.</w:t>
      </w:r>
      <w:r>
        <w:rPr>
          <w:snapToGrid w:val="0"/>
        </w:rPr>
        <w:tab/>
        <w:t>Application</w:t>
      </w:r>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198" w:name="_Toc411307510"/>
      <w:bookmarkStart w:id="199" w:name="_Toc7250800"/>
      <w:bookmarkStart w:id="200" w:name="_Toc102376448"/>
      <w:bookmarkStart w:id="201" w:name="_Toc223852775"/>
      <w:bookmarkStart w:id="202" w:name="_Toc199749715"/>
      <w:r>
        <w:rPr>
          <w:rStyle w:val="CharSectno"/>
        </w:rPr>
        <w:t>18</w:t>
      </w:r>
      <w:r>
        <w:rPr>
          <w:snapToGrid w:val="0"/>
        </w:rPr>
        <w:t>.</w:t>
      </w:r>
      <w:r>
        <w:rPr>
          <w:snapToGrid w:val="0"/>
        </w:rPr>
        <w:tab/>
        <w:t>Objections</w:t>
      </w:r>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Any person may object to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203" w:name="_Toc411307511"/>
      <w:bookmarkStart w:id="204" w:name="_Toc7250801"/>
      <w:bookmarkStart w:id="205" w:name="_Toc102376449"/>
      <w:bookmarkStart w:id="206" w:name="_Toc223852776"/>
      <w:bookmarkStart w:id="207" w:name="_Toc199749716"/>
      <w:r>
        <w:rPr>
          <w:rStyle w:val="CharSectno"/>
        </w:rPr>
        <w:t>19</w:t>
      </w:r>
      <w:r>
        <w:rPr>
          <w:snapToGrid w:val="0"/>
        </w:rPr>
        <w:t>.</w:t>
      </w:r>
      <w:r>
        <w:rPr>
          <w:snapToGrid w:val="0"/>
        </w:rPr>
        <w:tab/>
        <w:t xml:space="preserve">Grant of </w:t>
      </w:r>
      <w:bookmarkEnd w:id="203"/>
      <w:r>
        <w:rPr>
          <w:snapToGrid w:val="0"/>
        </w:rPr>
        <w:t>licence</w:t>
      </w:r>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The Board may grant a licence to any person who satisfies the Board, by such evidence as it may require that he is a person of good character and repute and is competent to carry out the duties of a licensed valuer and who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member of the</w:t>
      </w:r>
      <w:r>
        <w:t xml:space="preserve"> Australian Property Institute</w:t>
      </w:r>
      <w:r>
        <w:rPr>
          <w:snapToGrid w:val="0"/>
        </w:rPr>
        <w:t>; or</w:t>
      </w:r>
    </w:p>
    <w:p>
      <w:pPr>
        <w:pStyle w:val="Indenta"/>
        <w:keepNext/>
        <w:rPr>
          <w:snapToGrid w:val="0"/>
        </w:rPr>
      </w:pPr>
      <w:r>
        <w:rPr>
          <w:snapToGrid w:val="0"/>
        </w:rPr>
        <w:tab/>
        <w:t>(c)</w:t>
      </w:r>
      <w:r>
        <w:rPr>
          <w:snapToGrid w:val="0"/>
        </w:rPr>
        <w:tab/>
        <w:t>is the holder of a prescribed degree, diploma, certificate or other award and has had, in the opinion of the Board, — </w:t>
      </w:r>
    </w:p>
    <w:p>
      <w:pPr>
        <w:pStyle w:val="Indenti"/>
        <w:rPr>
          <w:snapToGrid w:val="0"/>
        </w:rPr>
      </w:pPr>
      <w:r>
        <w:rPr>
          <w:snapToGrid w:val="0"/>
        </w:rPr>
        <w:tab/>
        <w:t>(i)</w:t>
      </w:r>
      <w:r>
        <w:rPr>
          <w:snapToGrid w:val="0"/>
        </w:rPr>
        <w:tab/>
        <w:t xml:space="preserve">satisfactory practical experience in the valuation of land, for the period of </w:t>
      </w:r>
      <w:r>
        <w:t>2 years</w:t>
      </w:r>
      <w:r>
        <w:rPr>
          <w:snapToGrid w:val="0"/>
        </w:rPr>
        <w:t xml:space="preserve"> immediately preceding the date of his application; and</w:t>
      </w:r>
    </w:p>
    <w:p>
      <w:pPr>
        <w:pStyle w:val="Indenti"/>
        <w:rPr>
          <w:snapToGrid w:val="0"/>
        </w:rPr>
      </w:pPr>
      <w:r>
        <w:rPr>
          <w:snapToGrid w:val="0"/>
        </w:rPr>
        <w:tab/>
        <w:t>(ii)</w:t>
      </w:r>
      <w:r>
        <w:rPr>
          <w:snapToGrid w:val="0"/>
        </w:rPr>
        <w:tab/>
        <w:t xml:space="preserve">a total of not less than 4 years’ satisfactory practical experience in the valuation of land within the period of 10 years immediately preceding the date of his application;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previously held a licence under this Act within the period of 5 years immediately preceding the date of his application.</w:t>
      </w:r>
    </w:p>
    <w:p>
      <w:pPr>
        <w:pStyle w:val="Footnotesection"/>
      </w:pPr>
      <w:r>
        <w:tab/>
        <w:t>[Section 19 amended by No. 74 of 2003 s. 74(3); No. 55 of 2004 s. 593.]</w:t>
      </w:r>
    </w:p>
    <w:p>
      <w:pPr>
        <w:pStyle w:val="Heading5"/>
      </w:pPr>
      <w:bookmarkStart w:id="208" w:name="_Toc102376450"/>
      <w:bookmarkStart w:id="209" w:name="_Toc223852777"/>
      <w:bookmarkStart w:id="210" w:name="_Toc199749717"/>
      <w:bookmarkStart w:id="211" w:name="_Toc411307512"/>
      <w:bookmarkStart w:id="212" w:name="_Toc7250802"/>
      <w:r>
        <w:rPr>
          <w:rStyle w:val="CharSectno"/>
        </w:rPr>
        <w:t>19A.</w:t>
      </w:r>
      <w:r>
        <w:tab/>
        <w:t>Unopposed applications</w:t>
      </w:r>
      <w:bookmarkEnd w:id="208"/>
      <w:bookmarkEnd w:id="209"/>
      <w:bookmarkEnd w:id="210"/>
    </w:p>
    <w:p>
      <w:pPr>
        <w:pStyle w:val="Subsection"/>
        <w:rPr>
          <w:snapToGrid w:val="0"/>
        </w:rPr>
      </w:pPr>
      <w:r>
        <w:rPr>
          <w:snapToGrid w:val="0"/>
        </w:rPr>
        <w:tab/>
        <w:t>(1)</w:t>
      </w:r>
      <w:r>
        <w:rPr>
          <w:snapToGrid w:val="0"/>
        </w:rPr>
        <w:tab/>
        <w:t>Subject to this Part, a licence may be granted (as long as there is no objection) by the Board, in a meeting at any time and place without notice to the applicant.</w:t>
      </w:r>
    </w:p>
    <w:p>
      <w:pPr>
        <w:pStyle w:val="Subsection"/>
        <w:rPr>
          <w:snapToGrid w:val="0"/>
        </w:rPr>
      </w:pPr>
      <w:r>
        <w:rPr>
          <w:snapToGrid w:val="0"/>
        </w:rPr>
        <w:tab/>
        <w:t>(2)</w:t>
      </w:r>
      <w:r>
        <w:rPr>
          <w:snapToGrid w:val="0"/>
        </w:rPr>
        <w:tab/>
        <w:t>Where the Board performs a function under subsection (1), the Registrar shall forthwith deliver the licence to the applicant.</w:t>
      </w:r>
    </w:p>
    <w:p>
      <w:pPr>
        <w:pStyle w:val="Footnotesection"/>
      </w:pPr>
      <w:r>
        <w:tab/>
        <w:t>[Section 19A inserted by No. 55 of 2004 s. 594.]</w:t>
      </w:r>
    </w:p>
    <w:p>
      <w:pPr>
        <w:pStyle w:val="Heading5"/>
        <w:rPr>
          <w:snapToGrid w:val="0"/>
        </w:rPr>
      </w:pPr>
      <w:bookmarkStart w:id="213" w:name="_Toc102376451"/>
      <w:bookmarkStart w:id="214" w:name="_Toc223852778"/>
      <w:bookmarkStart w:id="215" w:name="_Toc199749718"/>
      <w:r>
        <w:rPr>
          <w:rStyle w:val="CharSectno"/>
        </w:rPr>
        <w:t>20</w:t>
      </w:r>
      <w:r>
        <w:rPr>
          <w:snapToGrid w:val="0"/>
        </w:rPr>
        <w:t>.</w:t>
      </w:r>
      <w:r>
        <w:rPr>
          <w:snapToGrid w:val="0"/>
        </w:rPr>
        <w:tab/>
        <w:t>Fee and oath</w:t>
      </w:r>
      <w:bookmarkEnd w:id="211"/>
      <w:bookmarkEnd w:id="212"/>
      <w:bookmarkEnd w:id="213"/>
      <w:bookmarkEnd w:id="214"/>
      <w:bookmarkEnd w:id="215"/>
      <w:r>
        <w:rPr>
          <w:snapToGrid w:val="0"/>
        </w:rPr>
        <w:t xml:space="preserve"> </w:t>
      </w:r>
    </w:p>
    <w:p>
      <w:pPr>
        <w:pStyle w:val="Subsection"/>
        <w:keepNext/>
        <w:rPr>
          <w:snapToGrid w:val="0"/>
        </w:rPr>
      </w:pPr>
      <w:r>
        <w:rPr>
          <w:snapToGrid w:val="0"/>
        </w:rPr>
        <w:tab/>
      </w:r>
      <w:r>
        <w:rPr>
          <w:snapToGrid w:val="0"/>
        </w:rPr>
        <w:tab/>
        <w:t>A person who has applied for and is qualified to hold, a licence shall, before being granted a licence — </w:t>
      </w:r>
    </w:p>
    <w:p>
      <w:pPr>
        <w:pStyle w:val="Indenta"/>
        <w:rPr>
          <w:snapToGrid w:val="0"/>
        </w:rPr>
      </w:pPr>
      <w:r>
        <w:rPr>
          <w:snapToGrid w:val="0"/>
        </w:rPr>
        <w:tab/>
        <w:t>(a)</w:t>
      </w:r>
      <w:r>
        <w:rPr>
          <w:snapToGrid w:val="0"/>
        </w:rPr>
        <w:tab/>
        <w:t>pay to the Board the prescribed fee for the licence; and</w:t>
      </w:r>
    </w:p>
    <w:p>
      <w:pPr>
        <w:pStyle w:val="Indenta"/>
        <w:rPr>
          <w:snapToGrid w:val="0"/>
        </w:rPr>
      </w:pPr>
      <w:r>
        <w:rPr>
          <w:snapToGrid w:val="0"/>
        </w:rPr>
        <w:tab/>
        <w:t>(b)</w:t>
      </w:r>
      <w:r>
        <w:rPr>
          <w:snapToGrid w:val="0"/>
        </w:rPr>
        <w:tab/>
        <w:t>make on oath or affirmation a declaration in an approved form that he will make every valuation impartially.</w:t>
      </w:r>
    </w:p>
    <w:p>
      <w:pPr>
        <w:pStyle w:val="Heading5"/>
      </w:pPr>
      <w:bookmarkStart w:id="216" w:name="_Toc102376452"/>
      <w:bookmarkStart w:id="217" w:name="_Toc223852779"/>
      <w:bookmarkStart w:id="218" w:name="_Toc199749719"/>
      <w:bookmarkStart w:id="219" w:name="_Toc411307513"/>
      <w:bookmarkStart w:id="220" w:name="_Toc7250803"/>
      <w:r>
        <w:rPr>
          <w:rStyle w:val="CharSectno"/>
        </w:rPr>
        <w:t>20A</w:t>
      </w:r>
      <w:r>
        <w:t>.</w:t>
      </w:r>
      <w:r>
        <w:tab/>
        <w:t>Suspension of licence by State Administrative Tribunal</w:t>
      </w:r>
      <w:bookmarkEnd w:id="216"/>
      <w:bookmarkEnd w:id="217"/>
      <w:bookmarkEnd w:id="218"/>
    </w:p>
    <w:p>
      <w:pPr>
        <w:pStyle w:val="Subsection"/>
        <w:rPr>
          <w:snapToGrid w:val="0"/>
        </w:rPr>
      </w:pPr>
      <w:r>
        <w:rPr>
          <w:snapToGrid w:val="0"/>
        </w:rPr>
        <w:tab/>
        <w:t>(1)</w:t>
      </w:r>
      <w:r>
        <w:rPr>
          <w:snapToGrid w:val="0"/>
        </w:rPr>
        <w:tab/>
        <w:t>Where the State Administrative Tribunal makes an order against a licensed valuer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20A inserted by No. 55 of 2004 s. 595.]</w:t>
      </w:r>
    </w:p>
    <w:p>
      <w:pPr>
        <w:pStyle w:val="Heading5"/>
        <w:rPr>
          <w:snapToGrid w:val="0"/>
        </w:rPr>
      </w:pPr>
      <w:bookmarkStart w:id="221" w:name="_Toc102376453"/>
      <w:bookmarkStart w:id="222" w:name="_Toc223852780"/>
      <w:bookmarkStart w:id="223" w:name="_Toc199749720"/>
      <w:r>
        <w:rPr>
          <w:rStyle w:val="CharSectno"/>
        </w:rPr>
        <w:t>21</w:t>
      </w:r>
      <w:r>
        <w:rPr>
          <w:snapToGrid w:val="0"/>
        </w:rPr>
        <w:t>.</w:t>
      </w:r>
      <w:r>
        <w:rPr>
          <w:snapToGrid w:val="0"/>
        </w:rPr>
        <w:tab/>
        <w:t xml:space="preserve">Expiry and surrender of </w:t>
      </w:r>
      <w:bookmarkEnd w:id="219"/>
      <w:r>
        <w:rPr>
          <w:snapToGrid w:val="0"/>
        </w:rPr>
        <w:t>licence</w:t>
      </w:r>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On granting a licence the Board shall fix a period, not exceeding the period prescribed, during which the licence is to have effect.</w:t>
      </w:r>
    </w:p>
    <w:p>
      <w:pPr>
        <w:pStyle w:val="Subsection"/>
        <w:rPr>
          <w:snapToGrid w:val="0"/>
        </w:rPr>
      </w:pPr>
      <w:r>
        <w:rPr>
          <w:snapToGrid w:val="0"/>
        </w:rPr>
        <w:tab/>
        <w:t>(1a)</w:t>
      </w:r>
      <w:r>
        <w:rPr>
          <w:snapToGrid w:val="0"/>
        </w:rPr>
        <w:tab/>
        <w:t>Subject to section 28, unless sooner surrendered a licence shall have effect for the period fixed under subsection (1) and may be renewed under section 22.</w:t>
      </w:r>
    </w:p>
    <w:p>
      <w:pPr>
        <w:pStyle w:val="Subsection"/>
        <w:rPr>
          <w:snapToGrid w:val="0"/>
        </w:rPr>
      </w:pPr>
      <w:r>
        <w:rPr>
          <w:snapToGrid w:val="0"/>
        </w:rPr>
        <w:tab/>
        <w:t>(2)</w:t>
      </w:r>
      <w:r>
        <w:rPr>
          <w:snapToGrid w:val="0"/>
        </w:rPr>
        <w:tab/>
        <w:t>A person may at any time surrender a licence and the licence shall thereupon become and be void and of no effect.</w:t>
      </w:r>
    </w:p>
    <w:p>
      <w:pPr>
        <w:pStyle w:val="Subsection"/>
        <w:rPr>
          <w:snapToGrid w:val="0"/>
        </w:rPr>
      </w:pPr>
      <w:r>
        <w:rPr>
          <w:snapToGrid w:val="0"/>
        </w:rPr>
        <w:tab/>
        <w:t>(3)</w:t>
      </w:r>
      <w:r>
        <w:rPr>
          <w:snapToGrid w:val="0"/>
        </w:rPr>
        <w:tab/>
        <w:t>Despite the surrender by a person of a licence, this Act applies, for the purpose of enabling the person to be investigated or otherwise dealt with for a matter arising before the surrender, as if the licence had not been surrendered.</w:t>
      </w:r>
    </w:p>
    <w:p>
      <w:pPr>
        <w:pStyle w:val="Footnotesection"/>
      </w:pPr>
      <w:r>
        <w:tab/>
        <w:t xml:space="preserve">[Section 21 amended by No. 56 of 1995 s. 28; No. 55 of 2004 s. 596.] </w:t>
      </w:r>
    </w:p>
    <w:p>
      <w:pPr>
        <w:pStyle w:val="Heading5"/>
        <w:rPr>
          <w:snapToGrid w:val="0"/>
        </w:rPr>
      </w:pPr>
      <w:bookmarkStart w:id="224" w:name="_Toc411307514"/>
      <w:bookmarkStart w:id="225" w:name="_Toc7250804"/>
      <w:bookmarkStart w:id="226" w:name="_Toc102376454"/>
      <w:bookmarkStart w:id="227" w:name="_Toc223852781"/>
      <w:bookmarkStart w:id="228" w:name="_Toc199749721"/>
      <w:r>
        <w:rPr>
          <w:rStyle w:val="CharSectno"/>
        </w:rPr>
        <w:t>22</w:t>
      </w:r>
      <w:r>
        <w:rPr>
          <w:snapToGrid w:val="0"/>
        </w:rPr>
        <w:t>.</w:t>
      </w:r>
      <w:r>
        <w:rPr>
          <w:snapToGrid w:val="0"/>
        </w:rPr>
        <w:tab/>
        <w:t xml:space="preserve">Renewal of </w:t>
      </w:r>
      <w:bookmarkEnd w:id="224"/>
      <w:r>
        <w:rPr>
          <w:snapToGrid w:val="0"/>
        </w:rPr>
        <w:t>licence</w:t>
      </w:r>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Where the holder of a licence applies to the Board for the renewal of that licence and pays to the Board the prescribed fee, the Board shall renew the licence for a further prescribed period.</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an application is made after, but within 28 days of, the day on which the licence expired; and</w:t>
      </w:r>
    </w:p>
    <w:p>
      <w:pPr>
        <w:pStyle w:val="Indenta"/>
        <w:rPr>
          <w:snapToGrid w:val="0"/>
        </w:rPr>
      </w:pPr>
      <w:r>
        <w:rPr>
          <w:snapToGrid w:val="0"/>
        </w:rPr>
        <w:tab/>
        <w:t>(b)</w:t>
      </w:r>
      <w:r>
        <w:rPr>
          <w:snapToGrid w:val="0"/>
        </w:rPr>
        <w:tab/>
        <w:t xml:space="preserve">the prescribed fee and any amount prescribed by way of penalty for a late application are paid, </w:t>
      </w:r>
    </w:p>
    <w:p>
      <w:pPr>
        <w:pStyle w:val="Subsection"/>
        <w:rPr>
          <w:snapToGrid w:val="0"/>
        </w:rPr>
      </w:pPr>
      <w:r>
        <w:rPr>
          <w:snapToGrid w:val="0"/>
        </w:rPr>
        <w:tab/>
      </w:r>
      <w:r>
        <w:rPr>
          <w:snapToGrid w:val="0"/>
        </w:rPr>
        <w:tab/>
        <w:t>the Board shall renew that licence for the period prescribed.</w:t>
      </w:r>
    </w:p>
    <w:p>
      <w:pPr>
        <w:pStyle w:val="Subsection"/>
        <w:rPr>
          <w:snapToGrid w:val="0"/>
        </w:rPr>
      </w:pPr>
      <w:r>
        <w:rPr>
          <w:snapToGrid w:val="0"/>
        </w:rPr>
        <w:tab/>
        <w:t>(2a)</w:t>
      </w:r>
      <w:r>
        <w:rPr>
          <w:snapToGrid w:val="0"/>
        </w:rPr>
        <w:tab/>
        <w:t>A renewal under subsection (2) shall be taken for all purposes to have taken effect on the day immediately succeeding the day on which the previous licence expired.</w:t>
      </w:r>
    </w:p>
    <w:p>
      <w:pPr>
        <w:pStyle w:val="Subsection"/>
        <w:rPr>
          <w:snapToGrid w:val="0"/>
        </w:rPr>
      </w:pPr>
      <w:r>
        <w:rPr>
          <w:snapToGrid w:val="0"/>
        </w:rPr>
        <w:tab/>
        <w:t>(3)</w:t>
      </w:r>
      <w:r>
        <w:rPr>
          <w:snapToGrid w:val="0"/>
        </w:rPr>
        <w:tab/>
        <w:t>An application for the renewal of a licence shall be made in writing and in a manner and form determined by the Board in respect of such an application.</w:t>
      </w:r>
    </w:p>
    <w:p>
      <w:pPr>
        <w:pStyle w:val="Footnotesection"/>
      </w:pPr>
      <w:r>
        <w:tab/>
        <w:t xml:space="preserve">[Section 22 amended by No. 56 of 1995 s. 29.] </w:t>
      </w:r>
    </w:p>
    <w:p>
      <w:pPr>
        <w:pStyle w:val="Heading2"/>
      </w:pPr>
      <w:bookmarkStart w:id="229" w:name="_Toc89523157"/>
      <w:bookmarkStart w:id="230" w:name="_Toc89523205"/>
      <w:bookmarkStart w:id="231" w:name="_Toc92864356"/>
      <w:bookmarkStart w:id="232" w:name="_Toc97104135"/>
      <w:bookmarkStart w:id="233" w:name="_Toc102376455"/>
      <w:bookmarkStart w:id="234" w:name="_Toc132075339"/>
      <w:bookmarkStart w:id="235" w:name="_Toc132608692"/>
      <w:bookmarkStart w:id="236" w:name="_Toc132703386"/>
      <w:bookmarkStart w:id="237" w:name="_Toc134851073"/>
      <w:bookmarkStart w:id="238" w:name="_Toc137349835"/>
      <w:bookmarkStart w:id="239" w:name="_Toc172101538"/>
      <w:bookmarkStart w:id="240" w:name="_Toc193252424"/>
      <w:bookmarkStart w:id="241" w:name="_Toc196790628"/>
      <w:bookmarkStart w:id="242" w:name="_Toc199749722"/>
      <w:bookmarkStart w:id="243" w:name="_Toc223852782"/>
      <w:r>
        <w:rPr>
          <w:rStyle w:val="CharPartNo"/>
        </w:rPr>
        <w:t>Part IV</w:t>
      </w:r>
      <w:r>
        <w:t> — </w:t>
      </w:r>
      <w:r>
        <w:rPr>
          <w:rStyle w:val="CharPartText"/>
        </w:rPr>
        <w:t>Control of the practice of valuation</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PartText"/>
        </w:rPr>
        <w:t xml:space="preserve"> </w:t>
      </w:r>
    </w:p>
    <w:p>
      <w:pPr>
        <w:pStyle w:val="Heading3"/>
        <w:rPr>
          <w:snapToGrid w:val="0"/>
        </w:rPr>
      </w:pPr>
      <w:bookmarkStart w:id="244" w:name="_Toc89523158"/>
      <w:bookmarkStart w:id="245" w:name="_Toc89523206"/>
      <w:bookmarkStart w:id="246" w:name="_Toc92864357"/>
      <w:bookmarkStart w:id="247" w:name="_Toc97104136"/>
      <w:bookmarkStart w:id="248" w:name="_Toc102376456"/>
      <w:bookmarkStart w:id="249" w:name="_Toc132075340"/>
      <w:bookmarkStart w:id="250" w:name="_Toc132608693"/>
      <w:bookmarkStart w:id="251" w:name="_Toc132703387"/>
      <w:bookmarkStart w:id="252" w:name="_Toc134851074"/>
      <w:bookmarkStart w:id="253" w:name="_Toc137349836"/>
      <w:bookmarkStart w:id="254" w:name="_Toc172101539"/>
      <w:bookmarkStart w:id="255" w:name="_Toc193252425"/>
      <w:bookmarkStart w:id="256" w:name="_Toc196790629"/>
      <w:bookmarkStart w:id="257" w:name="_Toc199749723"/>
      <w:bookmarkStart w:id="258" w:name="_Toc223852783"/>
      <w:r>
        <w:rPr>
          <w:rStyle w:val="CharDivNo"/>
        </w:rPr>
        <w:t>Division 1</w:t>
      </w:r>
      <w:r>
        <w:rPr>
          <w:snapToGrid w:val="0"/>
        </w:rPr>
        <w:t> — </w:t>
      </w:r>
      <w:r>
        <w:rPr>
          <w:rStyle w:val="CharDivText"/>
        </w:rPr>
        <w:t>General</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Pr>
          <w:rStyle w:val="CharDivText"/>
        </w:rPr>
        <w:t xml:space="preserve"> </w:t>
      </w:r>
    </w:p>
    <w:p>
      <w:pPr>
        <w:pStyle w:val="Heading5"/>
        <w:spacing w:before="180"/>
        <w:rPr>
          <w:snapToGrid w:val="0"/>
        </w:rPr>
      </w:pPr>
      <w:bookmarkStart w:id="259" w:name="_Toc411307515"/>
      <w:bookmarkStart w:id="260" w:name="_Toc7250805"/>
      <w:bookmarkStart w:id="261" w:name="_Toc102376457"/>
      <w:bookmarkStart w:id="262" w:name="_Toc223852784"/>
      <w:bookmarkStart w:id="263" w:name="_Toc199749724"/>
      <w:r>
        <w:rPr>
          <w:rStyle w:val="CharSectno"/>
        </w:rPr>
        <w:t>23</w:t>
      </w:r>
      <w:r>
        <w:rPr>
          <w:snapToGrid w:val="0"/>
        </w:rPr>
        <w:t>.</w:t>
      </w:r>
      <w:r>
        <w:rPr>
          <w:snapToGrid w:val="0"/>
        </w:rPr>
        <w:tab/>
        <w:t>Valuers to be licensed</w:t>
      </w:r>
      <w:bookmarkEnd w:id="259"/>
      <w:bookmarkEnd w:id="260"/>
      <w:bookmarkEnd w:id="261"/>
      <w:bookmarkEnd w:id="262"/>
      <w:bookmarkEnd w:id="263"/>
      <w:r>
        <w:rPr>
          <w:snapToGrid w:val="0"/>
        </w:rPr>
        <w:t xml:space="preserve"> </w:t>
      </w:r>
    </w:p>
    <w:p>
      <w:pPr>
        <w:pStyle w:val="Subsection"/>
        <w:spacing w:before="120"/>
        <w:rPr>
          <w:snapToGrid w:val="0"/>
        </w:rPr>
      </w:pPr>
      <w:r>
        <w:rPr>
          <w:snapToGrid w:val="0"/>
        </w:rPr>
        <w:tab/>
        <w:t>(1)</w:t>
      </w:r>
      <w:r>
        <w:rPr>
          <w:snapToGrid w:val="0"/>
        </w:rPr>
        <w:tab/>
        <w:t>A person shall not carry on business, or by any means hold himself out, or demand or receive commission, reward or other valuable consideration in respect of his services, as a valuer of land unless he is licensed under this Act.</w:t>
      </w:r>
    </w:p>
    <w:p>
      <w:pPr>
        <w:pStyle w:val="Penstart"/>
        <w:spacing w:before="60"/>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Subsection (1) does not prevent a firm or corporation from carrying on business, or holding itself out, or demanding or receiving commission, reward or other valuable consideration in respect of its services, as a valuer of land so long as every valuation of land supplied by that firm or corporation is made by an officer of the firm or corporation who is licensed under this Act.</w:t>
      </w:r>
    </w:p>
    <w:p>
      <w:pPr>
        <w:pStyle w:val="Subsection"/>
        <w:keepNext/>
        <w:spacing w:before="120"/>
        <w:rPr>
          <w:snapToGrid w:val="0"/>
        </w:rPr>
      </w:pPr>
      <w:r>
        <w:rPr>
          <w:snapToGrid w:val="0"/>
        </w:rPr>
        <w:tab/>
        <w:t>(3)</w:t>
      </w:r>
      <w:r>
        <w:rPr>
          <w:snapToGrid w:val="0"/>
        </w:rPr>
        <w:tab/>
        <w:t>Subsection (1) does not prevent — </w:t>
      </w:r>
    </w:p>
    <w:p>
      <w:pPr>
        <w:pStyle w:val="Indenta"/>
        <w:spacing w:before="60"/>
        <w:rPr>
          <w:snapToGrid w:val="0"/>
        </w:rPr>
      </w:pPr>
      <w:r>
        <w:rPr>
          <w:snapToGrid w:val="0"/>
        </w:rPr>
        <w:tab/>
        <w:t>(a)</w:t>
      </w:r>
      <w:r>
        <w:rPr>
          <w:snapToGrid w:val="0"/>
        </w:rPr>
        <w:tab/>
        <w:t>a student who is undertaking a prescribe course of study in the valuation of land; or</w:t>
      </w:r>
    </w:p>
    <w:p>
      <w:pPr>
        <w:pStyle w:val="Indenta"/>
        <w:spacing w:before="60"/>
        <w:rPr>
          <w:snapToGrid w:val="0"/>
        </w:rPr>
      </w:pPr>
      <w:r>
        <w:rPr>
          <w:snapToGrid w:val="0"/>
        </w:rPr>
        <w:tab/>
        <w:t>(b)</w:t>
      </w:r>
      <w:r>
        <w:rPr>
          <w:snapToGrid w:val="0"/>
        </w:rPr>
        <w:tab/>
        <w:t>a person who is employed as an assistant to a licensed valuer,</w:t>
      </w:r>
    </w:p>
    <w:p>
      <w:pPr>
        <w:pStyle w:val="Subsection"/>
        <w:spacing w:before="120"/>
        <w:rPr>
          <w:snapToGrid w:val="0"/>
        </w:rPr>
      </w:pPr>
      <w:r>
        <w:rPr>
          <w:snapToGrid w:val="0"/>
        </w:rPr>
        <w:tab/>
      </w:r>
      <w:r>
        <w:rPr>
          <w:snapToGrid w:val="0"/>
        </w:rPr>
        <w:tab/>
        <w:t>from performing and discharging, under the supervision of a licensed valuer, functions and duties connected with the valuation of land.</w:t>
      </w:r>
    </w:p>
    <w:p>
      <w:pPr>
        <w:pStyle w:val="Footnotesection"/>
      </w:pPr>
      <w:r>
        <w:tab/>
        <w:t xml:space="preserve">[Section 23 amended by No. 15 of 1984 s. 5; No. 69 of 2006 s. 17.] </w:t>
      </w:r>
    </w:p>
    <w:p>
      <w:pPr>
        <w:pStyle w:val="Heading5"/>
        <w:spacing w:before="180"/>
        <w:rPr>
          <w:snapToGrid w:val="0"/>
        </w:rPr>
      </w:pPr>
      <w:bookmarkStart w:id="264" w:name="_Toc411307516"/>
      <w:bookmarkStart w:id="265" w:name="_Toc7250806"/>
      <w:bookmarkStart w:id="266" w:name="_Toc102376458"/>
      <w:bookmarkStart w:id="267" w:name="_Toc223852785"/>
      <w:bookmarkStart w:id="268" w:name="_Toc199749725"/>
      <w:r>
        <w:rPr>
          <w:rStyle w:val="CharSectno"/>
        </w:rPr>
        <w:t>24</w:t>
      </w:r>
      <w:r>
        <w:rPr>
          <w:snapToGrid w:val="0"/>
        </w:rPr>
        <w:t>.</w:t>
      </w:r>
      <w:r>
        <w:rPr>
          <w:snapToGrid w:val="0"/>
        </w:rPr>
        <w:tab/>
        <w:t>False claim of being licensed</w:t>
      </w:r>
      <w:bookmarkEnd w:id="264"/>
      <w:bookmarkEnd w:id="265"/>
      <w:bookmarkEnd w:id="266"/>
      <w:bookmarkEnd w:id="267"/>
      <w:bookmarkEnd w:id="268"/>
      <w:r>
        <w:rPr>
          <w:snapToGrid w:val="0"/>
        </w:rPr>
        <w:t xml:space="preserve"> </w:t>
      </w:r>
    </w:p>
    <w:p>
      <w:pPr>
        <w:pStyle w:val="Subsection"/>
        <w:spacing w:before="120"/>
        <w:rPr>
          <w:snapToGrid w:val="0"/>
        </w:rPr>
      </w:pPr>
      <w:r>
        <w:rPr>
          <w:snapToGrid w:val="0"/>
        </w:rPr>
        <w:tab/>
        <w:t>(1)</w:t>
      </w:r>
      <w:r>
        <w:rPr>
          <w:snapToGrid w:val="0"/>
        </w:rPr>
        <w:tab/>
        <w:t>A person who, not being a licensed valuer, in any way implies that he is licensed under this Act shall be guilty of an offence against this Act.</w:t>
      </w:r>
    </w:p>
    <w:p>
      <w:pPr>
        <w:pStyle w:val="Penstart"/>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Subsection (1) does not prevent a firm or corporation of which at least one officer is a licensed valuer from using the term “licensed valuers”, or otherwise implying in any way that it is able to render the services of a licensed valuer, in a notice or advertisement or in a letterhead or other document so long as the notice, advertisement or document also contains the names of the officer or officers of the firm or corporation who is or are licensed under this Act.</w:t>
      </w:r>
    </w:p>
    <w:p>
      <w:pPr>
        <w:pStyle w:val="Footnotesection"/>
      </w:pPr>
      <w:bookmarkStart w:id="269" w:name="_Toc411307517"/>
      <w:bookmarkStart w:id="270" w:name="_Toc7250807"/>
      <w:bookmarkStart w:id="271" w:name="_Toc102376459"/>
      <w:r>
        <w:tab/>
        <w:t xml:space="preserve">[Section 24 amended by No. 69 of 2006 s. 18.] </w:t>
      </w:r>
    </w:p>
    <w:p>
      <w:pPr>
        <w:pStyle w:val="Heading5"/>
        <w:spacing w:before="180"/>
        <w:rPr>
          <w:snapToGrid w:val="0"/>
        </w:rPr>
      </w:pPr>
      <w:bookmarkStart w:id="272" w:name="_Toc223852786"/>
      <w:bookmarkStart w:id="273" w:name="_Toc199749726"/>
      <w:r>
        <w:rPr>
          <w:rStyle w:val="CharSectno"/>
        </w:rPr>
        <w:t>25</w:t>
      </w:r>
      <w:r>
        <w:rPr>
          <w:snapToGrid w:val="0"/>
        </w:rPr>
        <w:t>.</w:t>
      </w:r>
      <w:r>
        <w:rPr>
          <w:snapToGrid w:val="0"/>
        </w:rPr>
        <w:tab/>
        <w:t>Remuneration of licensed valuers</w:t>
      </w:r>
      <w:bookmarkEnd w:id="269"/>
      <w:bookmarkEnd w:id="270"/>
      <w:bookmarkEnd w:id="271"/>
      <w:bookmarkEnd w:id="272"/>
      <w:bookmarkEnd w:id="273"/>
      <w:r>
        <w:rPr>
          <w:snapToGrid w:val="0"/>
        </w:rPr>
        <w:t xml:space="preserve"> </w:t>
      </w:r>
    </w:p>
    <w:p>
      <w:pPr>
        <w:pStyle w:val="Subsection"/>
        <w:spacing w:before="120"/>
        <w:rPr>
          <w:snapToGrid w:val="0"/>
        </w:rPr>
      </w:pPr>
      <w:r>
        <w:rPr>
          <w:snapToGrid w:val="0"/>
        </w:rPr>
        <w:tab/>
        <w:t>(1)</w:t>
      </w:r>
      <w:r>
        <w:rPr>
          <w:snapToGrid w:val="0"/>
        </w:rPr>
        <w:tab/>
        <w:t xml:space="preserve">The Board may, with the approval of the Minister, from time to time by notice published in the </w:t>
      </w:r>
      <w:r>
        <w:rPr>
          <w:i/>
          <w:snapToGrid w:val="0"/>
        </w:rPr>
        <w:t>Government Gazette</w:t>
      </w:r>
      <w:r>
        <w:rPr>
          <w:snapToGrid w:val="0"/>
        </w:rPr>
        <w:t xml:space="preserve"> fix the maximum amounts of remuneration for the various kinds of services rendered by licensed valuers.</w:t>
      </w:r>
    </w:p>
    <w:p>
      <w:pPr>
        <w:pStyle w:val="Subsection"/>
        <w:spacing w:before="120"/>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spacing w:before="120"/>
        <w:rPr>
          <w:snapToGrid w:val="0"/>
        </w:rPr>
      </w:pPr>
      <w:r>
        <w:rPr>
          <w:snapToGrid w:val="0"/>
        </w:rPr>
        <w:tab/>
        <w:t>(3)</w:t>
      </w:r>
      <w:r>
        <w:rPr>
          <w:snapToGrid w:val="0"/>
        </w:rPr>
        <w:tab/>
        <w:t>A licensed valuer, or a firm or corporation of which a licensed valuer is an officer, shall not demand or receive, in respect of any service rendered by the licensed valuer, any remuneration that exceeds in value the amount (if any) for the time being fixed under subsection (1) in respect of a service of that kind.</w:t>
      </w:r>
    </w:p>
    <w:p>
      <w:pPr>
        <w:pStyle w:val="Penstart"/>
        <w:rPr>
          <w:snapToGrid w:val="0"/>
        </w:rPr>
      </w:pPr>
      <w:r>
        <w:rPr>
          <w:snapToGrid w:val="0"/>
        </w:rPr>
        <w:tab/>
        <w:t>Penalty:</w:t>
      </w:r>
      <w:r>
        <w:t xml:space="preserve"> $5 000.</w:t>
      </w:r>
    </w:p>
    <w:p>
      <w:pPr>
        <w:pStyle w:val="Subsection"/>
        <w:spacing w:before="120"/>
        <w:rPr>
          <w:snapToGrid w:val="0"/>
        </w:rPr>
      </w:pPr>
      <w:r>
        <w:rPr>
          <w:snapToGrid w:val="0"/>
        </w:rPr>
        <w:tab/>
        <w:t>(4)</w:t>
      </w:r>
      <w:r>
        <w:rPr>
          <w:snapToGrid w:val="0"/>
        </w:rPr>
        <w:tab/>
        <w:t>Any remuneration received in contravention of this section may be recovered as a civil debt recoverable summarily in a court of competent jurisdiction.</w:t>
      </w:r>
    </w:p>
    <w:p>
      <w:pPr>
        <w:pStyle w:val="Footnotesection"/>
        <w:spacing w:before="100"/>
        <w:ind w:left="890" w:hanging="890"/>
      </w:pPr>
      <w:r>
        <w:tab/>
        <w:t xml:space="preserve">[Section 25 amended by No. 15 of 1984 s. 6; No. 69 of 2006 s. 19.] </w:t>
      </w:r>
    </w:p>
    <w:p>
      <w:pPr>
        <w:pStyle w:val="Heading3"/>
        <w:keepNext w:val="0"/>
        <w:spacing w:before="200"/>
        <w:rPr>
          <w:snapToGrid w:val="0"/>
        </w:rPr>
      </w:pPr>
      <w:bookmarkStart w:id="274" w:name="_Toc89523162"/>
      <w:bookmarkStart w:id="275" w:name="_Toc89523210"/>
      <w:bookmarkStart w:id="276" w:name="_Toc92864361"/>
      <w:bookmarkStart w:id="277" w:name="_Toc97104140"/>
      <w:bookmarkStart w:id="278" w:name="_Toc102376460"/>
      <w:bookmarkStart w:id="279" w:name="_Toc132075344"/>
      <w:bookmarkStart w:id="280" w:name="_Toc132608697"/>
      <w:bookmarkStart w:id="281" w:name="_Toc132703391"/>
      <w:bookmarkStart w:id="282" w:name="_Toc134851078"/>
      <w:bookmarkStart w:id="283" w:name="_Toc137349840"/>
      <w:bookmarkStart w:id="284" w:name="_Toc172101543"/>
      <w:bookmarkStart w:id="285" w:name="_Toc193252429"/>
      <w:bookmarkStart w:id="286" w:name="_Toc196790633"/>
      <w:bookmarkStart w:id="287" w:name="_Toc199749727"/>
      <w:bookmarkStart w:id="288" w:name="_Toc223852787"/>
      <w:r>
        <w:rPr>
          <w:rStyle w:val="CharDivNo"/>
        </w:rPr>
        <w:t>Division 2</w:t>
      </w:r>
      <w:r>
        <w:rPr>
          <w:snapToGrid w:val="0"/>
        </w:rPr>
        <w:t> — </w:t>
      </w:r>
      <w:r>
        <w:rPr>
          <w:rStyle w:val="CharDivText"/>
        </w:rPr>
        <w:t>Discipline</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DivText"/>
        </w:rPr>
        <w:t xml:space="preserve"> </w:t>
      </w:r>
    </w:p>
    <w:p>
      <w:pPr>
        <w:pStyle w:val="Heading5"/>
        <w:keepNext w:val="0"/>
        <w:spacing w:before="180"/>
        <w:rPr>
          <w:snapToGrid w:val="0"/>
        </w:rPr>
      </w:pPr>
      <w:bookmarkStart w:id="289" w:name="_Toc411307518"/>
      <w:bookmarkStart w:id="290" w:name="_Toc7250808"/>
      <w:bookmarkStart w:id="291" w:name="_Toc102376461"/>
      <w:bookmarkStart w:id="292" w:name="_Toc223852788"/>
      <w:bookmarkStart w:id="293" w:name="_Toc199749728"/>
      <w:r>
        <w:rPr>
          <w:rStyle w:val="CharSectno"/>
        </w:rPr>
        <w:t>26</w:t>
      </w:r>
      <w:r>
        <w:rPr>
          <w:snapToGrid w:val="0"/>
        </w:rPr>
        <w:t>.</w:t>
      </w:r>
      <w:r>
        <w:rPr>
          <w:snapToGrid w:val="0"/>
        </w:rPr>
        <w:tab/>
        <w:t>Licensed valuers’ code</w:t>
      </w:r>
      <w:bookmarkEnd w:id="289"/>
      <w:bookmarkEnd w:id="290"/>
      <w:bookmarkEnd w:id="291"/>
      <w:bookmarkEnd w:id="292"/>
      <w:bookmarkEnd w:id="293"/>
      <w:r>
        <w:rPr>
          <w:snapToGrid w:val="0"/>
        </w:rPr>
        <w:t xml:space="preserve"> </w:t>
      </w:r>
    </w:p>
    <w:p>
      <w:pPr>
        <w:pStyle w:val="Subsection"/>
        <w:spacing w:before="120"/>
        <w:rPr>
          <w:snapToGrid w:val="0"/>
        </w:rPr>
      </w:pPr>
      <w:r>
        <w:rPr>
          <w:snapToGrid w:val="0"/>
        </w:rPr>
        <w:tab/>
      </w:r>
      <w:r>
        <w:rPr>
          <w:snapToGrid w:val="0"/>
        </w:rPr>
        <w:tab/>
        <w:t xml:space="preserve">The Board may, with the approval of the Minister, from time to time by notice published in the </w:t>
      </w:r>
      <w:r>
        <w:rPr>
          <w:i/>
          <w:snapToGrid w:val="0"/>
        </w:rPr>
        <w:t>Government Gazette</w:t>
      </w:r>
      <w:r>
        <w:rPr>
          <w:snapToGrid w:val="0"/>
        </w:rPr>
        <w:t xml:space="preserve"> lay down a code of conduct for licensed valuers.</w:t>
      </w:r>
    </w:p>
    <w:p>
      <w:pPr>
        <w:pStyle w:val="Footnotesection"/>
        <w:keepLines w:val="0"/>
      </w:pPr>
      <w:r>
        <w:tab/>
        <w:t xml:space="preserve">[Section 26 inserted by No. 15 of 1984 s. 7.] </w:t>
      </w:r>
    </w:p>
    <w:p>
      <w:pPr>
        <w:pStyle w:val="Heading5"/>
        <w:rPr>
          <w:snapToGrid w:val="0"/>
        </w:rPr>
      </w:pPr>
      <w:bookmarkStart w:id="294" w:name="_Toc102376462"/>
      <w:bookmarkStart w:id="295" w:name="_Toc223852789"/>
      <w:bookmarkStart w:id="296" w:name="_Toc199749729"/>
      <w:bookmarkStart w:id="297" w:name="_Toc411307520"/>
      <w:bookmarkStart w:id="298" w:name="_Toc7250810"/>
      <w:r>
        <w:rPr>
          <w:rStyle w:val="CharSectno"/>
        </w:rPr>
        <w:t>27</w:t>
      </w:r>
      <w:r>
        <w:rPr>
          <w:snapToGrid w:val="0"/>
        </w:rPr>
        <w:t>.</w:t>
      </w:r>
      <w:r>
        <w:rPr>
          <w:snapToGrid w:val="0"/>
        </w:rPr>
        <w:tab/>
        <w:t>Disciplinary proceedings against licensed valuers</w:t>
      </w:r>
      <w:bookmarkEnd w:id="294"/>
      <w:bookmarkEnd w:id="295"/>
      <w:bookmarkEnd w:id="296"/>
      <w:r>
        <w:rPr>
          <w:snapToGrid w:val="0"/>
        </w:rPr>
        <w:t xml:space="preserve"> </w:t>
      </w:r>
    </w:p>
    <w:p>
      <w:pPr>
        <w:pStyle w:val="Subsection"/>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28(2), against a licensed valuer.</w:t>
      </w:r>
    </w:p>
    <w:p>
      <w:pPr>
        <w:pStyle w:val="Footnotesection"/>
      </w:pPr>
      <w:r>
        <w:tab/>
        <w:t>[Section 27 inserted by No. 55 of 2004 s. 597.]</w:t>
      </w:r>
    </w:p>
    <w:p>
      <w:pPr>
        <w:pStyle w:val="Heading5"/>
        <w:rPr>
          <w:snapToGrid w:val="0"/>
        </w:rPr>
      </w:pPr>
      <w:bookmarkStart w:id="299" w:name="_Toc102376463"/>
      <w:bookmarkStart w:id="300" w:name="_Toc223852790"/>
      <w:bookmarkStart w:id="301" w:name="_Toc199749730"/>
      <w:r>
        <w:rPr>
          <w:rStyle w:val="CharSectno"/>
        </w:rPr>
        <w:t>28</w:t>
      </w:r>
      <w:r>
        <w:rPr>
          <w:snapToGrid w:val="0"/>
        </w:rPr>
        <w:t>.</w:t>
      </w:r>
      <w:r>
        <w:rPr>
          <w:snapToGrid w:val="0"/>
        </w:rPr>
        <w:tab/>
        <w:t xml:space="preserve">Powers on </w:t>
      </w:r>
      <w:bookmarkEnd w:id="297"/>
      <w:bookmarkEnd w:id="298"/>
      <w:bookmarkEnd w:id="299"/>
      <w:r>
        <w:rPr>
          <w:snapToGrid w:val="0"/>
        </w:rPr>
        <w:t>disciplinary proceedings</w:t>
      </w:r>
      <w:bookmarkEnd w:id="300"/>
      <w:bookmarkEnd w:id="301"/>
      <w:r>
        <w:rPr>
          <w:snapToGrid w:val="0"/>
        </w:rPr>
        <w:t xml:space="preserve"> </w:t>
      </w:r>
    </w:p>
    <w:p>
      <w:pPr>
        <w:pStyle w:val="Subsection"/>
        <w:rPr>
          <w:snapToGrid w:val="0"/>
        </w:rPr>
      </w:pPr>
      <w:r>
        <w:rPr>
          <w:snapToGrid w:val="0"/>
        </w:rPr>
        <w:tab/>
        <w:t>(1)</w:t>
      </w:r>
      <w:r>
        <w:rPr>
          <w:snapToGrid w:val="0"/>
        </w:rPr>
        <w:tab/>
        <w:t>If, in a proceeding commenced by an allegation under section 27 against a licensed valuer,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licensed valuer;</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Tribunal, from holding a licence.</w:t>
      </w:r>
    </w:p>
    <w:p>
      <w:pPr>
        <w:pStyle w:val="Subsection"/>
        <w:keepNext/>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licensed valuer improperly obtained a licence;</w:t>
      </w:r>
    </w:p>
    <w:p>
      <w:pPr>
        <w:pStyle w:val="Indenta"/>
        <w:rPr>
          <w:snapToGrid w:val="0"/>
        </w:rPr>
      </w:pPr>
      <w:r>
        <w:rPr>
          <w:snapToGrid w:val="0"/>
        </w:rPr>
        <w:tab/>
        <w:t>(b)</w:t>
      </w:r>
      <w:r>
        <w:rPr>
          <w:snapToGrid w:val="0"/>
        </w:rPr>
        <w:tab/>
        <w:t>the licensed valuer has been guilty of negligence or incompetence in making a valuation of land;</w:t>
      </w:r>
    </w:p>
    <w:p>
      <w:pPr>
        <w:pStyle w:val="Indenta"/>
        <w:rPr>
          <w:snapToGrid w:val="0"/>
        </w:rPr>
      </w:pPr>
      <w:r>
        <w:rPr>
          <w:snapToGrid w:val="0"/>
        </w:rPr>
        <w:tab/>
        <w:t>(c)</w:t>
      </w:r>
      <w:r>
        <w:rPr>
          <w:snapToGrid w:val="0"/>
        </w:rPr>
        <w:tab/>
        <w:t>the licensed valuer is acting or has acted in breach of the licensed valuers code of conduct; or</w:t>
      </w:r>
    </w:p>
    <w:p>
      <w:pPr>
        <w:pStyle w:val="Indenta"/>
        <w:rPr>
          <w:snapToGrid w:val="0"/>
        </w:rPr>
      </w:pPr>
      <w:r>
        <w:rPr>
          <w:snapToGrid w:val="0"/>
        </w:rPr>
        <w:tab/>
        <w:t>(d)</w:t>
      </w:r>
      <w:r>
        <w:rPr>
          <w:snapToGrid w:val="0"/>
        </w:rPr>
        <w:tab/>
        <w:t>any other cause exists that renders the licensed valuer unfit to hold a licence.</w:t>
      </w:r>
    </w:p>
    <w:p>
      <w:pPr>
        <w:pStyle w:val="Footnotesection"/>
      </w:pPr>
      <w:r>
        <w:tab/>
        <w:t>[Section 28 amended by No. 55 of 2004 s. 598; No. 69 of 2006 s. 20.]</w:t>
      </w:r>
    </w:p>
    <w:p>
      <w:pPr>
        <w:pStyle w:val="Heading2"/>
      </w:pPr>
      <w:bookmarkStart w:id="302" w:name="_Toc89523166"/>
      <w:bookmarkStart w:id="303" w:name="_Toc89523214"/>
      <w:bookmarkStart w:id="304" w:name="_Toc92864365"/>
      <w:bookmarkStart w:id="305" w:name="_Toc97104144"/>
      <w:bookmarkStart w:id="306" w:name="_Toc102376464"/>
      <w:bookmarkStart w:id="307" w:name="_Toc132075348"/>
      <w:bookmarkStart w:id="308" w:name="_Toc132608701"/>
      <w:bookmarkStart w:id="309" w:name="_Toc132703395"/>
      <w:bookmarkStart w:id="310" w:name="_Toc134851082"/>
      <w:bookmarkStart w:id="311" w:name="_Toc137349844"/>
      <w:bookmarkStart w:id="312" w:name="_Toc172101547"/>
      <w:bookmarkStart w:id="313" w:name="_Toc193252433"/>
      <w:bookmarkStart w:id="314" w:name="_Toc196790637"/>
      <w:bookmarkStart w:id="315" w:name="_Toc199749731"/>
      <w:bookmarkStart w:id="316" w:name="_Toc223852791"/>
      <w:r>
        <w:rPr>
          <w:rStyle w:val="CharPartNo"/>
        </w:rPr>
        <w:t>Part V</w:t>
      </w:r>
      <w:r>
        <w:rPr>
          <w:rStyle w:val="CharDivNo"/>
        </w:rPr>
        <w:t> </w:t>
      </w:r>
      <w:r>
        <w:t>—</w:t>
      </w:r>
      <w:r>
        <w:rPr>
          <w:rStyle w:val="CharDivText"/>
        </w:rPr>
        <w:t> </w:t>
      </w:r>
      <w:r>
        <w:rPr>
          <w:rStyle w:val="CharPartText"/>
        </w:rPr>
        <w:t>Miscellaneous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PartText"/>
        </w:rPr>
        <w:t xml:space="preserve"> </w:t>
      </w:r>
    </w:p>
    <w:p>
      <w:pPr>
        <w:pStyle w:val="Heading5"/>
        <w:rPr>
          <w:snapToGrid w:val="0"/>
        </w:rPr>
      </w:pPr>
      <w:bookmarkStart w:id="317" w:name="_Toc411307521"/>
      <w:bookmarkStart w:id="318" w:name="_Toc7250811"/>
      <w:bookmarkStart w:id="319" w:name="_Toc102376465"/>
      <w:bookmarkStart w:id="320" w:name="_Toc223852792"/>
      <w:bookmarkStart w:id="321" w:name="_Toc199749732"/>
      <w:r>
        <w:rPr>
          <w:rStyle w:val="CharSectno"/>
        </w:rPr>
        <w:t>29</w:t>
      </w:r>
      <w:r>
        <w:rPr>
          <w:snapToGrid w:val="0"/>
        </w:rPr>
        <w:t>.</w:t>
      </w:r>
      <w:r>
        <w:rPr>
          <w:snapToGrid w:val="0"/>
        </w:rPr>
        <w:tab/>
        <w:t>Registers</w:t>
      </w:r>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The Registrar shall keep a register of licensed valuers.</w:t>
      </w:r>
    </w:p>
    <w:p>
      <w:pPr>
        <w:pStyle w:val="Subsection"/>
        <w:rPr>
          <w:snapToGrid w:val="0"/>
        </w:rPr>
      </w:pPr>
      <w:r>
        <w:rPr>
          <w:snapToGrid w:val="0"/>
        </w:rPr>
        <w:tab/>
        <w:t>(2)</w:t>
      </w:r>
      <w:r>
        <w:rPr>
          <w:snapToGrid w:val="0"/>
        </w:rPr>
        <w:tab/>
        <w:t>The Registrar shall record in the register any prescribed particulars.</w:t>
      </w:r>
    </w:p>
    <w:p>
      <w:pPr>
        <w:pStyle w:val="Subsection"/>
        <w:rPr>
          <w:snapToGrid w:val="0"/>
        </w:rPr>
      </w:pPr>
      <w:r>
        <w:rPr>
          <w:snapToGrid w:val="0"/>
        </w:rPr>
        <w:tab/>
        <w:t>(3)</w:t>
      </w:r>
      <w:r>
        <w:rPr>
          <w:snapToGrid w:val="0"/>
        </w:rPr>
        <w:tab/>
        <w:t>The Registrar shall cause to be removed from the register the name of every licensed valuer who dies or ceases for any reason to be licensed under this Act.</w:t>
      </w:r>
    </w:p>
    <w:p>
      <w:pPr>
        <w:pStyle w:val="Subsection"/>
        <w:rPr>
          <w:snapToGrid w:val="0"/>
        </w:rPr>
      </w:pPr>
      <w:r>
        <w:rPr>
          <w:snapToGrid w:val="0"/>
        </w:rPr>
        <w:tab/>
        <w:t>(4)</w:t>
      </w:r>
      <w:r>
        <w:rPr>
          <w:snapToGrid w:val="0"/>
        </w:rPr>
        <w:tab/>
        <w:t>The Registrar shall, upon receipt of the prescribed fee from a person desiring to inspect the register, make it available for the inspection of that person.</w:t>
      </w:r>
    </w:p>
    <w:p>
      <w:pPr>
        <w:pStyle w:val="Heading5"/>
        <w:rPr>
          <w:snapToGrid w:val="0"/>
        </w:rPr>
      </w:pPr>
      <w:bookmarkStart w:id="322" w:name="_Toc411307522"/>
      <w:bookmarkStart w:id="323" w:name="_Toc7250812"/>
      <w:bookmarkStart w:id="324" w:name="_Toc102376466"/>
      <w:bookmarkStart w:id="325" w:name="_Toc223852793"/>
      <w:bookmarkStart w:id="326" w:name="_Toc199749733"/>
      <w:r>
        <w:rPr>
          <w:rStyle w:val="CharSectno"/>
        </w:rPr>
        <w:t>29A</w:t>
      </w:r>
      <w:r>
        <w:rPr>
          <w:snapToGrid w:val="0"/>
        </w:rPr>
        <w:t>.</w:t>
      </w:r>
      <w:r>
        <w:rPr>
          <w:snapToGrid w:val="0"/>
        </w:rPr>
        <w:tab/>
        <w:t>Change of particulars</w:t>
      </w:r>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A licensed valuer shall give written notice to the Registrar of any change in the particulars specified in the register in respect of that valuer as soon as practicable after that change takes place.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Registrar shall enter in the register details of any change notified under subsection (1).</w:t>
      </w:r>
    </w:p>
    <w:p>
      <w:pPr>
        <w:pStyle w:val="Footnotesection"/>
      </w:pPr>
      <w:r>
        <w:tab/>
        <w:t xml:space="preserve">[Section 29A inserted by No. 56 of 1995 s. 30; amended by No. 69 of 2006 s. 21.] </w:t>
      </w:r>
    </w:p>
    <w:p>
      <w:pPr>
        <w:pStyle w:val="Heading5"/>
        <w:rPr>
          <w:snapToGrid w:val="0"/>
        </w:rPr>
      </w:pPr>
      <w:bookmarkStart w:id="327" w:name="_Toc411307523"/>
      <w:bookmarkStart w:id="328" w:name="_Toc7250813"/>
      <w:bookmarkStart w:id="329" w:name="_Toc102376467"/>
      <w:bookmarkStart w:id="330" w:name="_Toc223852794"/>
      <w:bookmarkStart w:id="331" w:name="_Toc199749734"/>
      <w:r>
        <w:rPr>
          <w:rStyle w:val="CharSectno"/>
        </w:rPr>
        <w:t>30</w:t>
      </w:r>
      <w:r>
        <w:rPr>
          <w:snapToGrid w:val="0"/>
        </w:rPr>
        <w:t>.</w:t>
      </w:r>
      <w:r>
        <w:rPr>
          <w:snapToGrid w:val="0"/>
        </w:rPr>
        <w:tab/>
        <w:t>Lists and certificates</w:t>
      </w:r>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on a date specified therein together with such of the particulars appearing in the register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under this Act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332" w:name="_Toc411307524"/>
      <w:bookmarkStart w:id="333" w:name="_Toc7250814"/>
      <w:bookmarkStart w:id="334" w:name="_Toc102376468"/>
      <w:bookmarkStart w:id="335" w:name="_Toc223852795"/>
      <w:bookmarkStart w:id="336" w:name="_Toc199749735"/>
      <w:r>
        <w:rPr>
          <w:rStyle w:val="CharSectno"/>
        </w:rPr>
        <w:t>31</w:t>
      </w:r>
      <w:r>
        <w:rPr>
          <w:snapToGrid w:val="0"/>
        </w:rPr>
        <w:t>.</w:t>
      </w:r>
      <w:r>
        <w:rPr>
          <w:snapToGrid w:val="0"/>
        </w:rPr>
        <w:tab/>
        <w:t>Annual report</w:t>
      </w:r>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The Chairman shall, on behalf of the Board, as soon as practicable after 1 July in each year, submit to the Minister a report on the activities under this Act of the Board for the year ending on 30 June last preceding.</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 xml:space="preserve">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the report to be laid on the Table of each House of Parliament within 14 days of its receipt, or if at that time Parliament is not in session, then within 14 days of the commencement of the next session of Parliament.</w:t>
      </w:r>
    </w:p>
    <w:p>
      <w:pPr>
        <w:pStyle w:val="Footnotesection"/>
      </w:pPr>
      <w:bookmarkStart w:id="337" w:name="_Toc411307525"/>
      <w:bookmarkStart w:id="338" w:name="_Toc7250815"/>
      <w:r>
        <w:tab/>
        <w:t>[Section 31 amended by No. 55 of 2004 s. 599.]</w:t>
      </w:r>
    </w:p>
    <w:p>
      <w:pPr>
        <w:pStyle w:val="Heading5"/>
        <w:rPr>
          <w:snapToGrid w:val="0"/>
        </w:rPr>
      </w:pPr>
      <w:bookmarkStart w:id="339" w:name="_Toc102376469"/>
      <w:bookmarkStart w:id="340" w:name="_Toc223852796"/>
      <w:bookmarkStart w:id="341" w:name="_Toc199749736"/>
      <w:r>
        <w:rPr>
          <w:rStyle w:val="CharSectno"/>
        </w:rPr>
        <w:t>32</w:t>
      </w:r>
      <w:r>
        <w:rPr>
          <w:snapToGrid w:val="0"/>
        </w:rPr>
        <w:t>.</w:t>
      </w:r>
      <w:r>
        <w:rPr>
          <w:snapToGrid w:val="0"/>
        </w:rPr>
        <w:tab/>
        <w:t>Immunity of Board and officers</w:t>
      </w:r>
      <w:bookmarkEnd w:id="337"/>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342" w:name="_Toc411307526"/>
      <w:bookmarkStart w:id="343" w:name="_Toc7250816"/>
      <w:bookmarkStart w:id="344" w:name="_Toc102376470"/>
      <w:bookmarkStart w:id="345" w:name="_Toc223852797"/>
      <w:bookmarkStart w:id="346" w:name="_Toc199749737"/>
      <w:r>
        <w:rPr>
          <w:rStyle w:val="CharSectno"/>
        </w:rPr>
        <w:t>33</w:t>
      </w:r>
      <w:r>
        <w:rPr>
          <w:snapToGrid w:val="0"/>
        </w:rPr>
        <w:t>.</w:t>
      </w:r>
      <w:r>
        <w:rPr>
          <w:snapToGrid w:val="0"/>
        </w:rPr>
        <w:tab/>
        <w:t>Secrecy</w:t>
      </w:r>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Footnotesection"/>
        <w:rPr>
          <w:rStyle w:val="CharSectno"/>
        </w:rPr>
      </w:pPr>
      <w:bookmarkStart w:id="347" w:name="_Toc411307527"/>
      <w:bookmarkStart w:id="348" w:name="_Toc7250817"/>
      <w:bookmarkStart w:id="349" w:name="_Toc102376471"/>
      <w:r>
        <w:tab/>
        <w:t>[Section 33 amended by No. 69 of 2006 s. 22.]</w:t>
      </w:r>
    </w:p>
    <w:p>
      <w:pPr>
        <w:pStyle w:val="Heading5"/>
        <w:rPr>
          <w:snapToGrid w:val="0"/>
        </w:rPr>
      </w:pPr>
      <w:bookmarkStart w:id="350" w:name="_Toc223852798"/>
      <w:bookmarkStart w:id="351" w:name="_Toc199749738"/>
      <w:r>
        <w:rPr>
          <w:rStyle w:val="CharSectno"/>
        </w:rPr>
        <w:t>34</w:t>
      </w:r>
      <w:r>
        <w:rPr>
          <w:snapToGrid w:val="0"/>
        </w:rPr>
        <w:t>.</w:t>
      </w:r>
      <w:r>
        <w:rPr>
          <w:snapToGrid w:val="0"/>
        </w:rPr>
        <w:tab/>
        <w:t>Offences by corporations</w:t>
      </w:r>
      <w:bookmarkEnd w:id="347"/>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Where a corporation is guilty of an offence against this Act any officer of the corporation who was knowingly a party to the commission of that offence is also guilty of that offence.</w:t>
      </w:r>
    </w:p>
    <w:p>
      <w:pPr>
        <w:pStyle w:val="Heading5"/>
        <w:rPr>
          <w:snapToGrid w:val="0"/>
        </w:rPr>
      </w:pPr>
      <w:bookmarkStart w:id="352" w:name="_Toc411307528"/>
      <w:bookmarkStart w:id="353" w:name="_Toc7250818"/>
      <w:bookmarkStart w:id="354" w:name="_Toc102376472"/>
      <w:bookmarkStart w:id="355" w:name="_Toc223852799"/>
      <w:bookmarkStart w:id="356" w:name="_Toc199749739"/>
      <w:r>
        <w:rPr>
          <w:rStyle w:val="CharSectno"/>
        </w:rPr>
        <w:t>35</w:t>
      </w:r>
      <w:r>
        <w:rPr>
          <w:snapToGrid w:val="0"/>
        </w:rPr>
        <w:t>.</w:t>
      </w:r>
      <w:r>
        <w:rPr>
          <w:snapToGrid w:val="0"/>
        </w:rPr>
        <w:tab/>
        <w:t>Proceedings</w:t>
      </w:r>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under this Act</w:t>
      </w:r>
      <w:r>
        <w:rPr>
          <w:snapToGrid w:val="0"/>
        </w:rPr>
        <w:t xml:space="preserve"> that a person named therein was or was not licensed under this Act at the time specified therein shall, in the absence of proof to the contrary, be taken as proved.</w:t>
      </w:r>
    </w:p>
    <w:p>
      <w:pPr>
        <w:pStyle w:val="Footnotesection"/>
      </w:pPr>
      <w:r>
        <w:tab/>
        <w:t xml:space="preserve">[Section 35 amended by No. 59 of 2004 s. 141; No. 84 of 2004 s. 78.] </w:t>
      </w:r>
    </w:p>
    <w:p>
      <w:pPr>
        <w:pStyle w:val="Heading5"/>
        <w:rPr>
          <w:snapToGrid w:val="0"/>
        </w:rPr>
      </w:pPr>
      <w:bookmarkStart w:id="357" w:name="_Toc411307529"/>
      <w:bookmarkStart w:id="358" w:name="_Toc7250819"/>
      <w:bookmarkStart w:id="359" w:name="_Toc102376473"/>
      <w:bookmarkStart w:id="360" w:name="_Toc223852800"/>
      <w:bookmarkStart w:id="361" w:name="_Toc199749740"/>
      <w:r>
        <w:rPr>
          <w:rStyle w:val="CharSectno"/>
        </w:rPr>
        <w:t>36</w:t>
      </w:r>
      <w:r>
        <w:rPr>
          <w:snapToGrid w:val="0"/>
        </w:rPr>
        <w:t>.</w:t>
      </w:r>
      <w:r>
        <w:rPr>
          <w:snapToGrid w:val="0"/>
        </w:rPr>
        <w:tab/>
        <w:t>Regulations</w:t>
      </w:r>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an order of the Board under section 14 for the payment of costs;</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p>
    <w:p>
      <w:pPr>
        <w:pStyle w:val="Indenta"/>
        <w:rPr>
          <w:snapToGrid w:val="0"/>
        </w:rPr>
      </w:pPr>
      <w:r>
        <w:rPr>
          <w:snapToGrid w:val="0"/>
        </w:rPr>
        <w:tab/>
        <w:t>(e)</w:t>
      </w:r>
      <w:r>
        <w:rPr>
          <w:snapToGrid w:val="0"/>
        </w:rPr>
        <w:tab/>
        <w:t>prescribe the particulars to be recorded in the register required to be kept under this Act;</w:t>
      </w:r>
    </w:p>
    <w:p>
      <w:pPr>
        <w:pStyle w:val="Ednotepara"/>
        <w:spacing w:before="8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36 amended by No. 65 of 1987 s. 38; No. 56 of 1995 s. 31; No. 55 of 2004 s. 600; No. 69 of 2006 s. 23.]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362" w:name="_Toc89523176"/>
      <w:bookmarkStart w:id="363" w:name="_Toc89523224"/>
      <w:bookmarkStart w:id="364" w:name="_Toc92864375"/>
      <w:bookmarkStart w:id="365" w:name="_Toc97104154"/>
      <w:bookmarkStart w:id="366" w:name="_Toc102376474"/>
      <w:bookmarkStart w:id="367" w:name="_Toc132075358"/>
      <w:bookmarkStart w:id="368" w:name="_Toc132608711"/>
      <w:bookmarkStart w:id="369" w:name="_Toc132703405"/>
      <w:bookmarkStart w:id="370" w:name="_Toc134851092"/>
      <w:bookmarkStart w:id="371" w:name="_Toc137349854"/>
      <w:bookmarkStart w:id="372" w:name="_Toc172101557"/>
      <w:bookmarkStart w:id="373" w:name="_Toc193252443"/>
      <w:bookmarkStart w:id="374" w:name="_Toc196790647"/>
      <w:bookmarkStart w:id="375" w:name="_Toc199749741"/>
      <w:bookmarkStart w:id="376" w:name="_Toc223852801"/>
      <w:r>
        <w:t>Notes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nSubsection"/>
        <w:rPr>
          <w:snapToGrid w:val="0"/>
        </w:rPr>
      </w:pPr>
      <w:r>
        <w:rPr>
          <w:snapToGrid w:val="0"/>
          <w:vertAlign w:val="superscript"/>
        </w:rPr>
        <w:t>1</w:t>
      </w:r>
      <w:r>
        <w:rPr>
          <w:snapToGrid w:val="0"/>
        </w:rPr>
        <w:tab/>
        <w:t xml:space="preserve">This is a compilation of the </w:t>
      </w:r>
      <w:r>
        <w:rPr>
          <w:i/>
          <w:noProof/>
          <w:snapToGrid w:val="0"/>
        </w:rPr>
        <w:t>Land Valuers Licensing Act 1978</w:t>
      </w:r>
      <w:r>
        <w:rPr>
          <w:snapToGrid w:val="0"/>
        </w:rPr>
        <w:t xml:space="preserve"> and includes the amendments made by the other written laws referred to in the following table</w:t>
      </w:r>
      <w:del w:id="377" w:author="svcMRProcess" w:date="2018-09-04T07:23: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378" w:name="_Toc223852802"/>
      <w:bookmarkStart w:id="379" w:name="_Toc199749742"/>
      <w:r>
        <w:rPr>
          <w:snapToGrid w:val="0"/>
        </w:rPr>
        <w:t>Compilation table</w:t>
      </w:r>
      <w:bookmarkEnd w:id="378"/>
      <w:bookmarkEnd w:id="37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Land Valuers Licensing Act 1978</w:t>
            </w:r>
          </w:p>
        </w:tc>
        <w:tc>
          <w:tcPr>
            <w:tcW w:w="1134" w:type="dxa"/>
            <w:tcBorders>
              <w:top w:val="single" w:sz="8" w:space="0" w:color="auto"/>
            </w:tcBorders>
          </w:tcPr>
          <w:p>
            <w:pPr>
              <w:pStyle w:val="nTable"/>
              <w:spacing w:after="40"/>
              <w:rPr>
                <w:sz w:val="19"/>
              </w:rPr>
            </w:pPr>
            <w:r>
              <w:rPr>
                <w:sz w:val="19"/>
              </w:rPr>
              <w:t>55 of 1978</w:t>
            </w:r>
          </w:p>
        </w:tc>
        <w:tc>
          <w:tcPr>
            <w:tcW w:w="1134" w:type="dxa"/>
            <w:tcBorders>
              <w:top w:val="single" w:sz="8" w:space="0" w:color="auto"/>
            </w:tcBorders>
          </w:tcPr>
          <w:p>
            <w:pPr>
              <w:pStyle w:val="nTable"/>
              <w:spacing w:after="40"/>
              <w:rPr>
                <w:sz w:val="19"/>
              </w:rPr>
            </w:pPr>
            <w:r>
              <w:rPr>
                <w:sz w:val="19"/>
              </w:rPr>
              <w:t>6 Sep 1978</w:t>
            </w:r>
          </w:p>
        </w:tc>
        <w:tc>
          <w:tcPr>
            <w:tcW w:w="2552" w:type="dxa"/>
            <w:tcBorders>
              <w:top w:val="single" w:sz="8" w:space="0" w:color="auto"/>
            </w:tcBorders>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68" w:type="dxa"/>
          </w:tcPr>
          <w:p>
            <w:pPr>
              <w:pStyle w:val="nTable"/>
              <w:spacing w:after="40"/>
              <w:ind w:right="113"/>
              <w:rPr>
                <w:i/>
                <w:sz w:val="19"/>
                <w:vertAlign w:val="superscript"/>
              </w:rPr>
            </w:pPr>
            <w:r>
              <w:rPr>
                <w:i/>
                <w:sz w:val="19"/>
              </w:rPr>
              <w:t>Land Valuers Licensing Amendment Act 1984</w:t>
            </w:r>
            <w:r>
              <w:rPr>
                <w:i/>
                <w:sz w:val="19"/>
                <w:vertAlign w:val="superscript"/>
              </w:rPr>
              <w:t> </w:t>
            </w:r>
            <w:r>
              <w:rPr>
                <w:sz w:val="19"/>
                <w:vertAlign w:val="superscript"/>
              </w:rPr>
              <w:t>2</w:t>
            </w:r>
          </w:p>
        </w:tc>
        <w:tc>
          <w:tcPr>
            <w:tcW w:w="1134" w:type="dxa"/>
          </w:tcPr>
          <w:p>
            <w:pPr>
              <w:pStyle w:val="nTable"/>
              <w:spacing w:after="40"/>
              <w:rPr>
                <w:sz w:val="19"/>
              </w:rPr>
            </w:pPr>
            <w:r>
              <w:rPr>
                <w:sz w:val="19"/>
              </w:rPr>
              <w:t>15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Act other than s. 3 and 7: 28 Jun 1984 (see s. 2(1));</w:t>
            </w:r>
            <w:r>
              <w:rPr>
                <w:sz w:val="19"/>
              </w:rPr>
              <w:br/>
              <w:t xml:space="preserve">s. 3 and 7: 26 Jul 1985 (see s. 2(2) and </w:t>
            </w:r>
            <w:r>
              <w:rPr>
                <w:i/>
                <w:sz w:val="19"/>
              </w:rPr>
              <w:t>Gazette</w:t>
            </w:r>
            <w:r>
              <w:rPr>
                <w:sz w:val="19"/>
              </w:rPr>
              <w:t xml:space="preserve"> 26 Jul 1985 p. 2639)</w:t>
            </w:r>
          </w:p>
        </w:tc>
      </w:tr>
      <w:tr>
        <w:trPr>
          <w:cantSplit/>
        </w:trPr>
        <w:tc>
          <w:tcPr>
            <w:tcW w:w="2268" w:type="dxa"/>
          </w:tcPr>
          <w:p>
            <w:pPr>
              <w:pStyle w:val="nTable"/>
              <w:spacing w:after="40"/>
              <w:ind w:right="113"/>
              <w:rPr>
                <w:sz w:val="19"/>
              </w:rPr>
            </w:pPr>
            <w:r>
              <w:rPr>
                <w:i/>
                <w:sz w:val="19"/>
              </w:rPr>
              <w:t>Acts Amendment (Legal Practitioners, Costs and Taxation) Act 1987</w:t>
            </w:r>
            <w:r>
              <w:rPr>
                <w:sz w:val="19"/>
              </w:rPr>
              <w:t xml:space="preserve"> Pt. XI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vertAlign w:val="superscript"/>
              </w:rPr>
            </w:pPr>
            <w:r>
              <w:rPr>
                <w:i/>
                <w:sz w:val="19"/>
              </w:rPr>
              <w:t xml:space="preserve">Business Licensing Amendment Act 1995 </w:t>
            </w:r>
            <w:r>
              <w:rPr>
                <w:sz w:val="19"/>
              </w:rPr>
              <w:t>Pt. 6</w:t>
            </w:r>
            <w:r>
              <w:rPr>
                <w:sz w:val="19"/>
                <w:vertAlign w:val="superscript"/>
              </w:rPr>
              <w:t> 3</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7088" w:type="dxa"/>
            <w:gridSpan w:val="4"/>
          </w:tcPr>
          <w:p>
            <w:pPr>
              <w:pStyle w:val="nTable"/>
              <w:spacing w:after="40"/>
              <w:rPr>
                <w:sz w:val="19"/>
              </w:rPr>
            </w:pPr>
            <w:r>
              <w:rPr>
                <w:b/>
                <w:sz w:val="19"/>
              </w:rPr>
              <w:t xml:space="preserve">Reprint of the </w:t>
            </w:r>
            <w:r>
              <w:rPr>
                <w:b/>
                <w:i/>
                <w:sz w:val="19"/>
              </w:rPr>
              <w:t>Land Valuers Licensing Act 1978</w:t>
            </w:r>
            <w:r>
              <w:rPr>
                <w:b/>
                <w:sz w:val="19"/>
              </w:rPr>
              <w:t xml:space="preserve"> as at 3 May 2002</w:t>
            </w:r>
            <w:r>
              <w:rPr>
                <w:sz w:val="19"/>
              </w:rPr>
              <w:br/>
              <w:t>(includes amendments listed above)</w:t>
            </w:r>
          </w:p>
        </w:tc>
      </w:tr>
      <w:tr>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44 and 115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vertAlign w:val="superscript"/>
              </w:rPr>
            </w:pPr>
            <w:r>
              <w:rPr>
                <w:i/>
                <w:sz w:val="19"/>
              </w:rPr>
              <w:t>Statutes (Repeals and Minor Amendments) Act 2003</w:t>
            </w:r>
            <w:r>
              <w:rPr>
                <w:sz w:val="19"/>
              </w:rPr>
              <w:t xml:space="preserve"> s. 74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70</w:t>
            </w:r>
            <w:r>
              <w:rPr>
                <w:snapToGrid w:val="0"/>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13"/>
              <w:rPr>
                <w:i/>
                <w:snapToGrid w:val="0"/>
                <w:sz w:val="19"/>
                <w:vertAlign w:val="superscript"/>
              </w:rPr>
            </w:pPr>
            <w:r>
              <w:rPr>
                <w:i/>
                <w:snapToGrid w:val="0"/>
                <w:sz w:val="19"/>
                <w:lang w:val="en-US"/>
              </w:rPr>
              <w:t>Criminal Procedure and Appeals (Consequential and Other Provisions) Act 2004</w:t>
            </w:r>
            <w:r>
              <w:rPr>
                <w:snapToGrid w:val="0"/>
                <w:sz w:val="19"/>
                <w:lang w:val="en-US"/>
              </w:rPr>
              <w:t xml:space="preserve"> s. 78 </w:t>
            </w:r>
            <w:r>
              <w:rPr>
                <w:snapToGrid w:val="0"/>
                <w:sz w:val="19"/>
                <w:vertAlign w:val="superscript"/>
                <w:lang w:val="en-US"/>
              </w:rPr>
              <w:t>5</w:t>
            </w:r>
          </w:p>
        </w:tc>
        <w:tc>
          <w:tcPr>
            <w:tcW w:w="1134" w:type="dxa"/>
          </w:tcPr>
          <w:p>
            <w:pPr>
              <w:pStyle w:val="nTable"/>
              <w:spacing w:after="40"/>
              <w:rPr>
                <w:sz w:val="19"/>
              </w:rPr>
            </w:pPr>
            <w:r>
              <w:rPr>
                <w:snapToGrid w:val="0"/>
                <w:sz w:val="19"/>
                <w:lang w:val="en-US"/>
              </w:rPr>
              <w:t>84 of 2004 (as amended by No. 2 of 2008 s. 78(2)(b))</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Land Valuers Licensing Act 1978</w:t>
            </w:r>
            <w:r>
              <w:rPr>
                <w:b/>
                <w:sz w:val="19"/>
              </w:rPr>
              <w:t xml:space="preserve"> as at 12 May 2006</w:t>
            </w:r>
            <w:r>
              <w:rPr>
                <w:sz w:val="19"/>
              </w:rPr>
              <w:br/>
              <w:t>(includes amendments listed above)</w:t>
            </w:r>
          </w:p>
        </w:tc>
      </w:tr>
      <w:tr>
        <w:trPr>
          <w:cantSplit/>
        </w:trPr>
        <w:tc>
          <w:tcPr>
            <w:tcW w:w="2268" w:type="dxa"/>
          </w:tcPr>
          <w:p>
            <w:pPr>
              <w:pStyle w:val="nTable"/>
              <w:spacing w:after="40"/>
              <w:ind w:right="113"/>
              <w:rPr>
                <w:iCs/>
                <w:snapToGrid w:val="0"/>
                <w:sz w:val="19"/>
              </w:rPr>
            </w:pPr>
            <w:r>
              <w:rPr>
                <w:i/>
                <w:snapToGrid w:val="0"/>
                <w:sz w:val="19"/>
                <w:lang w:val="en-US"/>
              </w:rPr>
              <w:t>Consumer Protection Legislation Amendment and Repeal Act 2006</w:t>
            </w:r>
            <w:r>
              <w:rPr>
                <w:iCs/>
                <w:snapToGrid w:val="0"/>
                <w:sz w:val="19"/>
                <w:lang w:val="en-US"/>
              </w:rPr>
              <w:t xml:space="preserve"> Pt. 6</w:t>
            </w:r>
          </w:p>
        </w:tc>
        <w:tc>
          <w:tcPr>
            <w:tcW w:w="1134" w:type="dxa"/>
          </w:tcPr>
          <w:p>
            <w:pPr>
              <w:pStyle w:val="nTable"/>
              <w:spacing w:after="40"/>
              <w:rPr>
                <w:sz w:val="19"/>
              </w:rPr>
            </w:pPr>
            <w:r>
              <w:rPr>
                <w:snapToGrid w:val="0"/>
                <w:sz w:val="19"/>
                <w:lang w:val="en-US"/>
              </w:rPr>
              <w:t>69 of 2006</w:t>
            </w:r>
          </w:p>
        </w:tc>
        <w:tc>
          <w:tcPr>
            <w:tcW w:w="1134" w:type="dxa"/>
          </w:tcPr>
          <w:p>
            <w:pPr>
              <w:pStyle w:val="nTable"/>
              <w:spacing w:after="40"/>
              <w:rPr>
                <w:sz w:val="19"/>
              </w:rPr>
            </w:pPr>
            <w:r>
              <w:rPr>
                <w:sz w:val="19"/>
              </w:rPr>
              <w:t>13 Dec 2006</w:t>
            </w:r>
          </w:p>
        </w:tc>
        <w:tc>
          <w:tcPr>
            <w:tcW w:w="2552" w:type="dxa"/>
          </w:tcPr>
          <w:p>
            <w:pPr>
              <w:pStyle w:val="nTable"/>
              <w:spacing w:after="40"/>
              <w:rPr>
                <w:spacing w:val="-2"/>
                <w:sz w:val="19"/>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rPr>
          <w:cantSplit/>
        </w:trPr>
        <w:tc>
          <w:tcPr>
            <w:tcW w:w="2268" w:type="dxa"/>
          </w:tcPr>
          <w:p>
            <w:pPr>
              <w:pStyle w:val="nTable"/>
              <w:spacing w:after="40"/>
              <w:ind w:right="113"/>
              <w:rPr>
                <w:i/>
                <w:snapToGrid w:val="0"/>
                <w:sz w:val="19"/>
                <w:vertAlign w:val="superscript"/>
                <w:lang w:val="en-US"/>
              </w:rPr>
            </w:pPr>
            <w:r>
              <w:rPr>
                <w:i/>
                <w:snapToGrid w:val="0"/>
                <w:sz w:val="19"/>
              </w:rPr>
              <w:t>Criminal Law and Evidence Amendment Act 2008</w:t>
            </w:r>
            <w:r>
              <w:rPr>
                <w:iCs/>
                <w:snapToGrid w:val="0"/>
                <w:sz w:val="19"/>
              </w:rPr>
              <w:t xml:space="preserve"> s. 65</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rPr>
          <w:del w:id="380" w:author="svcMRProcess" w:date="2018-09-04T07:23:00Z"/>
          <w:snapToGrid w:val="0"/>
        </w:rPr>
      </w:pPr>
      <w:del w:id="381" w:author="svcMRProcess" w:date="2018-09-04T07:2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82" w:author="svcMRProcess" w:date="2018-09-04T07:23:00Z"/>
          <w:snapToGrid w:val="0"/>
        </w:rPr>
      </w:pPr>
      <w:bookmarkStart w:id="383" w:name="_Toc534778309"/>
      <w:bookmarkStart w:id="384" w:name="_Toc7405063"/>
      <w:bookmarkStart w:id="385" w:name="_Toc199749743"/>
      <w:del w:id="386" w:author="svcMRProcess" w:date="2018-09-04T07:23:00Z">
        <w:r>
          <w:rPr>
            <w:snapToGrid w:val="0"/>
          </w:rPr>
          <w:delText>Provisions that have not come into operation</w:delText>
        </w:r>
        <w:bookmarkEnd w:id="383"/>
        <w:bookmarkEnd w:id="384"/>
        <w:bookmarkEnd w:id="385"/>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387" w:author="svcMRProcess" w:date="2018-09-04T07:23:00Z"/>
        </w:trPr>
        <w:tc>
          <w:tcPr>
            <w:tcW w:w="2268" w:type="dxa"/>
          </w:tcPr>
          <w:p>
            <w:pPr>
              <w:pStyle w:val="nTable"/>
              <w:spacing w:after="40"/>
              <w:rPr>
                <w:del w:id="388" w:author="svcMRProcess" w:date="2018-09-04T07:23:00Z"/>
                <w:b/>
                <w:snapToGrid w:val="0"/>
                <w:sz w:val="19"/>
                <w:lang w:val="en-US"/>
              </w:rPr>
            </w:pPr>
            <w:del w:id="389" w:author="svcMRProcess" w:date="2018-09-04T07:23:00Z">
              <w:r>
                <w:rPr>
                  <w:b/>
                  <w:snapToGrid w:val="0"/>
                  <w:sz w:val="19"/>
                  <w:lang w:val="en-US"/>
                </w:rPr>
                <w:delText>Short title</w:delText>
              </w:r>
            </w:del>
          </w:p>
        </w:tc>
        <w:tc>
          <w:tcPr>
            <w:tcW w:w="1118" w:type="dxa"/>
          </w:tcPr>
          <w:p>
            <w:pPr>
              <w:pStyle w:val="nTable"/>
              <w:spacing w:after="40"/>
              <w:rPr>
                <w:del w:id="390" w:author="svcMRProcess" w:date="2018-09-04T07:23:00Z"/>
                <w:b/>
                <w:snapToGrid w:val="0"/>
                <w:sz w:val="19"/>
                <w:lang w:val="en-US"/>
              </w:rPr>
            </w:pPr>
            <w:del w:id="391" w:author="svcMRProcess" w:date="2018-09-04T07:23:00Z">
              <w:r>
                <w:rPr>
                  <w:b/>
                  <w:snapToGrid w:val="0"/>
                  <w:sz w:val="19"/>
                  <w:lang w:val="en-US"/>
                </w:rPr>
                <w:delText>Number and year</w:delText>
              </w:r>
            </w:del>
          </w:p>
        </w:tc>
        <w:tc>
          <w:tcPr>
            <w:tcW w:w="1134" w:type="dxa"/>
          </w:tcPr>
          <w:p>
            <w:pPr>
              <w:pStyle w:val="nTable"/>
              <w:spacing w:after="40"/>
              <w:rPr>
                <w:del w:id="392" w:author="svcMRProcess" w:date="2018-09-04T07:23:00Z"/>
                <w:b/>
                <w:snapToGrid w:val="0"/>
                <w:sz w:val="19"/>
                <w:lang w:val="en-US"/>
              </w:rPr>
            </w:pPr>
            <w:del w:id="393" w:author="svcMRProcess" w:date="2018-09-04T07:23:00Z">
              <w:r>
                <w:rPr>
                  <w:b/>
                  <w:snapToGrid w:val="0"/>
                  <w:sz w:val="19"/>
                  <w:lang w:val="en-US"/>
                </w:rPr>
                <w:delText>Assent</w:delText>
              </w:r>
            </w:del>
          </w:p>
        </w:tc>
        <w:tc>
          <w:tcPr>
            <w:tcW w:w="2552" w:type="dxa"/>
          </w:tcPr>
          <w:p>
            <w:pPr>
              <w:pStyle w:val="nTable"/>
              <w:spacing w:after="40"/>
              <w:rPr>
                <w:del w:id="394" w:author="svcMRProcess" w:date="2018-09-04T07:23:00Z"/>
                <w:b/>
                <w:snapToGrid w:val="0"/>
                <w:sz w:val="19"/>
                <w:lang w:val="en-US"/>
              </w:rPr>
            </w:pPr>
            <w:del w:id="395" w:author="svcMRProcess" w:date="2018-09-04T07:23: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8" w:space="0" w:color="auto"/>
            </w:tcBorders>
          </w:tcPr>
          <w:p>
            <w:pPr>
              <w:pStyle w:val="nTable"/>
              <w:spacing w:after="40"/>
              <w:ind w:right="113"/>
              <w:rPr>
                <w:i/>
                <w:snapToGrid w:val="0"/>
                <w:sz w:val="19"/>
              </w:rPr>
            </w:pPr>
            <w:r>
              <w:rPr>
                <w:i/>
                <w:iCs/>
                <w:snapToGrid w:val="0"/>
                <w:sz w:val="19"/>
                <w:lang w:val="en-US"/>
              </w:rPr>
              <w:t>Legal Profession Act 2008</w:t>
            </w:r>
            <w:r>
              <w:rPr>
                <w:snapToGrid w:val="0"/>
                <w:sz w:val="19"/>
                <w:lang w:val="en-US"/>
              </w:rPr>
              <w:t xml:space="preserve"> s. 671 </w:t>
            </w:r>
            <w:del w:id="396" w:author="svcMRProcess" w:date="2018-09-04T07:23:00Z">
              <w:r>
                <w:rPr>
                  <w:snapToGrid w:val="0"/>
                  <w:sz w:val="19"/>
                  <w:vertAlign w:val="superscript"/>
                  <w:lang w:val="en-US"/>
                </w:rPr>
                <w:delText>6</w:delText>
              </w:r>
            </w:del>
          </w:p>
        </w:tc>
        <w:tc>
          <w:tcPr>
            <w:tcW w:w="1134" w:type="dxa"/>
            <w:tcBorders>
              <w:bottom w:val="single" w:sz="8" w:space="0" w:color="auto"/>
            </w:tcBorders>
          </w:tcPr>
          <w:p>
            <w:pPr>
              <w:pStyle w:val="nTable"/>
              <w:spacing w:after="40"/>
              <w:rPr>
                <w:sz w:val="19"/>
              </w:rPr>
            </w:pPr>
            <w:r>
              <w:rPr>
                <w:snapToGrid w:val="0"/>
                <w:sz w:val="19"/>
                <w:lang w:val="en-US"/>
              </w:rPr>
              <w:t>21 of 2008</w:t>
            </w:r>
          </w:p>
        </w:tc>
        <w:tc>
          <w:tcPr>
            <w:tcW w:w="1134" w:type="dxa"/>
            <w:tcBorders>
              <w:bottom w:val="single" w:sz="8" w:space="0" w:color="auto"/>
            </w:tcBorders>
          </w:tcPr>
          <w:p>
            <w:pPr>
              <w:pStyle w:val="nTable"/>
              <w:spacing w:after="40"/>
              <w:rPr>
                <w:sz w:val="19"/>
              </w:rPr>
            </w:pPr>
            <w:r>
              <w:rPr>
                <w:snapToGrid w:val="0"/>
                <w:sz w:val="19"/>
                <w:lang w:val="en-US"/>
              </w:rPr>
              <w:t>27 May 2008</w:t>
            </w:r>
          </w:p>
        </w:tc>
        <w:tc>
          <w:tcPr>
            <w:tcW w:w="2552" w:type="dxa"/>
            <w:tcBorders>
              <w:bottom w:val="single" w:sz="8" w:space="0" w:color="auto"/>
            </w:tcBorders>
          </w:tcPr>
          <w:p>
            <w:pPr>
              <w:pStyle w:val="nTable"/>
              <w:spacing w:after="40"/>
              <w:rPr>
                <w:snapToGrid w:val="0"/>
                <w:sz w:val="19"/>
                <w:lang w:val="en-US"/>
              </w:rPr>
            </w:pPr>
            <w:del w:id="397" w:author="svcMRProcess" w:date="2018-09-04T07:23:00Z">
              <w:r>
                <w:rPr>
                  <w:snapToGrid w:val="0"/>
                  <w:sz w:val="19"/>
                  <w:lang w:val="en-US"/>
                </w:rPr>
                <w:delText>To be proclaimed</w:delText>
              </w:r>
            </w:del>
            <w:ins w:id="398" w:author="svcMRProcess" w:date="2018-09-04T07:23:00Z">
              <w:r>
                <w:rPr>
                  <w:snapToGrid w:val="0"/>
                  <w:spacing w:val="-2"/>
                  <w:sz w:val="19"/>
                  <w:lang w:val="en-US"/>
                </w:rPr>
                <w:t>1 Mar 2009</w:t>
              </w:r>
            </w:ins>
            <w:r>
              <w:rPr>
                <w:snapToGrid w:val="0"/>
                <w:spacing w:val="-2"/>
                <w:sz w:val="19"/>
                <w:lang w:val="en-US"/>
              </w:rPr>
              <w:t xml:space="preserve"> (see s.</w:t>
            </w:r>
            <w:del w:id="399" w:author="svcMRProcess" w:date="2018-09-04T07:23:00Z">
              <w:r>
                <w:rPr>
                  <w:snapToGrid w:val="0"/>
                  <w:sz w:val="19"/>
                  <w:lang w:val="en-US"/>
                </w:rPr>
                <w:delText> </w:delText>
              </w:r>
            </w:del>
            <w:ins w:id="400" w:author="svcMRProcess" w:date="2018-09-04T07:23:00Z">
              <w:r>
                <w:rPr>
                  <w:snapToGrid w:val="0"/>
                  <w:spacing w:val="-2"/>
                  <w:sz w:val="19"/>
                  <w:lang w:val="en-US"/>
                </w:rPr>
                <w:t xml:space="preserve"> </w:t>
              </w:r>
            </w:ins>
            <w:r>
              <w:rPr>
                <w:snapToGrid w:val="0"/>
                <w:spacing w:val="-2"/>
                <w:sz w:val="19"/>
                <w:lang w:val="en-US"/>
              </w:rPr>
              <w:t>2(b</w:t>
            </w:r>
            <w:del w:id="401" w:author="svcMRProcess" w:date="2018-09-04T07:23:00Z">
              <w:r>
                <w:rPr>
                  <w:snapToGrid w:val="0"/>
                  <w:sz w:val="19"/>
                  <w:lang w:val="en-US"/>
                </w:rPr>
                <w:delText>))</w:delText>
              </w:r>
            </w:del>
            <w:ins w:id="402" w:author="svcMRProcess" w:date="2018-09-04T07:23:00Z">
              <w:r>
                <w:rPr>
                  <w:snapToGrid w:val="0"/>
                  <w:spacing w:val="-2"/>
                  <w:sz w:val="19"/>
                  <w:lang w:val="en-US"/>
                </w:rPr>
                <w:t xml:space="preserve">) and </w:t>
              </w:r>
              <w:r>
                <w:rPr>
                  <w:i/>
                  <w:iCs/>
                  <w:snapToGrid w:val="0"/>
                  <w:spacing w:val="-2"/>
                  <w:sz w:val="19"/>
                  <w:lang w:val="en-US"/>
                </w:rPr>
                <w:t xml:space="preserve">Gazette </w:t>
              </w:r>
              <w:r>
                <w:rPr>
                  <w:snapToGrid w:val="0"/>
                  <w:spacing w:val="-2"/>
                  <w:sz w:val="19"/>
                  <w:lang w:val="en-US"/>
                </w:rPr>
                <w:t>27 Feb 2009 p. 511)</w:t>
              </w:r>
            </w:ins>
          </w:p>
        </w:tc>
      </w:tr>
    </w:tbl>
    <w:p>
      <w:pPr>
        <w:pStyle w:val="nSubsection"/>
        <w:keepNext/>
        <w:keepLines/>
        <w:rPr>
          <w:snapToGrid w:val="0"/>
        </w:rPr>
      </w:pPr>
      <w:r>
        <w:rPr>
          <w:snapToGrid w:val="0"/>
          <w:vertAlign w:val="superscript"/>
        </w:rPr>
        <w:t>2</w:t>
      </w:r>
      <w:r>
        <w:rPr>
          <w:snapToGrid w:val="0"/>
        </w:rPr>
        <w:tab/>
        <w:t xml:space="preserve">The </w:t>
      </w:r>
      <w:r>
        <w:rPr>
          <w:i/>
        </w:rPr>
        <w:t>Land Valuers Licensing Amendment Act 1984</w:t>
      </w:r>
      <w:r>
        <w:t xml:space="preserve"> s.</w:t>
      </w:r>
      <w:r>
        <w:rPr>
          <w:snapToGrid w:val="0"/>
        </w:rPr>
        <w:t> 4(2) and 6(2) are transitional provisions that are of no further effect.</w:t>
      </w:r>
    </w:p>
    <w:p>
      <w:pPr>
        <w:pStyle w:val="nSubsection"/>
        <w:ind w:left="459" w:hanging="459"/>
        <w:rPr>
          <w:snapToGrid w:val="0"/>
        </w:rPr>
      </w:pPr>
      <w:r>
        <w:rPr>
          <w:snapToGrid w:val="0"/>
          <w:vertAlign w:val="superscript"/>
        </w:rPr>
        <w:t>3</w:t>
      </w:r>
      <w:r>
        <w:rPr>
          <w:snapToGrid w:val="0"/>
        </w:rPr>
        <w:tab/>
        <w:t xml:space="preserve">The </w:t>
      </w:r>
      <w:r>
        <w:rPr>
          <w:i/>
        </w:rPr>
        <w:t xml:space="preserve">Business Licensing Amendment Act 1995 </w:t>
      </w:r>
      <w:r>
        <w:t>s. 32</w:t>
      </w:r>
      <w:r>
        <w:rPr>
          <w:snapToGrid w:val="0"/>
        </w:rPr>
        <w:t xml:space="preserve"> is a transitional provision that is of no further effect.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5</w:t>
      </w:r>
      <w:r>
        <w:tab/>
      </w:r>
      <w:r>
        <w:rPr>
          <w:snapToGrid w:val="0"/>
        </w:rPr>
        <w:t xml:space="preserve">The </w:t>
      </w:r>
      <w:r>
        <w:rPr>
          <w:i/>
          <w:snapToGrid w:val="0"/>
          <w:lang w:val="en-US"/>
        </w:rPr>
        <w:t xml:space="preserve">Criminal Procedure and Appeals (Consequential and Other Provisions) Act 2004 </w:t>
      </w:r>
      <w:r>
        <w:rPr>
          <w:snapToGrid w:val="0"/>
          <w:lang w:val="en-US"/>
        </w:rPr>
        <w:t xml:space="preserve">s. 82, to the extent it amends this Act, was repealed by the </w:t>
      </w:r>
      <w:r>
        <w:rPr>
          <w:i/>
          <w:iCs/>
          <w:snapToGrid w:val="0"/>
          <w:lang w:val="en-US"/>
        </w:rPr>
        <w:t>Criminal Law and Evidence Amendment Act 2008</w:t>
      </w:r>
      <w:r>
        <w:rPr>
          <w:snapToGrid w:val="0"/>
          <w:lang w:val="en-US"/>
        </w:rPr>
        <w:t xml:space="preserve"> s. 78(2)(b).</w:t>
      </w:r>
    </w:p>
    <w:p>
      <w:pPr>
        <w:pStyle w:val="nSubsection"/>
        <w:rPr>
          <w:del w:id="403" w:author="svcMRProcess" w:date="2018-09-04T07:23:00Z"/>
          <w:snapToGrid w:val="0"/>
        </w:rPr>
      </w:pPr>
      <w:del w:id="404" w:author="svcMRProcess" w:date="2018-09-04T07:23:00Z">
        <w:r>
          <w:rPr>
            <w:snapToGrid w:val="0"/>
            <w:vertAlign w:val="superscript"/>
          </w:rPr>
          <w:delText>6</w:delText>
        </w:r>
        <w:r>
          <w:rPr>
            <w:snapToGrid w:val="0"/>
          </w:rPr>
          <w:tab/>
          <w:delText xml:space="preserve">On the date as at which this compilation was prepared, the </w:delText>
        </w:r>
        <w:r>
          <w:rPr>
            <w:i/>
            <w:iCs/>
            <w:snapToGrid w:val="0"/>
            <w:sz w:val="19"/>
            <w:lang w:val="en-US"/>
          </w:rPr>
          <w:delText>Legal Profession Act 2008</w:delText>
        </w:r>
        <w:r>
          <w:rPr>
            <w:snapToGrid w:val="0"/>
            <w:sz w:val="19"/>
            <w:lang w:val="en-US"/>
          </w:rPr>
          <w:delText xml:space="preserve"> s. 671</w:delText>
        </w:r>
        <w:r>
          <w:rPr>
            <w:snapToGrid w:val="0"/>
          </w:rPr>
          <w:delText xml:space="preserve"> had not come into operation.  It reads as follows:</w:delText>
        </w:r>
      </w:del>
    </w:p>
    <w:p>
      <w:pPr>
        <w:pStyle w:val="MiscOpen"/>
        <w:rPr>
          <w:del w:id="405" w:author="svcMRProcess" w:date="2018-09-04T07:23:00Z"/>
          <w:snapToGrid w:val="0"/>
        </w:rPr>
      </w:pPr>
      <w:del w:id="406" w:author="svcMRProcess" w:date="2018-09-04T07:23:00Z">
        <w:r>
          <w:rPr>
            <w:snapToGrid w:val="0"/>
          </w:rPr>
          <w:delText>“</w:delText>
        </w:r>
      </w:del>
    </w:p>
    <w:p>
      <w:pPr>
        <w:pStyle w:val="nzHeading5"/>
        <w:rPr>
          <w:del w:id="407" w:author="svcMRProcess" w:date="2018-09-04T07:23:00Z"/>
        </w:rPr>
      </w:pPr>
      <w:bookmarkStart w:id="408" w:name="_Toc198708648"/>
      <w:del w:id="409" w:author="svcMRProcess" w:date="2018-09-04T07:23:00Z">
        <w:r>
          <w:rPr>
            <w:rStyle w:val="CharSectno"/>
          </w:rPr>
          <w:delText>671</w:delText>
        </w:r>
        <w:r>
          <w:delText>.</w:delText>
        </w:r>
        <w:r>
          <w:tab/>
        </w:r>
        <w:r>
          <w:rPr>
            <w:i/>
            <w:iCs/>
          </w:rPr>
          <w:delText>Land Valuers Licensing Act 1978</w:delText>
        </w:r>
        <w:r>
          <w:delText xml:space="preserve"> amended</w:delText>
        </w:r>
        <w:bookmarkEnd w:id="408"/>
      </w:del>
    </w:p>
    <w:p>
      <w:pPr>
        <w:pStyle w:val="nzSubsection"/>
        <w:rPr>
          <w:del w:id="410" w:author="svcMRProcess" w:date="2018-09-04T07:23:00Z"/>
        </w:rPr>
      </w:pPr>
      <w:del w:id="411" w:author="svcMRProcess" w:date="2018-09-04T07:23:00Z">
        <w:r>
          <w:tab/>
          <w:delText>(1)</w:delText>
        </w:r>
        <w:r>
          <w:tab/>
          <w:delText xml:space="preserve">The amendments in this section are to the </w:delText>
        </w:r>
        <w:r>
          <w:rPr>
            <w:i/>
            <w:iCs/>
          </w:rPr>
          <w:delText>Land Valuers Licensing Act 1978</w:delText>
        </w:r>
        <w:r>
          <w:delText>.</w:delText>
        </w:r>
      </w:del>
    </w:p>
    <w:p>
      <w:pPr>
        <w:pStyle w:val="nzSubsection"/>
        <w:rPr>
          <w:del w:id="412" w:author="svcMRProcess" w:date="2018-09-04T07:23:00Z"/>
        </w:rPr>
      </w:pPr>
      <w:del w:id="413" w:author="svcMRProcess" w:date="2018-09-04T07:23:00Z">
        <w:r>
          <w:tab/>
          <w:delText>(2)</w:delText>
        </w:r>
        <w:r>
          <w:tab/>
          <w:delText>Section 4 is amended as follows:</w:delText>
        </w:r>
      </w:del>
    </w:p>
    <w:p>
      <w:pPr>
        <w:pStyle w:val="nzIndenta"/>
        <w:rPr>
          <w:del w:id="414" w:author="svcMRProcess" w:date="2018-09-04T07:23:00Z"/>
        </w:rPr>
      </w:pPr>
      <w:del w:id="415" w:author="svcMRProcess" w:date="2018-09-04T07:23:00Z">
        <w:r>
          <w:tab/>
          <w:delText>(a)</w:delText>
        </w:r>
        <w:r>
          <w:tab/>
          <w:delText xml:space="preserve">by inserting in the appropriate alphabetical position — </w:delText>
        </w:r>
      </w:del>
    </w:p>
    <w:p>
      <w:pPr>
        <w:pStyle w:val="MiscOpen"/>
        <w:ind w:left="880"/>
        <w:rPr>
          <w:del w:id="416" w:author="svcMRProcess" w:date="2018-09-04T07:23:00Z"/>
        </w:rPr>
      </w:pPr>
      <w:del w:id="417" w:author="svcMRProcess" w:date="2018-09-04T07:23:00Z">
        <w:r>
          <w:delText xml:space="preserve">“    </w:delText>
        </w:r>
      </w:del>
    </w:p>
    <w:p>
      <w:pPr>
        <w:pStyle w:val="nzDefstart"/>
        <w:rPr>
          <w:del w:id="418" w:author="svcMRProcess" w:date="2018-09-04T07:23:00Z"/>
        </w:rPr>
      </w:pPr>
      <w:del w:id="419" w:author="svcMRProcess" w:date="2018-09-04T07:23:00Z">
        <w:r>
          <w:rPr>
            <w:b/>
          </w:rPr>
          <w:tab/>
        </w:r>
        <w:r>
          <w:rPr>
            <w:rStyle w:val="CharDefText"/>
          </w:rPr>
          <w:delText>lawyer</w:delText>
        </w:r>
        <w:r>
          <w:delText xml:space="preserve"> means an Australian lawyer within the meaning of that term in the </w:delText>
        </w:r>
        <w:r>
          <w:rPr>
            <w:i/>
            <w:iCs/>
          </w:rPr>
          <w:delText>Legal Profession Act 2008</w:delText>
        </w:r>
        <w:r>
          <w:delText xml:space="preserve"> section 3;</w:delText>
        </w:r>
      </w:del>
    </w:p>
    <w:p>
      <w:pPr>
        <w:pStyle w:val="MiscClose"/>
        <w:rPr>
          <w:del w:id="420" w:author="svcMRProcess" w:date="2018-09-04T07:23:00Z"/>
        </w:rPr>
      </w:pPr>
      <w:del w:id="421" w:author="svcMRProcess" w:date="2018-09-04T07:23:00Z">
        <w:r>
          <w:delText xml:space="preserve">    ”;</w:delText>
        </w:r>
      </w:del>
    </w:p>
    <w:p>
      <w:pPr>
        <w:pStyle w:val="nzIndenta"/>
        <w:rPr>
          <w:del w:id="422" w:author="svcMRProcess" w:date="2018-09-04T07:23:00Z"/>
        </w:rPr>
      </w:pPr>
      <w:del w:id="423" w:author="svcMRProcess" w:date="2018-09-04T07:23:00Z">
        <w:r>
          <w:tab/>
          <w:delText>(b)</w:delText>
        </w:r>
        <w:r>
          <w:tab/>
          <w:delText xml:space="preserve">by deleting the definition of “legal practitioner” and inserting instead — </w:delText>
        </w:r>
      </w:del>
    </w:p>
    <w:p>
      <w:pPr>
        <w:pStyle w:val="MiscOpen"/>
        <w:ind w:left="880"/>
        <w:rPr>
          <w:del w:id="424" w:author="svcMRProcess" w:date="2018-09-04T07:23:00Z"/>
        </w:rPr>
      </w:pPr>
      <w:del w:id="425" w:author="svcMRProcess" w:date="2018-09-04T07:23:00Z">
        <w:r>
          <w:delText xml:space="preserve">“    </w:delText>
        </w:r>
      </w:del>
    </w:p>
    <w:p>
      <w:pPr>
        <w:pStyle w:val="nzDefstart"/>
        <w:rPr>
          <w:del w:id="426" w:author="svcMRProcess" w:date="2018-09-04T07:23:00Z"/>
        </w:rPr>
      </w:pPr>
      <w:del w:id="427" w:author="svcMRProcess" w:date="2018-09-04T07:23:00Z">
        <w:r>
          <w:rPr>
            <w:b/>
          </w:rPr>
          <w:tab/>
        </w:r>
        <w:r>
          <w:rPr>
            <w:rStyle w:val="CharDefText"/>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rPr>
          <w:del w:id="428" w:author="svcMRProcess" w:date="2018-09-04T07:23:00Z"/>
        </w:rPr>
      </w:pPr>
      <w:del w:id="429" w:author="svcMRProcess" w:date="2018-09-04T07:23:00Z">
        <w:r>
          <w:delText xml:space="preserve">    ”.</w:delText>
        </w:r>
      </w:del>
    </w:p>
    <w:p>
      <w:pPr>
        <w:pStyle w:val="nzSubsection"/>
        <w:rPr>
          <w:del w:id="430" w:author="svcMRProcess" w:date="2018-09-04T07:23:00Z"/>
        </w:rPr>
      </w:pPr>
      <w:del w:id="431" w:author="svcMRProcess" w:date="2018-09-04T07:23:00Z">
        <w:r>
          <w:tab/>
          <w:delText>(3)</w:delText>
        </w:r>
        <w:r>
          <w:tab/>
          <w:delText xml:space="preserve">Section 6(1)(a) is amended by deleting “a legal practitioner or a barrister or solicitor of the Supreme Court of another State or a Territory of not less than 7 years’ standing” and inserting instead — </w:delText>
        </w:r>
      </w:del>
    </w:p>
    <w:p>
      <w:pPr>
        <w:pStyle w:val="MiscOpen"/>
        <w:ind w:left="880"/>
        <w:rPr>
          <w:del w:id="432" w:author="svcMRProcess" w:date="2018-09-04T07:23:00Z"/>
        </w:rPr>
      </w:pPr>
      <w:del w:id="433" w:author="svcMRProcess" w:date="2018-09-04T07:23:00Z">
        <w:r>
          <w:delText xml:space="preserve">“    </w:delText>
        </w:r>
      </w:del>
    </w:p>
    <w:p>
      <w:pPr>
        <w:pStyle w:val="nzSubsection"/>
        <w:rPr>
          <w:del w:id="434" w:author="svcMRProcess" w:date="2018-09-04T07:23:00Z"/>
        </w:rPr>
      </w:pPr>
      <w:del w:id="435" w:author="svcMRProcess" w:date="2018-09-04T07:23:00Z">
        <w:r>
          <w:tab/>
        </w:r>
        <w:r>
          <w:tab/>
          <w:delText>a lawyer who has had not less than 7 years’ legal experience</w:delText>
        </w:r>
      </w:del>
    </w:p>
    <w:p>
      <w:pPr>
        <w:pStyle w:val="MiscClose"/>
        <w:rPr>
          <w:del w:id="436" w:author="svcMRProcess" w:date="2018-09-04T07:23:00Z"/>
        </w:rPr>
      </w:pPr>
      <w:del w:id="437" w:author="svcMRProcess" w:date="2018-09-04T07:23:00Z">
        <w:r>
          <w:delText xml:space="preserve">    ”.</w:delText>
        </w:r>
      </w:del>
    </w:p>
    <w:p>
      <w:pPr>
        <w:pStyle w:val="nzSubsection"/>
        <w:rPr>
          <w:del w:id="438" w:author="svcMRProcess" w:date="2018-09-04T07:23:00Z"/>
        </w:rPr>
      </w:pPr>
      <w:del w:id="439" w:author="svcMRProcess" w:date="2018-09-04T07:23:00Z">
        <w:r>
          <w:tab/>
          <w:delText>(4)</w:delText>
        </w:r>
        <w:r>
          <w:tab/>
          <w:delText xml:space="preserve">After section 6(1) the following subsection is inserted — </w:delText>
        </w:r>
      </w:del>
    </w:p>
    <w:p>
      <w:pPr>
        <w:pStyle w:val="MiscOpen"/>
        <w:ind w:left="600"/>
        <w:rPr>
          <w:del w:id="440" w:author="svcMRProcess" w:date="2018-09-04T07:23:00Z"/>
        </w:rPr>
      </w:pPr>
      <w:del w:id="441" w:author="svcMRProcess" w:date="2018-09-04T07:23:00Z">
        <w:r>
          <w:delText xml:space="preserve">“    </w:delText>
        </w:r>
      </w:del>
    </w:p>
    <w:p>
      <w:pPr>
        <w:pStyle w:val="nzSubsection"/>
        <w:rPr>
          <w:del w:id="442" w:author="svcMRProcess" w:date="2018-09-04T07:23:00Z"/>
        </w:rPr>
      </w:pPr>
      <w:del w:id="443" w:author="svcMRProcess" w:date="2018-09-04T07:23:00Z">
        <w:r>
          <w:tab/>
          <w:delText>(1a)</w:delText>
        </w:r>
        <w:r>
          <w:tab/>
          <w:delText xml:space="preserve">In subsection (1)(a) — </w:delText>
        </w:r>
      </w:del>
    </w:p>
    <w:p>
      <w:pPr>
        <w:pStyle w:val="nzDefstart"/>
        <w:rPr>
          <w:del w:id="444" w:author="svcMRProcess" w:date="2018-09-04T07:23:00Z"/>
        </w:rPr>
      </w:pPr>
      <w:del w:id="445" w:author="svcMRProcess" w:date="2018-09-04T07:23:00Z">
        <w:r>
          <w:rPr>
            <w:b/>
          </w:rPr>
          <w:tab/>
        </w:r>
        <w:r>
          <w:rPr>
            <w:rStyle w:val="CharDefText"/>
          </w:rPr>
          <w:delText>legal experience</w:delText>
        </w:r>
        <w:r>
          <w:rPr>
            <w:b/>
            <w:bCs/>
          </w:rPr>
          <w:delText xml:space="preserve"> </w:delText>
        </w:r>
        <w:r>
          <w:delText xml:space="preserve">means — </w:delText>
        </w:r>
      </w:del>
    </w:p>
    <w:p>
      <w:pPr>
        <w:pStyle w:val="nzDefpara"/>
        <w:rPr>
          <w:del w:id="446" w:author="svcMRProcess" w:date="2018-09-04T07:23:00Z"/>
        </w:rPr>
      </w:pPr>
      <w:del w:id="447" w:author="svcMRProcess" w:date="2018-09-04T07:23:00Z">
        <w:r>
          <w:tab/>
          <w:delText>(a)</w:delText>
        </w:r>
        <w:r>
          <w:tab/>
          <w:delText>standing and practice as a legal practitioner; or</w:delText>
        </w:r>
      </w:del>
    </w:p>
    <w:p>
      <w:pPr>
        <w:pStyle w:val="nzDefpara"/>
        <w:rPr>
          <w:del w:id="448" w:author="svcMRProcess" w:date="2018-09-04T07:23:00Z"/>
        </w:rPr>
      </w:pPr>
      <w:del w:id="449" w:author="svcMRProcess" w:date="2018-09-04T07:23:00Z">
        <w:r>
          <w:tab/>
          <w:delText>(b)</w:delText>
        </w:r>
        <w:r>
          <w:tab/>
          <w:delText>judicial service (including service as a judge of a court, a magistrate or other judicial officer) in the State or elsewhere in a common law jurisdiction; or</w:delText>
        </w:r>
      </w:del>
    </w:p>
    <w:p>
      <w:pPr>
        <w:pStyle w:val="nzDefpara"/>
        <w:rPr>
          <w:del w:id="450" w:author="svcMRProcess" w:date="2018-09-04T07:23:00Z"/>
        </w:rPr>
      </w:pPr>
      <w:del w:id="451" w:author="svcMRProcess" w:date="2018-09-04T07:23:00Z">
        <w:r>
          <w:tab/>
          <w:delText>(c)</w:delText>
        </w:r>
        <w:r>
          <w:tab/>
          <w:delText>a combination of both kinds of legal experience mentioned in paragraphs (a) and (b).</w:delText>
        </w:r>
      </w:del>
    </w:p>
    <w:p>
      <w:pPr>
        <w:pStyle w:val="MiscClose"/>
        <w:rPr>
          <w:del w:id="452" w:author="svcMRProcess" w:date="2018-09-04T07:23:00Z"/>
        </w:rPr>
      </w:pPr>
      <w:del w:id="453" w:author="svcMRProcess" w:date="2018-09-04T07:23:00Z">
        <w:r>
          <w:delText xml:space="preserve">    ”.</w:delText>
        </w:r>
      </w:del>
    </w:p>
    <w:p>
      <w:pPr>
        <w:pStyle w:val="nzSubsection"/>
        <w:rPr>
          <w:del w:id="454" w:author="svcMRProcess" w:date="2018-09-04T07:23:00Z"/>
        </w:rPr>
      </w:pPr>
      <w:del w:id="455" w:author="svcMRProcess" w:date="2018-09-04T07:23:00Z">
        <w:r>
          <w:tab/>
          <w:delText>(5)</w:delText>
        </w:r>
        <w:r>
          <w:tab/>
          <w:delText xml:space="preserve">Section 6(4)(a) is amended by deleting “legal practitioner or barrister or solicitor of the Supreme Court of another State or a Territory” and inserting instead — </w:delText>
        </w:r>
      </w:del>
    </w:p>
    <w:p>
      <w:pPr>
        <w:pStyle w:val="nzSubsection"/>
        <w:rPr>
          <w:del w:id="456" w:author="svcMRProcess" w:date="2018-09-04T07:23:00Z"/>
        </w:rPr>
      </w:pPr>
      <w:del w:id="457" w:author="svcMRProcess" w:date="2018-09-04T07:23:00Z">
        <w:r>
          <w:tab/>
        </w:r>
        <w:r>
          <w:tab/>
          <w:delText>“    lawyer    ”.</w:delText>
        </w:r>
      </w:del>
    </w:p>
    <w:p>
      <w:pPr>
        <w:pStyle w:val="MiscClose"/>
        <w:rPr>
          <w:del w:id="458" w:author="svcMRProcess" w:date="2018-09-04T07:23:00Z"/>
        </w:rPr>
      </w:pPr>
      <w:del w:id="459" w:author="svcMRProcess" w:date="2018-09-04T07:23:00Z">
        <w:r>
          <w:delText>”.</w:delText>
        </w:r>
      </w:del>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4C685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F6230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7AEDA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F298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66E7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5DC31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4B242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0D6C8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4CEE3CC"/>
    <w:lvl w:ilvl="0">
      <w:start w:val="1"/>
      <w:numFmt w:val="decimal"/>
      <w:pStyle w:val="ListNumber"/>
      <w:lvlText w:val="%1."/>
      <w:lvlJc w:val="left"/>
      <w:pPr>
        <w:tabs>
          <w:tab w:val="num" w:pos="360"/>
        </w:tabs>
        <w:ind w:left="360" w:hanging="360"/>
      </w:pPr>
    </w:lvl>
  </w:abstractNum>
  <w:abstractNum w:abstractNumId="9">
    <w:nsid w:val="FFFFFF89"/>
    <w:multiLevelType w:val="singleLevel"/>
    <w:tmpl w:val="B5448E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B8697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D9AA111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60234"/>
    <w:docVar w:name="WAFER_20151204160234" w:val="RemoveTrackChanges"/>
    <w:docVar w:name="WAFER_20151204160234_GUID" w:val="b0ef502b-76f8-4575-ba0d-9d86676391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7722</Words>
  <Characters>35523</Characters>
  <Application>Microsoft Office Word</Application>
  <DocSecurity>0</DocSecurity>
  <Lines>986</Lines>
  <Paragraphs>527</Paragraphs>
  <ScaleCrop>false</ScaleCrop>
  <HeadingPairs>
    <vt:vector size="2" baseType="variant">
      <vt:variant>
        <vt:lpstr>Title</vt:lpstr>
      </vt:variant>
      <vt:variant>
        <vt:i4>1</vt:i4>
      </vt:variant>
    </vt:vector>
  </HeadingPairs>
  <TitlesOfParts>
    <vt:vector size="1" baseType="lpstr">
      <vt:lpstr>Land Valuers Licensing Act 1978</vt:lpstr>
    </vt:vector>
  </TitlesOfParts>
  <Manager/>
  <Company/>
  <LinksUpToDate>false</LinksUpToDate>
  <CharactersWithSpaces>42718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Act 1978 02-f0-05 - 02-g0-03</dc:title>
  <dc:subject/>
  <dc:creator/>
  <cp:keywords/>
  <dc:description/>
  <cp:lastModifiedBy>svcMRProcess</cp:lastModifiedBy>
  <cp:revision>2</cp:revision>
  <cp:lastPrinted>2006-05-23T04:11:00Z</cp:lastPrinted>
  <dcterms:created xsi:type="dcterms:W3CDTF">2018-09-03T23:23:00Z</dcterms:created>
  <dcterms:modified xsi:type="dcterms:W3CDTF">2018-09-03T23:23:00Z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1978</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436</vt:i4>
  </property>
  <property fmtid="{D5CDD505-2E9C-101B-9397-08002B2CF9AE}" pid="6" name="ReprintNo">
    <vt:lpwstr>2</vt:lpwstr>
  </property>
  <property fmtid="{D5CDD505-2E9C-101B-9397-08002B2CF9AE}" pid="7" name="FromSuffix">
    <vt:lpwstr>02-f0-05</vt:lpwstr>
  </property>
  <property fmtid="{D5CDD505-2E9C-101B-9397-08002B2CF9AE}" pid="8" name="FromAsAtDate">
    <vt:lpwstr>27 May 2008</vt:lpwstr>
  </property>
  <property fmtid="{D5CDD505-2E9C-101B-9397-08002B2CF9AE}" pid="9" name="ToSuffix">
    <vt:lpwstr>02-g0-03</vt:lpwstr>
  </property>
  <property fmtid="{D5CDD505-2E9C-101B-9397-08002B2CF9AE}" pid="10" name="ToAsAtDate">
    <vt:lpwstr>01 Mar 2009</vt:lpwstr>
  </property>
</Properties>
</file>