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Planning and Development (Local Government Planning Fees) Regulations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Oct 2008</w:t>
      </w:r>
      <w:r>
        <w:fldChar w:fldCharType="end"/>
      </w:r>
      <w:r>
        <w:t xml:space="preserve">, </w:t>
      </w:r>
      <w:r>
        <w:fldChar w:fldCharType="begin"/>
      </w:r>
      <w:r>
        <w:instrText xml:space="preserve"> DocProperty FromSuffix </w:instrText>
      </w:r>
      <w:r>
        <w:fldChar w:fldCharType="separate"/>
      </w:r>
      <w:r>
        <w:t>00-e0-02</w:t>
      </w:r>
      <w:r>
        <w:fldChar w:fldCharType="end"/>
      </w:r>
      <w:r>
        <w:t>] and [</w:t>
      </w:r>
      <w:r>
        <w:fldChar w:fldCharType="begin"/>
      </w:r>
      <w:r>
        <w:instrText xml:space="preserve"> DocProperty ToAsAtDate</w:instrText>
      </w:r>
      <w:r>
        <w:fldChar w:fldCharType="separate"/>
      </w:r>
      <w:r>
        <w:t>20 Feb 2009</w:t>
      </w:r>
      <w:r>
        <w:fldChar w:fldCharType="end"/>
      </w:r>
      <w:r>
        <w:t xml:space="preserve">, </w:t>
      </w:r>
      <w:r>
        <w:fldChar w:fldCharType="begin"/>
      </w:r>
      <w:r>
        <w:instrText xml:space="preserve"> DocProperty ToSuffix</w:instrText>
      </w:r>
      <w:r>
        <w:fldChar w:fldCharType="separate"/>
      </w:r>
      <w:r>
        <w:t>01-a0-02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9-11T17:07:00Z"/>
        </w:trPr>
        <w:tc>
          <w:tcPr>
            <w:tcW w:w="2434" w:type="dxa"/>
            <w:vMerge w:val="restart"/>
          </w:tcPr>
          <w:p>
            <w:pPr>
              <w:rPr>
                <w:ins w:id="1" w:author="Master Repository Process" w:date="2021-09-11T17:07:00Z"/>
              </w:rPr>
            </w:pPr>
          </w:p>
        </w:tc>
        <w:tc>
          <w:tcPr>
            <w:tcW w:w="2434" w:type="dxa"/>
            <w:vMerge w:val="restart"/>
          </w:tcPr>
          <w:p>
            <w:pPr>
              <w:jc w:val="center"/>
              <w:rPr>
                <w:ins w:id="2" w:author="Master Repository Process" w:date="2021-09-11T17:07:00Z"/>
              </w:rPr>
            </w:pPr>
            <w:ins w:id="3" w:author="Master Repository Process" w:date="2021-09-11T17:07: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9-11T17:07:00Z"/>
              </w:rPr>
            </w:pPr>
            <w:ins w:id="5" w:author="Master Repository Process" w:date="2021-09-11T17:07:00Z">
              <w:r>
                <w:rPr>
                  <w:b/>
                  <w:sz w:val="22"/>
                </w:rPr>
                <w:t xml:space="preserve">Reprinted under the </w:t>
              </w:r>
              <w:r>
                <w:rPr>
                  <w:b/>
                  <w:i/>
                  <w:sz w:val="22"/>
                </w:rPr>
                <w:t>Reprints Act 1984</w:t>
              </w:r>
              <w:r>
                <w:rPr>
                  <w:b/>
                  <w:sz w:val="22"/>
                </w:rPr>
                <w:t xml:space="preserve"> as</w:t>
              </w:r>
            </w:ins>
          </w:p>
        </w:tc>
      </w:tr>
      <w:tr>
        <w:trPr>
          <w:cantSplit/>
          <w:ins w:id="6" w:author="Master Repository Process" w:date="2021-09-11T17:07:00Z"/>
        </w:trPr>
        <w:tc>
          <w:tcPr>
            <w:tcW w:w="2434" w:type="dxa"/>
            <w:vMerge/>
          </w:tcPr>
          <w:p>
            <w:pPr>
              <w:rPr>
                <w:ins w:id="7" w:author="Master Repository Process" w:date="2021-09-11T17:07:00Z"/>
              </w:rPr>
            </w:pPr>
          </w:p>
        </w:tc>
        <w:tc>
          <w:tcPr>
            <w:tcW w:w="2434" w:type="dxa"/>
            <w:vMerge/>
          </w:tcPr>
          <w:p>
            <w:pPr>
              <w:jc w:val="center"/>
              <w:rPr>
                <w:ins w:id="8" w:author="Master Repository Process" w:date="2021-09-11T17:07:00Z"/>
              </w:rPr>
            </w:pPr>
          </w:p>
        </w:tc>
        <w:tc>
          <w:tcPr>
            <w:tcW w:w="2434" w:type="dxa"/>
          </w:tcPr>
          <w:p>
            <w:pPr>
              <w:keepNext/>
              <w:rPr>
                <w:ins w:id="9" w:author="Master Repository Process" w:date="2021-09-11T17:07:00Z"/>
                <w:b/>
                <w:sz w:val="22"/>
              </w:rPr>
            </w:pPr>
            <w:ins w:id="10" w:author="Master Repository Process" w:date="2021-09-11T17:07:00Z">
              <w:r>
                <w:rPr>
                  <w:b/>
                  <w:sz w:val="22"/>
                </w:rPr>
                <w:t>at 20</w:t>
              </w:r>
              <w:r>
                <w:rPr>
                  <w:b/>
                  <w:snapToGrid w:val="0"/>
                  <w:sz w:val="22"/>
                </w:rPr>
                <w:t xml:space="preserve"> February 2009</w:t>
              </w:r>
            </w:ins>
          </w:p>
        </w:tc>
      </w:tr>
    </w:tbl>
    <w:p>
      <w:pPr>
        <w:pStyle w:val="WA"/>
        <w:spacing w:before="120"/>
      </w:pPr>
      <w:r>
        <w:t>Western Australia</w:t>
      </w:r>
    </w:p>
    <w:p>
      <w:pPr>
        <w:pStyle w:val="PrincipalActReg"/>
        <w:rPr>
          <w:vertAlign w:val="superscript"/>
        </w:rPr>
      </w:pPr>
      <w:r>
        <w:rPr>
          <w:snapToGrid w:val="0"/>
        </w:rPr>
        <w:t>Planning and Development Act 2005 </w:t>
      </w:r>
      <w:r>
        <w:rPr>
          <w:snapToGrid w:val="0"/>
          <w:vertAlign w:val="superscript"/>
        </w:rPr>
        <w:t>2</w:t>
      </w:r>
    </w:p>
    <w:p>
      <w:pPr>
        <w:pStyle w:val="NameofActReg"/>
      </w:pPr>
      <w:r>
        <w:t>Planning and Development (Local Government Planning Fees) Regulations 2000</w:t>
      </w:r>
    </w:p>
    <w:p>
      <w:pPr>
        <w:pStyle w:val="Heading5"/>
      </w:pPr>
      <w:bookmarkStart w:id="11" w:name="_Toc423332722"/>
      <w:bookmarkStart w:id="12" w:name="_Toc425219441"/>
      <w:bookmarkStart w:id="13" w:name="_Toc426249308"/>
      <w:bookmarkStart w:id="14" w:name="_Toc449924704"/>
      <w:bookmarkStart w:id="15" w:name="_Toc449947722"/>
      <w:bookmarkStart w:id="16" w:name="_Toc454185713"/>
      <w:bookmarkStart w:id="17" w:name="_Toc501877479"/>
      <w:bookmarkStart w:id="18" w:name="_Toc222027581"/>
      <w:bookmarkStart w:id="19" w:name="_Toc211328551"/>
      <w:r>
        <w:rPr>
          <w:rStyle w:val="CharSectno"/>
        </w:rPr>
        <w:t>1</w:t>
      </w:r>
      <w:bookmarkStart w:id="20" w:name="_GoBack"/>
      <w:bookmarkEnd w:id="20"/>
      <w:r>
        <w:t>.</w:t>
      </w:r>
      <w:r>
        <w:tab/>
        <w:t>Citation</w:t>
      </w:r>
      <w:bookmarkEnd w:id="11"/>
      <w:bookmarkEnd w:id="12"/>
      <w:bookmarkEnd w:id="13"/>
      <w:bookmarkEnd w:id="14"/>
      <w:bookmarkEnd w:id="15"/>
      <w:bookmarkEnd w:id="16"/>
      <w:bookmarkEnd w:id="17"/>
      <w:bookmarkEnd w:id="18"/>
      <w:bookmarkEnd w:id="19"/>
    </w:p>
    <w:p>
      <w:pPr>
        <w:pStyle w:val="Subsection"/>
        <w:rPr>
          <w:i/>
        </w:rPr>
      </w:pPr>
      <w:r>
        <w:tab/>
      </w:r>
      <w:r>
        <w:tab/>
      </w:r>
      <w:bookmarkStart w:id="21" w:name="Start_Cursor"/>
      <w:bookmarkEnd w:id="21"/>
      <w:r>
        <w:rPr>
          <w:spacing w:val="-2"/>
        </w:rPr>
        <w:t>These</w:t>
      </w:r>
      <w:r>
        <w:t xml:space="preserve"> </w:t>
      </w:r>
      <w:r>
        <w:rPr>
          <w:spacing w:val="-2"/>
        </w:rPr>
        <w:t>regulations</w:t>
      </w:r>
      <w:r>
        <w:t xml:space="preserve"> may be cited as the </w:t>
      </w:r>
      <w:r>
        <w:rPr>
          <w:i/>
          <w:iCs/>
        </w:rPr>
        <w:t>Planning and Development</w:t>
      </w:r>
      <w:r>
        <w:rPr>
          <w:i/>
        </w:rPr>
        <w:t xml:space="preserve"> (Local Government Planning Fees) Regulations 2000</w:t>
      </w:r>
      <w:r>
        <w:rPr>
          <w:iCs/>
        </w:rPr>
        <w:t xml:space="preserve"> </w:t>
      </w:r>
      <w:r>
        <w:rPr>
          <w:iCs/>
          <w:vertAlign w:val="superscript"/>
        </w:rPr>
        <w:t>1</w:t>
      </w:r>
      <w:r>
        <w:rPr>
          <w:i/>
        </w:rPr>
        <w:t>.</w:t>
      </w:r>
    </w:p>
    <w:p>
      <w:pPr>
        <w:pStyle w:val="Footnotesection"/>
      </w:pPr>
      <w:r>
        <w:tab/>
        <w:t>[Regulation 1 amended in Gazette 8 Jun 2007 p. 2632.]</w:t>
      </w:r>
    </w:p>
    <w:p>
      <w:pPr>
        <w:pStyle w:val="Heading5"/>
        <w:rPr>
          <w:spacing w:val="-2"/>
        </w:rPr>
      </w:pPr>
      <w:bookmarkStart w:id="22" w:name="_Toc423332723"/>
      <w:bookmarkStart w:id="23" w:name="_Toc425219442"/>
      <w:bookmarkStart w:id="24" w:name="_Toc426249309"/>
      <w:bookmarkStart w:id="25" w:name="_Toc449924705"/>
      <w:bookmarkStart w:id="26" w:name="_Toc449947723"/>
      <w:bookmarkStart w:id="27" w:name="_Toc454185714"/>
      <w:bookmarkStart w:id="28" w:name="_Toc501877480"/>
      <w:bookmarkStart w:id="29" w:name="_Toc222027582"/>
      <w:bookmarkStart w:id="30" w:name="_Toc211328552"/>
      <w:r>
        <w:rPr>
          <w:rStyle w:val="CharSectno"/>
        </w:rPr>
        <w:t>2</w:t>
      </w:r>
      <w:r>
        <w:rPr>
          <w:spacing w:val="-2"/>
        </w:rPr>
        <w:t>.</w:t>
      </w:r>
      <w:r>
        <w:rPr>
          <w:spacing w:val="-2"/>
        </w:rPr>
        <w:tab/>
        <w:t>Commencement</w:t>
      </w:r>
      <w:bookmarkEnd w:id="22"/>
      <w:bookmarkEnd w:id="23"/>
      <w:bookmarkEnd w:id="24"/>
      <w:bookmarkEnd w:id="25"/>
      <w:bookmarkEnd w:id="26"/>
      <w:bookmarkEnd w:id="27"/>
      <w:bookmarkEnd w:id="28"/>
      <w:bookmarkEnd w:id="29"/>
      <w:bookmarkEnd w:id="30"/>
    </w:p>
    <w:p>
      <w:pPr>
        <w:pStyle w:val="Subsection"/>
      </w:pPr>
      <w:r>
        <w:rPr>
          <w:spacing w:val="-2"/>
        </w:rPr>
        <w:tab/>
      </w:r>
      <w:r>
        <w:rPr>
          <w:spacing w:val="-2"/>
        </w:rPr>
        <w:tab/>
        <w:t xml:space="preserve">These regulations come into operation on the day on which the </w:t>
      </w:r>
      <w:r>
        <w:rPr>
          <w:i/>
          <w:spacing w:val="-2"/>
        </w:rPr>
        <w:t>Planning Legislation Amendment Act 1999</w:t>
      </w:r>
      <w:r>
        <w:rPr>
          <w:spacing w:val="-2"/>
        </w:rPr>
        <w:t xml:space="preserve"> comes into operation</w:t>
      </w:r>
      <w:ins w:id="31" w:author="Master Repository Process" w:date="2021-09-11T17:07:00Z">
        <w:r>
          <w:rPr>
            <w:iCs/>
          </w:rPr>
          <w:t> </w:t>
        </w:r>
        <w:r>
          <w:rPr>
            <w:iCs/>
            <w:vertAlign w:val="superscript"/>
          </w:rPr>
          <w:t>1</w:t>
        </w:r>
      </w:ins>
      <w:r>
        <w:t>.</w:t>
      </w:r>
    </w:p>
    <w:p>
      <w:pPr>
        <w:pStyle w:val="Heading5"/>
      </w:pPr>
      <w:bookmarkStart w:id="32" w:name="_Toc501877481"/>
      <w:bookmarkStart w:id="33" w:name="_Toc211328553"/>
      <w:bookmarkStart w:id="34" w:name="_Toc222027583"/>
      <w:r>
        <w:rPr>
          <w:rStyle w:val="CharSectno"/>
        </w:rPr>
        <w:t>3</w:t>
      </w:r>
      <w:r>
        <w:t>.</w:t>
      </w:r>
      <w:r>
        <w:tab/>
      </w:r>
      <w:del w:id="35" w:author="Master Repository Process" w:date="2021-09-11T17:07:00Z">
        <w:r>
          <w:delText>Interpretation</w:delText>
        </w:r>
      </w:del>
      <w:bookmarkEnd w:id="32"/>
      <w:bookmarkEnd w:id="33"/>
      <w:ins w:id="36" w:author="Master Repository Process" w:date="2021-09-11T17:07:00Z">
        <w:r>
          <w:t>Terms used</w:t>
        </w:r>
      </w:ins>
      <w:bookmarkEnd w:id="34"/>
    </w:p>
    <w:p>
      <w:pPr>
        <w:pStyle w:val="Subsection"/>
      </w:pPr>
      <w:r>
        <w:tab/>
      </w:r>
      <w:r>
        <w:tab/>
        <w:t xml:space="preserve">In these regulations — </w:t>
      </w:r>
    </w:p>
    <w:p>
      <w:pPr>
        <w:pStyle w:val="Defstart"/>
      </w:pPr>
      <w:r>
        <w:tab/>
      </w:r>
      <w:r>
        <w:rPr>
          <w:rStyle w:val="CharDefText"/>
        </w:rPr>
        <w:t>applicant</w:t>
      </w:r>
      <w:r>
        <w:t xml:space="preserve"> includes a person making a request;</w:t>
      </w:r>
    </w:p>
    <w:p>
      <w:pPr>
        <w:pStyle w:val="Defstart"/>
      </w:pPr>
      <w:r>
        <w:tab/>
      </w:r>
      <w:r>
        <w:rPr>
          <w:rStyle w:val="CharDefText"/>
        </w:rPr>
        <w:t>fee</w:t>
      </w:r>
      <w:r>
        <w:t xml:space="preserve"> includes charge;</w:t>
      </w:r>
    </w:p>
    <w:p>
      <w:pPr>
        <w:pStyle w:val="Defstart"/>
      </w:pPr>
      <w:r>
        <w:tab/>
      </w:r>
      <w:r>
        <w:rPr>
          <w:rStyle w:val="CharDefText"/>
        </w:rPr>
        <w:t>issue</w:t>
      </w:r>
      <w:r>
        <w:t xml:space="preserve"> includes grant or give;</w:t>
      </w:r>
    </w:p>
    <w:p>
      <w:pPr>
        <w:pStyle w:val="Defstart"/>
      </w:pPr>
      <w:r>
        <w:tab/>
      </w:r>
      <w:r>
        <w:rPr>
          <w:rStyle w:val="CharDefText"/>
        </w:rPr>
        <w:t>Panel</w:t>
      </w:r>
      <w:r>
        <w:t xml:space="preserve"> means a Fees Arbitration Panel appointed under regulation 11;</w:t>
      </w:r>
    </w:p>
    <w:p>
      <w:pPr>
        <w:pStyle w:val="Defstart"/>
      </w:pPr>
      <w:r>
        <w:tab/>
      </w:r>
      <w:r>
        <w:rPr>
          <w:rStyle w:val="CharDefText"/>
        </w:rPr>
        <w:t>structure plan</w:t>
      </w:r>
      <w:r>
        <w:t xml:space="preserve"> means a plan, however described in a local planning scheme, for the coordination of subdivision and development.</w:t>
      </w:r>
    </w:p>
    <w:p>
      <w:pPr>
        <w:pStyle w:val="Footnotesection"/>
      </w:pPr>
      <w:bookmarkStart w:id="37" w:name="endcomma"/>
      <w:bookmarkStart w:id="38" w:name="_Toc501877482"/>
      <w:bookmarkEnd w:id="37"/>
      <w:r>
        <w:tab/>
        <w:t>[Regulation 3 amended in Gazette 8 Jun 2007 p. 2632.]</w:t>
      </w:r>
    </w:p>
    <w:p>
      <w:pPr>
        <w:pStyle w:val="Heading5"/>
      </w:pPr>
      <w:bookmarkStart w:id="39" w:name="_Toc222027584"/>
      <w:bookmarkStart w:id="40" w:name="_Toc211328554"/>
      <w:r>
        <w:rPr>
          <w:rStyle w:val="CharSectno"/>
        </w:rPr>
        <w:t>4</w:t>
      </w:r>
      <w:r>
        <w:t>.</w:t>
      </w:r>
      <w:r>
        <w:tab/>
        <w:t>Services for which fees may be imposed</w:t>
      </w:r>
      <w:bookmarkEnd w:id="38"/>
      <w:bookmarkEnd w:id="39"/>
      <w:bookmarkEnd w:id="40"/>
    </w:p>
    <w:p>
      <w:pPr>
        <w:pStyle w:val="Subsection"/>
      </w:pPr>
      <w:r>
        <w:tab/>
        <w:t>(1)</w:t>
      </w:r>
      <w:r>
        <w:tab/>
        <w:t xml:space="preserve">A local government may impose a fee in respect of the following services provided by the local government — </w:t>
      </w:r>
    </w:p>
    <w:p>
      <w:pPr>
        <w:pStyle w:val="Indenta"/>
      </w:pPr>
      <w:r>
        <w:tab/>
        <w:t>(a)</w:t>
      </w:r>
      <w:r>
        <w:tab/>
        <w:t>determination of a development application;</w:t>
      </w:r>
    </w:p>
    <w:p>
      <w:pPr>
        <w:pStyle w:val="Indenta"/>
      </w:pPr>
      <w:r>
        <w:tab/>
        <w:t>(b)</w:t>
      </w:r>
      <w:r>
        <w:tab/>
        <w:t>provision of a subdivision clearance;</w:t>
      </w:r>
    </w:p>
    <w:p>
      <w:pPr>
        <w:pStyle w:val="Indenta"/>
      </w:pPr>
      <w:r>
        <w:tab/>
        <w:t>(c)</w:t>
      </w:r>
      <w:r>
        <w:tab/>
        <w:t>determination of an application for a home occupation approval;</w:t>
      </w:r>
    </w:p>
    <w:p>
      <w:pPr>
        <w:pStyle w:val="Indenta"/>
      </w:pPr>
      <w:r>
        <w:tab/>
        <w:t>(d)</w:t>
      </w:r>
      <w:r>
        <w:tab/>
        <w:t>determination of an application for a change of use or for a change or continuation of a non</w:t>
      </w:r>
      <w:r>
        <w:noBreakHyphen/>
        <w:t>conforming use;</w:t>
      </w:r>
    </w:p>
    <w:p>
      <w:pPr>
        <w:pStyle w:val="Indenta"/>
      </w:pPr>
      <w:r>
        <w:tab/>
        <w:t>(e)</w:t>
      </w:r>
      <w:r>
        <w:tab/>
        <w:t>provision of a zoning certificate;</w:t>
      </w:r>
    </w:p>
    <w:p>
      <w:pPr>
        <w:pStyle w:val="Indenta"/>
      </w:pPr>
      <w:r>
        <w:tab/>
        <w:t>(f)</w:t>
      </w:r>
      <w:r>
        <w:tab/>
        <w:t>a reply to a property settlement questionnaire;</w:t>
      </w:r>
    </w:p>
    <w:p>
      <w:pPr>
        <w:pStyle w:val="Indenta"/>
      </w:pPr>
      <w:r>
        <w:tab/>
        <w:t>(g)</w:t>
      </w:r>
      <w:r>
        <w:tab/>
        <w:t>written planning advice;</w:t>
      </w:r>
    </w:p>
    <w:p>
      <w:pPr>
        <w:pStyle w:val="Indenta"/>
      </w:pPr>
      <w:r>
        <w:tab/>
        <w:t>(h)</w:t>
      </w:r>
      <w:r>
        <w:tab/>
        <w:t>services provided by the local government pursuant to a request for a local planning scheme amendment;</w:t>
      </w:r>
    </w:p>
    <w:p>
      <w:pPr>
        <w:pStyle w:val="Indenta"/>
      </w:pPr>
      <w:r>
        <w:tab/>
        <w:t>(i)</w:t>
      </w:r>
      <w:r>
        <w:tab/>
        <w:t>services provided by the local government pursuant to a request for adoption of a structure plan provided by the applicant.</w:t>
      </w:r>
    </w:p>
    <w:p>
      <w:pPr>
        <w:pStyle w:val="Subsection"/>
      </w:pPr>
      <w:r>
        <w:tab/>
        <w:t>(2)</w:t>
      </w:r>
      <w:r>
        <w:tab/>
        <w:t>No fee is payable for or in relation to services provided pursuant to a request for a local planning scheme amendment where the sole purpose of the amendment requested is to render a local planning scheme prepared or adopted by the local government consistent with the Metropolitan Region Scheme or a region planning scheme.</w:t>
      </w:r>
    </w:p>
    <w:p>
      <w:pPr>
        <w:pStyle w:val="Footnotesection"/>
      </w:pPr>
      <w:bookmarkStart w:id="41" w:name="_Toc501877483"/>
      <w:r>
        <w:tab/>
        <w:t>[Regulation 4 amended in Gazette 8 Jun 2007 p. 2632 and 2635.]</w:t>
      </w:r>
    </w:p>
    <w:p>
      <w:pPr>
        <w:pStyle w:val="Heading5"/>
        <w:keepLines w:val="0"/>
      </w:pPr>
      <w:bookmarkStart w:id="42" w:name="_Toc222027585"/>
      <w:bookmarkStart w:id="43" w:name="_Toc211328555"/>
      <w:r>
        <w:rPr>
          <w:rStyle w:val="CharSectno"/>
        </w:rPr>
        <w:t>5</w:t>
      </w:r>
      <w:r>
        <w:t>.</w:t>
      </w:r>
      <w:r>
        <w:tab/>
        <w:t>Maximum fees for services in relation to certain planning matters</w:t>
      </w:r>
      <w:bookmarkEnd w:id="41"/>
      <w:bookmarkEnd w:id="42"/>
      <w:bookmarkEnd w:id="43"/>
    </w:p>
    <w:p>
      <w:pPr>
        <w:pStyle w:val="Subsection"/>
        <w:keepNext/>
      </w:pPr>
      <w:r>
        <w:tab/>
        <w:t>(1)</w:t>
      </w:r>
      <w:r>
        <w:tab/>
        <w:t xml:space="preserve">Subject to regulation 16, the fees set out in Schedule 1 Part 1 are the maximum fees that may be imposed by a local government for or in relation to the following services — </w:t>
      </w:r>
    </w:p>
    <w:p>
      <w:pPr>
        <w:pStyle w:val="Indenta"/>
      </w:pPr>
      <w:r>
        <w:tab/>
        <w:t>(a)</w:t>
      </w:r>
      <w:r>
        <w:tab/>
        <w:t>determination of a development application;</w:t>
      </w:r>
    </w:p>
    <w:p>
      <w:pPr>
        <w:pStyle w:val="Indenta"/>
      </w:pPr>
      <w:r>
        <w:tab/>
        <w:t>(b)</w:t>
      </w:r>
      <w:r>
        <w:tab/>
        <w:t>provision of a subdivision clearance;</w:t>
      </w:r>
    </w:p>
    <w:p>
      <w:pPr>
        <w:pStyle w:val="Indenta"/>
      </w:pPr>
      <w:r>
        <w:tab/>
        <w:t>(c)</w:t>
      </w:r>
      <w:r>
        <w:tab/>
        <w:t>determination of an application for a home occupation approval;</w:t>
      </w:r>
    </w:p>
    <w:p>
      <w:pPr>
        <w:pStyle w:val="Indenta"/>
      </w:pPr>
      <w:r>
        <w:tab/>
        <w:t>(d)</w:t>
      </w:r>
      <w:r>
        <w:tab/>
        <w:t xml:space="preserve">determination of an application for a change of use or for a change or continuation of a </w:t>
      </w:r>
      <w:del w:id="44" w:author="Master Repository Process" w:date="2021-09-11T17:07:00Z">
        <w:r>
          <w:delText xml:space="preserve">of </w:delText>
        </w:r>
      </w:del>
      <w:r>
        <w:t>non</w:t>
      </w:r>
      <w:r>
        <w:noBreakHyphen/>
        <w:t>conforming use;</w:t>
      </w:r>
    </w:p>
    <w:p>
      <w:pPr>
        <w:pStyle w:val="Indenta"/>
      </w:pPr>
      <w:r>
        <w:tab/>
        <w:t>(e)</w:t>
      </w:r>
      <w:r>
        <w:tab/>
        <w:t>provision of a zoning certificate;</w:t>
      </w:r>
    </w:p>
    <w:p>
      <w:pPr>
        <w:pStyle w:val="Indenta"/>
      </w:pPr>
      <w:r>
        <w:tab/>
        <w:t>(f)</w:t>
      </w:r>
      <w:r>
        <w:tab/>
        <w:t>a reply to a property settlement questionnaire;</w:t>
      </w:r>
    </w:p>
    <w:p>
      <w:pPr>
        <w:pStyle w:val="Indenta"/>
      </w:pPr>
      <w:r>
        <w:tab/>
        <w:t>(g)</w:t>
      </w:r>
      <w:r>
        <w:tab/>
        <w:t>written planning advice.</w:t>
      </w:r>
    </w:p>
    <w:p>
      <w:pPr>
        <w:pStyle w:val="Subsection"/>
      </w:pPr>
      <w:r>
        <w:tab/>
        <w:t>(2)</w:t>
      </w:r>
      <w:r>
        <w:tab/>
        <w:t>A fee referred to in subregulation (1) is to be paid by an applicant when the application or request is made.</w:t>
      </w:r>
    </w:p>
    <w:p>
      <w:pPr>
        <w:pStyle w:val="Heading5"/>
      </w:pPr>
      <w:bookmarkStart w:id="45" w:name="_Toc501877484"/>
      <w:bookmarkStart w:id="46" w:name="_Toc222027586"/>
      <w:bookmarkStart w:id="47" w:name="_Toc211328556"/>
      <w:r>
        <w:rPr>
          <w:rStyle w:val="CharSectno"/>
        </w:rPr>
        <w:t>6</w:t>
      </w:r>
      <w:r>
        <w:t>.</w:t>
      </w:r>
      <w:r>
        <w:tab/>
        <w:t>Maximum fees for services in relation to scheme amendments and structure plans</w:t>
      </w:r>
      <w:bookmarkEnd w:id="45"/>
      <w:bookmarkEnd w:id="46"/>
      <w:bookmarkEnd w:id="47"/>
    </w:p>
    <w:p>
      <w:pPr>
        <w:pStyle w:val="Subsection"/>
      </w:pPr>
      <w:r>
        <w:tab/>
        <w:t>(1)</w:t>
      </w:r>
      <w:r>
        <w:tab/>
        <w:t>Subject to regulation 16, the fees set out in Schedule 1 Part 2 are the maximum fees that may be imposed by a local government for or in relation to services provided by the local government pursuant to a request for a local planning scheme amendment.</w:t>
      </w:r>
    </w:p>
    <w:p>
      <w:pPr>
        <w:pStyle w:val="Subsection"/>
      </w:pPr>
      <w:r>
        <w:tab/>
        <w:t>(2)</w:t>
      </w:r>
      <w:r>
        <w:tab/>
        <w:t>Subject to regulation 16, the fees set out in Schedule 1 Part 3 are the maximum fees that may be imposed by a local government for or in relation to services provided by the local government pursuant to a request for adoption of a structure plan provided by the applicant.</w:t>
      </w:r>
    </w:p>
    <w:p>
      <w:pPr>
        <w:pStyle w:val="Subsection"/>
      </w:pPr>
      <w:r>
        <w:tab/>
        <w:t>(3)</w:t>
      </w:r>
      <w:r>
        <w:tab/>
        <w:t>A fee referred to in subregulation (1) or (2) is to be calculated by the local government and included in a bill to be paid by the applicant when the request is made.</w:t>
      </w:r>
    </w:p>
    <w:p>
      <w:pPr>
        <w:pStyle w:val="Subsection"/>
        <w:keepNext/>
      </w:pPr>
      <w:r>
        <w:tab/>
        <w:t>(4)</w:t>
      </w:r>
      <w:r>
        <w:tab/>
        <w:t xml:space="preserve">If the local government decides — </w:t>
      </w:r>
    </w:p>
    <w:p>
      <w:pPr>
        <w:pStyle w:val="Indenta"/>
      </w:pPr>
      <w:r>
        <w:tab/>
        <w:t>(a)</w:t>
      </w:r>
      <w:r>
        <w:tab/>
        <w:t>not to initiate the local planning scheme amendment or the adoption of a structure plan; or</w:t>
      </w:r>
    </w:p>
    <w:p>
      <w:pPr>
        <w:pStyle w:val="Indenta"/>
      </w:pPr>
      <w:r>
        <w:tab/>
        <w:t>(b)</w:t>
      </w:r>
      <w:r>
        <w:tab/>
        <w:t>to discontinue the preparation or adoption of a local planning scheme amendment or the adoption of a structure plan,</w:t>
      </w:r>
    </w:p>
    <w:p>
      <w:pPr>
        <w:pStyle w:val="Subsection"/>
      </w:pPr>
      <w:r>
        <w:tab/>
      </w:r>
      <w:r>
        <w:tab/>
        <w:t>moneys paid by the applicant to the local government for the planning service and not expended by the local government on the provision of that service are to be refunded to the applicant.</w:t>
      </w:r>
    </w:p>
    <w:p>
      <w:pPr>
        <w:pStyle w:val="Footnotesection"/>
      </w:pPr>
      <w:bookmarkStart w:id="48" w:name="_Toc501877485"/>
      <w:r>
        <w:tab/>
        <w:t>[Regulation 6 amended in Gazette 8 Jun 2007 p. </w:t>
      </w:r>
      <w:del w:id="49" w:author="Master Repository Process" w:date="2021-09-11T17:07:00Z">
        <w:r>
          <w:delText xml:space="preserve"> </w:delText>
        </w:r>
      </w:del>
      <w:r>
        <w:t>2635.]</w:t>
      </w:r>
    </w:p>
    <w:p>
      <w:pPr>
        <w:pStyle w:val="Heading5"/>
      </w:pPr>
      <w:bookmarkStart w:id="50" w:name="_Toc222027587"/>
      <w:bookmarkStart w:id="51" w:name="_Toc211328557"/>
      <w:r>
        <w:rPr>
          <w:rStyle w:val="CharSectno"/>
        </w:rPr>
        <w:t>7</w:t>
      </w:r>
      <w:r>
        <w:t>.</w:t>
      </w:r>
      <w:r>
        <w:tab/>
        <w:t>How fees may be reduced</w:t>
      </w:r>
      <w:bookmarkEnd w:id="48"/>
      <w:bookmarkEnd w:id="50"/>
      <w:bookmarkEnd w:id="51"/>
    </w:p>
    <w:p>
      <w:pPr>
        <w:pStyle w:val="Subsection"/>
      </w:pPr>
      <w:r>
        <w:tab/>
        <w:t>(1)</w:t>
      </w:r>
      <w:r>
        <w:tab/>
        <w:t>A local government may, in respect of a service prescribed under Schedule 1 Part 1, impose a fee that is less than the maximum fee prescribed in respect of that service.</w:t>
      </w:r>
    </w:p>
    <w:p>
      <w:pPr>
        <w:pStyle w:val="Subsection"/>
      </w:pPr>
      <w:r>
        <w:tab/>
        <w:t>(2)</w:t>
      </w:r>
      <w:r>
        <w:tab/>
        <w:t xml:space="preserve">A local government may impose a fee that is less than the maximum fee prescribed in respect of the services provided by the local government pursuant to a request for a local planning scheme amendment or adoption of a structure plan by — </w:t>
      </w:r>
    </w:p>
    <w:p>
      <w:pPr>
        <w:pStyle w:val="Indenta"/>
      </w:pPr>
      <w:r>
        <w:tab/>
        <w:t>(a)</w:t>
      </w:r>
      <w:r>
        <w:tab/>
        <w:t>reducing the relevant hourly rate specified under Schedule 1 Part 2 or Schedule 1 Part 3; or</w:t>
      </w:r>
    </w:p>
    <w:p>
      <w:pPr>
        <w:pStyle w:val="Indenta"/>
      </w:pPr>
      <w:r>
        <w:tab/>
        <w:t>(b)</w:t>
      </w:r>
      <w:r>
        <w:tab/>
        <w:t>reducing the total fee calculated under Schedule 1 Part 2 or Schedule 1 Part 3.</w:t>
      </w:r>
    </w:p>
    <w:p>
      <w:pPr>
        <w:pStyle w:val="Footnotesection"/>
      </w:pPr>
      <w:bookmarkStart w:id="52" w:name="_Toc501877486"/>
      <w:r>
        <w:tab/>
        <w:t>[Regulation 7 amended in Gazette 8 Jun 2007 p.  2635.]</w:t>
      </w:r>
    </w:p>
    <w:p>
      <w:pPr>
        <w:pStyle w:val="Heading5"/>
      </w:pPr>
      <w:bookmarkStart w:id="53" w:name="_Toc222027588"/>
      <w:bookmarkStart w:id="54" w:name="_Toc211328558"/>
      <w:r>
        <w:rPr>
          <w:rStyle w:val="CharSectno"/>
        </w:rPr>
        <w:t>8</w:t>
      </w:r>
      <w:r>
        <w:t>.</w:t>
      </w:r>
      <w:r>
        <w:tab/>
        <w:t>Costs and expenses</w:t>
      </w:r>
      <w:bookmarkEnd w:id="52"/>
      <w:bookmarkEnd w:id="53"/>
      <w:bookmarkEnd w:id="54"/>
    </w:p>
    <w:p>
      <w:pPr>
        <w:pStyle w:val="Subsection"/>
      </w:pPr>
      <w:r>
        <w:tab/>
        <w:t>(1)</w:t>
      </w:r>
      <w:r>
        <w:tab/>
        <w:t xml:space="preserve">The following costs and expenses, if incurred by a local government in providing a service referred to in regulation 5(1)(a) to (d) or regulation 6, are payable by the applicant in addition to the fee for the provision of the service — </w:t>
      </w:r>
    </w:p>
    <w:p>
      <w:pPr>
        <w:pStyle w:val="Indenta"/>
      </w:pPr>
      <w:r>
        <w:tab/>
        <w:t>(a)</w:t>
      </w:r>
      <w:r>
        <w:tab/>
        <w:t>costs and expenses of advertising the application and advertising matters related to the application;</w:t>
      </w:r>
    </w:p>
    <w:p>
      <w:pPr>
        <w:pStyle w:val="Indenta"/>
      </w:pPr>
      <w:r>
        <w:tab/>
        <w:t>(b)</w:t>
      </w:r>
      <w:r>
        <w:tab/>
        <w:t>costs and expenses of any specific assessment that is required in relation to the application, for example, environmental assessment;</w:t>
      </w:r>
    </w:p>
    <w:p>
      <w:pPr>
        <w:pStyle w:val="Indenta"/>
      </w:pPr>
      <w:r>
        <w:tab/>
        <w:t>(c)</w:t>
      </w:r>
      <w:r>
        <w:tab/>
        <w:t>costs and expenses of consultation procedures required in relation to the application;</w:t>
      </w:r>
    </w:p>
    <w:p>
      <w:pPr>
        <w:pStyle w:val="Indenta"/>
      </w:pPr>
      <w:r>
        <w:tab/>
        <w:t>(d)</w:t>
      </w:r>
      <w:r>
        <w:tab/>
        <w:t>costs and expenses of technical resources and equipment such as computer modelling;</w:t>
      </w:r>
    </w:p>
    <w:p>
      <w:pPr>
        <w:pStyle w:val="Indenta"/>
      </w:pPr>
      <w:r>
        <w:tab/>
        <w:t>(e)</w:t>
      </w:r>
      <w:r>
        <w:tab/>
        <w:t>costs and expenses of specialist advice required in relation to the application, for example, advice in relation to heritage matters.</w:t>
      </w:r>
    </w:p>
    <w:p>
      <w:pPr>
        <w:pStyle w:val="Subsection"/>
      </w:pPr>
      <w:r>
        <w:tab/>
        <w:t>(2)</w:t>
      </w:r>
      <w:r>
        <w:tab/>
        <w:t xml:space="preserve">A local government may, by a bill given to the applicant — </w:t>
      </w:r>
    </w:p>
    <w:p>
      <w:pPr>
        <w:pStyle w:val="Indenta"/>
      </w:pPr>
      <w:r>
        <w:tab/>
        <w:t>(a)</w:t>
      </w:r>
      <w:r>
        <w:tab/>
        <w:t>require an applicant to pay estimated costs and expenses that may be incurred by the local government before the costs and expenses are actually incurred; or</w:t>
      </w:r>
    </w:p>
    <w:p>
      <w:pPr>
        <w:pStyle w:val="Indenta"/>
      </w:pPr>
      <w:r>
        <w:tab/>
        <w:t>(b)</w:t>
      </w:r>
      <w:r>
        <w:tab/>
        <w:t>require the applicant to pay the actual costs and expenses after the costs and expenses are incurred.</w:t>
      </w:r>
    </w:p>
    <w:p>
      <w:pPr>
        <w:pStyle w:val="Subsection"/>
      </w:pPr>
      <w:r>
        <w:tab/>
        <w:t>(3)</w:t>
      </w:r>
      <w:r>
        <w:tab/>
        <w:t>Any moneys paid in advance by an applicant to a local government for estimated costs or expenses referred to in subregulation (1) that are not incurred by the local government are to be refunded to the applicant on the completion of the service.</w:t>
      </w:r>
    </w:p>
    <w:p>
      <w:pPr>
        <w:pStyle w:val="Footnotesection"/>
      </w:pPr>
      <w:bookmarkStart w:id="55" w:name="_Toc501877487"/>
      <w:r>
        <w:tab/>
        <w:t>[Regulation 8 amended in Gazette 8 Jun 2007 p. 2633.]</w:t>
      </w:r>
    </w:p>
    <w:p>
      <w:pPr>
        <w:pStyle w:val="Heading5"/>
      </w:pPr>
      <w:bookmarkStart w:id="56" w:name="_Toc222027589"/>
      <w:bookmarkStart w:id="57" w:name="_Toc211328559"/>
      <w:r>
        <w:rPr>
          <w:rStyle w:val="CharSectno"/>
        </w:rPr>
        <w:t>9</w:t>
      </w:r>
      <w:r>
        <w:t>.</w:t>
      </w:r>
      <w:r>
        <w:tab/>
        <w:t>Itemised account to be provided on request</w:t>
      </w:r>
      <w:bookmarkEnd w:id="55"/>
      <w:bookmarkEnd w:id="56"/>
      <w:bookmarkEnd w:id="57"/>
    </w:p>
    <w:p>
      <w:pPr>
        <w:pStyle w:val="Subsection"/>
      </w:pPr>
      <w:r>
        <w:tab/>
      </w:r>
      <w:r>
        <w:tab/>
        <w:t xml:space="preserve">If an applicant so requests, a local government is to give to the applicant an itemised account of — </w:t>
      </w:r>
    </w:p>
    <w:p>
      <w:pPr>
        <w:pStyle w:val="Indenta"/>
      </w:pPr>
      <w:r>
        <w:tab/>
        <w:t>(a)</w:t>
      </w:r>
      <w:r>
        <w:tab/>
        <w:t>any bill that has been given to the applicant by the local government for services referred to in regulation 6; or</w:t>
      </w:r>
    </w:p>
    <w:p>
      <w:pPr>
        <w:pStyle w:val="Indenta"/>
      </w:pPr>
      <w:r>
        <w:tab/>
        <w:t>(b)</w:t>
      </w:r>
      <w:r>
        <w:tab/>
        <w:t>any bill that has been given to the applicant by the local government for costs and expenses referred to in regulation 8.</w:t>
      </w:r>
    </w:p>
    <w:p>
      <w:pPr>
        <w:pStyle w:val="Heading5"/>
      </w:pPr>
      <w:bookmarkStart w:id="58" w:name="_Toc501877488"/>
      <w:bookmarkStart w:id="59" w:name="_Toc222027590"/>
      <w:bookmarkStart w:id="60" w:name="_Toc211328560"/>
      <w:r>
        <w:rPr>
          <w:rStyle w:val="CharSectno"/>
        </w:rPr>
        <w:t>10</w:t>
      </w:r>
      <w:r>
        <w:t>.</w:t>
      </w:r>
      <w:r>
        <w:tab/>
        <w:t>Dispute as to amount payable</w:t>
      </w:r>
      <w:bookmarkEnd w:id="58"/>
      <w:bookmarkEnd w:id="59"/>
      <w:bookmarkEnd w:id="60"/>
    </w:p>
    <w:p>
      <w:pPr>
        <w:pStyle w:val="Subsection"/>
      </w:pPr>
      <w:r>
        <w:tab/>
        <w:t>(1)</w:t>
      </w:r>
      <w:r>
        <w:tab/>
        <w:t xml:space="preserve">If a dispute arises as to an amount payable for or in relation to services to be provided pursuant to a request for — </w:t>
      </w:r>
    </w:p>
    <w:p>
      <w:pPr>
        <w:pStyle w:val="Indenta"/>
      </w:pPr>
      <w:r>
        <w:tab/>
        <w:t>(a)</w:t>
      </w:r>
      <w:r>
        <w:tab/>
        <w:t>a local planning scheme amendment; or</w:t>
      </w:r>
    </w:p>
    <w:p>
      <w:pPr>
        <w:pStyle w:val="Indenta"/>
      </w:pPr>
      <w:r>
        <w:tab/>
        <w:t>(b)</w:t>
      </w:r>
      <w:r>
        <w:tab/>
        <w:t>adoption of a structure plan provided by the applicant,</w:t>
      </w:r>
    </w:p>
    <w:p>
      <w:pPr>
        <w:pStyle w:val="Subsection"/>
      </w:pPr>
      <w:r>
        <w:tab/>
      </w:r>
      <w:r>
        <w:tab/>
        <w:t>the dispute may be referred in writing by the relevant local government or applicant to a Fees Arbitration Panel for its decision which is final.</w:t>
      </w:r>
    </w:p>
    <w:p>
      <w:pPr>
        <w:pStyle w:val="Subsection"/>
      </w:pPr>
      <w:r>
        <w:tab/>
        <w:t>(2)</w:t>
      </w:r>
      <w:r>
        <w:tab/>
        <w:t>The referral of a dispute to a Panel does not affect the provision of the service in respect of which the fee is paid or the requirement to pay that fee, but the Panel may order the local government to refund any part of the fee paid.</w:t>
      </w:r>
    </w:p>
    <w:p>
      <w:pPr>
        <w:pStyle w:val="Footnotesection"/>
      </w:pPr>
      <w:bookmarkStart w:id="61" w:name="_Toc501877489"/>
      <w:r>
        <w:tab/>
        <w:t>[Regulation 10 amended in Gazette 8 Jun 2007 p. 2635.]</w:t>
      </w:r>
    </w:p>
    <w:p>
      <w:pPr>
        <w:pStyle w:val="Heading5"/>
      </w:pPr>
      <w:bookmarkStart w:id="62" w:name="_Toc222027591"/>
      <w:bookmarkStart w:id="63" w:name="_Toc211328561"/>
      <w:r>
        <w:rPr>
          <w:rStyle w:val="CharSectno"/>
        </w:rPr>
        <w:t>11</w:t>
      </w:r>
      <w:r>
        <w:t>.</w:t>
      </w:r>
      <w:r>
        <w:tab/>
        <w:t>Fees Arbitration Panel</w:t>
      </w:r>
      <w:bookmarkEnd w:id="61"/>
      <w:bookmarkEnd w:id="62"/>
      <w:bookmarkEnd w:id="63"/>
    </w:p>
    <w:p>
      <w:pPr>
        <w:pStyle w:val="Subsection"/>
      </w:pPr>
      <w:r>
        <w:tab/>
        <w:t>(1)</w:t>
      </w:r>
      <w:r>
        <w:tab/>
        <w:t xml:space="preserve">A Fees Arbitration Panel is to consist of the following members appointed by the Minister — </w:t>
      </w:r>
    </w:p>
    <w:p>
      <w:pPr>
        <w:pStyle w:val="Indenta"/>
      </w:pPr>
      <w:r>
        <w:tab/>
        <w:t>(a)</w:t>
      </w:r>
      <w:r>
        <w:tab/>
        <w:t>a person nominated by WALGA;</w:t>
      </w:r>
    </w:p>
    <w:p>
      <w:pPr>
        <w:pStyle w:val="Indenta"/>
      </w:pPr>
      <w:r>
        <w:tab/>
        <w:t>(b)</w:t>
      </w:r>
      <w:r>
        <w:tab/>
        <w:t>a person nominated by the Commission;</w:t>
      </w:r>
    </w:p>
    <w:p>
      <w:pPr>
        <w:pStyle w:val="Indenta"/>
      </w:pPr>
      <w:r>
        <w:tab/>
        <w:t>(c)</w:t>
      </w:r>
      <w:r>
        <w:tab/>
        <w:t>a planning consultant nominated by the Royal Australian Planning Institute;</w:t>
      </w:r>
    </w:p>
    <w:p>
      <w:pPr>
        <w:pStyle w:val="Indenta"/>
      </w:pPr>
      <w:r>
        <w:tab/>
        <w:t>(d)</w:t>
      </w:r>
      <w:r>
        <w:tab/>
        <w:t>a person selected by the Minister from a panel of names submitted by industry planning groups under subregulation (2).</w:t>
      </w:r>
    </w:p>
    <w:p>
      <w:pPr>
        <w:pStyle w:val="Subsection"/>
      </w:pPr>
      <w:r>
        <w:tab/>
        <w:t>(2)</w:t>
      </w:r>
      <w:r>
        <w:tab/>
        <w:t>When it is necessary to appoint a person under subregulation (1)(d) the Minister is to request the Housing Industry Association, the Urban Development Institute of Australia, the Property Council of Australia, the Building Designers Association and the Real Estate Institute of Western Australia to each nominate a person for appointment.</w:t>
      </w:r>
    </w:p>
    <w:p>
      <w:pPr>
        <w:pStyle w:val="Subsection"/>
      </w:pPr>
      <w:r>
        <w:tab/>
        <w:t>(3)</w:t>
      </w:r>
      <w:r>
        <w:tab/>
        <w:t>The Minister is to appoint one of the members as chairperson of the Panel.</w:t>
      </w:r>
    </w:p>
    <w:p>
      <w:pPr>
        <w:pStyle w:val="Subsection"/>
      </w:pPr>
      <w:r>
        <w:tab/>
        <w:t>(4)</w:t>
      </w:r>
      <w:r>
        <w:tab/>
        <w:t>The function of a Panel is to determine a dispute referred to it under regulation 10.</w:t>
      </w:r>
    </w:p>
    <w:p>
      <w:pPr>
        <w:pStyle w:val="Footnotesection"/>
      </w:pPr>
      <w:bookmarkStart w:id="64" w:name="_Toc501877490"/>
      <w:r>
        <w:tab/>
        <w:t>[Regulation 11 amended in Gazette 8 Jun 2007 p. 2633.]</w:t>
      </w:r>
    </w:p>
    <w:p>
      <w:pPr>
        <w:pStyle w:val="Heading5"/>
      </w:pPr>
      <w:bookmarkStart w:id="65" w:name="_Toc222027592"/>
      <w:bookmarkStart w:id="66" w:name="_Toc211328562"/>
      <w:r>
        <w:rPr>
          <w:rStyle w:val="CharSectno"/>
        </w:rPr>
        <w:t>12</w:t>
      </w:r>
      <w:r>
        <w:t>.</w:t>
      </w:r>
      <w:r>
        <w:tab/>
        <w:t>Panel meetings</w:t>
      </w:r>
      <w:bookmarkEnd w:id="64"/>
      <w:bookmarkEnd w:id="65"/>
      <w:bookmarkEnd w:id="66"/>
    </w:p>
    <w:p>
      <w:pPr>
        <w:pStyle w:val="Subsection"/>
      </w:pPr>
      <w:r>
        <w:tab/>
        <w:t>(1)</w:t>
      </w:r>
      <w:r>
        <w:tab/>
        <w:t>The Panel may hold a meeting to decide a dispute referred to the Panel.</w:t>
      </w:r>
    </w:p>
    <w:p>
      <w:pPr>
        <w:pStyle w:val="Subsection"/>
      </w:pPr>
      <w:r>
        <w:tab/>
        <w:t>(2)</w:t>
      </w:r>
      <w:r>
        <w:tab/>
        <w:t>The Panel may invite a person to be present at a meeting of the Panel to advise or inform, or make a submission to the Panel.</w:t>
      </w:r>
    </w:p>
    <w:p>
      <w:pPr>
        <w:pStyle w:val="Subsection"/>
      </w:pPr>
      <w:r>
        <w:tab/>
        <w:t>(3)</w:t>
      </w:r>
      <w:r>
        <w:tab/>
        <w:t>The applicant, or a representative of the applicant, and a representative of the local government are entitled to be present whenever a person invited under subregulation (2) is present at a meeting of the Panel.</w:t>
      </w:r>
    </w:p>
    <w:p>
      <w:pPr>
        <w:pStyle w:val="Heading5"/>
      </w:pPr>
      <w:bookmarkStart w:id="67" w:name="_Toc501877491"/>
      <w:bookmarkStart w:id="68" w:name="_Toc222027593"/>
      <w:bookmarkStart w:id="69" w:name="_Toc211328563"/>
      <w:r>
        <w:rPr>
          <w:rStyle w:val="CharSectno"/>
        </w:rPr>
        <w:t>13</w:t>
      </w:r>
      <w:r>
        <w:t>.</w:t>
      </w:r>
      <w:r>
        <w:tab/>
        <w:t>Decisions of the Panel</w:t>
      </w:r>
      <w:bookmarkEnd w:id="67"/>
      <w:bookmarkEnd w:id="68"/>
      <w:bookmarkEnd w:id="69"/>
    </w:p>
    <w:p>
      <w:pPr>
        <w:pStyle w:val="Subsection"/>
      </w:pPr>
      <w:r>
        <w:tab/>
        <w:t>(1)</w:t>
      </w:r>
      <w:r>
        <w:tab/>
        <w:t>A Panel member, including the chairperson, has a single vote on a determination to be made by the Panel and, in the case of an equality of votes, the chairperson also has a casting vote.</w:t>
      </w:r>
    </w:p>
    <w:p>
      <w:pPr>
        <w:pStyle w:val="Subsection"/>
      </w:pPr>
      <w:r>
        <w:tab/>
        <w:t>(2)</w:t>
      </w:r>
      <w:r>
        <w:tab/>
        <w:t>A matter that is to be determined by the Panel must be decided by a majority of votes.</w:t>
      </w:r>
    </w:p>
    <w:p>
      <w:pPr>
        <w:pStyle w:val="Subsection"/>
      </w:pPr>
      <w:r>
        <w:tab/>
        <w:t>(3)</w:t>
      </w:r>
      <w:r>
        <w:tab/>
        <w:t>A determination is a valid determination of the Panel, even though it is not made at a meeting of the Panel, if each member of the Panel agrees in writing to the proposed determination.</w:t>
      </w:r>
    </w:p>
    <w:p>
      <w:pPr>
        <w:pStyle w:val="Heading5"/>
      </w:pPr>
      <w:bookmarkStart w:id="70" w:name="_Toc501877492"/>
      <w:bookmarkStart w:id="71" w:name="_Toc222027594"/>
      <w:bookmarkStart w:id="72" w:name="_Toc211328564"/>
      <w:r>
        <w:rPr>
          <w:rStyle w:val="CharSectno"/>
        </w:rPr>
        <w:t>14</w:t>
      </w:r>
      <w:r>
        <w:t>.</w:t>
      </w:r>
      <w:r>
        <w:tab/>
        <w:t>Local government may waive or refund fee</w:t>
      </w:r>
      <w:bookmarkEnd w:id="70"/>
      <w:bookmarkEnd w:id="71"/>
      <w:bookmarkEnd w:id="72"/>
    </w:p>
    <w:p>
      <w:pPr>
        <w:pStyle w:val="Subsection"/>
      </w:pPr>
      <w:r>
        <w:tab/>
      </w:r>
      <w:r>
        <w:tab/>
        <w:t>A local government may waive or refund, in whole or in part, payment of a fee for a planning service.</w:t>
      </w:r>
    </w:p>
    <w:p>
      <w:pPr>
        <w:pStyle w:val="Heading5"/>
      </w:pPr>
      <w:bookmarkStart w:id="73" w:name="_Toc501877493"/>
      <w:bookmarkStart w:id="74" w:name="_Toc222027595"/>
      <w:bookmarkStart w:id="75" w:name="_Toc211328565"/>
      <w:r>
        <w:rPr>
          <w:rStyle w:val="CharSectno"/>
        </w:rPr>
        <w:t>15</w:t>
      </w:r>
      <w:r>
        <w:t>.</w:t>
      </w:r>
      <w:r>
        <w:tab/>
        <w:t>Performance standards</w:t>
      </w:r>
      <w:bookmarkEnd w:id="73"/>
      <w:bookmarkEnd w:id="74"/>
      <w:bookmarkEnd w:id="75"/>
    </w:p>
    <w:p>
      <w:pPr>
        <w:pStyle w:val="Subsection"/>
      </w:pPr>
      <w:r>
        <w:tab/>
      </w:r>
      <w:r>
        <w:tab/>
        <w:t>Not later than 3 years after the coming into operation of these regulations, each local government is to introduce or adopt performance standards to be met by the local government in relation to the imposition of fees for planning services.</w:t>
      </w:r>
    </w:p>
    <w:p>
      <w:pPr>
        <w:pStyle w:val="Heading5"/>
      </w:pPr>
      <w:bookmarkStart w:id="76" w:name="_Toc501877494"/>
      <w:bookmarkStart w:id="77" w:name="_Toc222027596"/>
      <w:bookmarkStart w:id="78" w:name="_Toc211328566"/>
      <w:r>
        <w:rPr>
          <w:rStyle w:val="CharSectno"/>
        </w:rPr>
        <w:t>16</w:t>
      </w:r>
      <w:r>
        <w:t>.</w:t>
      </w:r>
      <w:r>
        <w:tab/>
        <w:t>Exemption</w:t>
      </w:r>
      <w:bookmarkEnd w:id="76"/>
      <w:bookmarkEnd w:id="77"/>
      <w:bookmarkEnd w:id="78"/>
    </w:p>
    <w:p>
      <w:pPr>
        <w:pStyle w:val="Subsection"/>
      </w:pPr>
      <w:r>
        <w:tab/>
        <w:t>(1)</w:t>
      </w:r>
      <w:r>
        <w:tab/>
        <w:t>The Minister may by notice in writing exempt a local government from the requirement to impose fees in accordance with regulations 5 and 6.</w:t>
      </w:r>
    </w:p>
    <w:p>
      <w:pPr>
        <w:pStyle w:val="Subsection"/>
      </w:pPr>
      <w:r>
        <w:tab/>
        <w:t>(2)</w:t>
      </w:r>
      <w:r>
        <w:tab/>
        <w:t>The notice may be given subject to such conditions as the Minister thinks fit.</w:t>
      </w:r>
    </w:p>
    <w:p>
      <w:pPr>
        <w:pStyle w:val="Subsection"/>
      </w:pPr>
      <w:r>
        <w:tab/>
        <w:t>(3)</w:t>
      </w:r>
      <w:r>
        <w:tab/>
        <w:t>Regulations 5, 6, 7, 8, 9, 10, 14 and 15 do not apply to a local government while a notice given to the local government under subregulation (1) is in force.</w:t>
      </w:r>
    </w:p>
    <w:p>
      <w:pPr>
        <w:pStyle w:val="Subsection"/>
      </w:pPr>
      <w:r>
        <w:tab/>
        <w:t>(4)</w:t>
      </w:r>
      <w:r>
        <w:tab/>
        <w:t>The Minister may by notice in writing revoke or amend a notice given under subregulation (1).</w:t>
      </w:r>
    </w:p>
    <w:p>
      <w:pPr>
        <w:pStyle w:val="Heading5"/>
      </w:pPr>
      <w:bookmarkStart w:id="79" w:name="_Toc501877495"/>
      <w:bookmarkStart w:id="80" w:name="_Toc222027597"/>
      <w:bookmarkStart w:id="81" w:name="_Toc211328567"/>
      <w:r>
        <w:rPr>
          <w:rStyle w:val="CharSectno"/>
        </w:rPr>
        <w:t>17</w:t>
      </w:r>
      <w:r>
        <w:t>.</w:t>
      </w:r>
      <w:r>
        <w:tab/>
        <w:t>Review of regulations</w:t>
      </w:r>
      <w:bookmarkEnd w:id="79"/>
      <w:bookmarkEnd w:id="80"/>
      <w:bookmarkEnd w:id="81"/>
    </w:p>
    <w:p>
      <w:pPr>
        <w:pStyle w:val="Subsection"/>
      </w:pPr>
      <w:r>
        <w:tab/>
        <w:t>(1)</w:t>
      </w:r>
      <w:r>
        <w:tab/>
        <w:t>Not later than 12 months after the coming into operation of these regulations the Minister is to appoint a person or persons to report to the Minister on the operation and effectiveness of the regulations.</w:t>
      </w:r>
    </w:p>
    <w:p>
      <w:pPr>
        <w:pStyle w:val="Subsection"/>
      </w:pPr>
      <w:r>
        <w:tab/>
        <w:t>(2)</w:t>
      </w:r>
      <w:r>
        <w:tab/>
        <w:t>The report is to be made after reasonable endeavours have been made to obtain the views of the public and local governments on the operation and effectiveness of the regulations.</w:t>
      </w:r>
    </w:p>
    <w:p>
      <w:pPr>
        <w:pStyle w:val="Defpara"/>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keepNext w:val="0"/>
      </w:pPr>
      <w:bookmarkStart w:id="82" w:name="_Toc132432306"/>
      <w:bookmarkStart w:id="83" w:name="_Toc132432360"/>
      <w:bookmarkStart w:id="84" w:name="_Toc168988882"/>
      <w:bookmarkStart w:id="85" w:name="_Toc168988913"/>
      <w:bookmarkStart w:id="86" w:name="_Toc168988974"/>
      <w:bookmarkStart w:id="87" w:name="_Toc170620656"/>
      <w:bookmarkStart w:id="88" w:name="_Toc170802080"/>
      <w:bookmarkStart w:id="89" w:name="_Toc211328568"/>
      <w:bookmarkStart w:id="90" w:name="_Toc220465385"/>
      <w:bookmarkStart w:id="91" w:name="_Toc220467431"/>
      <w:bookmarkStart w:id="92" w:name="_Toc222027432"/>
      <w:bookmarkStart w:id="93" w:name="_Toc222027598"/>
      <w:r>
        <w:rPr>
          <w:rStyle w:val="CharSchNo"/>
        </w:rPr>
        <w:t>Schedule 1</w:t>
      </w:r>
      <w:r>
        <w:t xml:space="preserve"> —</w:t>
      </w:r>
      <w:bookmarkStart w:id="94" w:name="AutoSch"/>
      <w:bookmarkEnd w:id="94"/>
      <w:r>
        <w:t xml:space="preserve"> </w:t>
      </w:r>
      <w:r>
        <w:rPr>
          <w:rStyle w:val="CharSchText"/>
        </w:rPr>
        <w:t>Fees for planning services</w:t>
      </w:r>
      <w:bookmarkEnd w:id="82"/>
      <w:bookmarkEnd w:id="83"/>
      <w:bookmarkEnd w:id="84"/>
      <w:bookmarkEnd w:id="85"/>
      <w:bookmarkEnd w:id="86"/>
      <w:bookmarkEnd w:id="87"/>
      <w:bookmarkEnd w:id="88"/>
      <w:bookmarkEnd w:id="89"/>
      <w:bookmarkEnd w:id="90"/>
      <w:bookmarkEnd w:id="91"/>
      <w:bookmarkEnd w:id="92"/>
      <w:bookmarkEnd w:id="93"/>
    </w:p>
    <w:p>
      <w:pPr>
        <w:pStyle w:val="yShoulderClause"/>
        <w:spacing w:before="60"/>
      </w:pPr>
      <w:r>
        <w:t>[r. 5(1)]</w:t>
      </w:r>
    </w:p>
    <w:p>
      <w:pPr>
        <w:pStyle w:val="yHeading2"/>
        <w:spacing w:before="0"/>
      </w:pPr>
      <w:bookmarkStart w:id="95" w:name="_Toc211328569"/>
      <w:bookmarkStart w:id="96" w:name="_Toc220465386"/>
      <w:bookmarkStart w:id="97" w:name="_Toc220467432"/>
      <w:bookmarkStart w:id="98" w:name="_Toc222027433"/>
      <w:bookmarkStart w:id="99" w:name="_Toc222027599"/>
      <w:bookmarkStart w:id="100" w:name="_Toc132432308"/>
      <w:bookmarkStart w:id="101" w:name="_Toc132432362"/>
      <w:bookmarkStart w:id="102" w:name="_Toc168988884"/>
      <w:bookmarkStart w:id="103" w:name="_Toc168988915"/>
      <w:bookmarkStart w:id="104" w:name="_Toc168988976"/>
      <w:bookmarkStart w:id="105" w:name="_Toc170620658"/>
      <w:bookmarkStart w:id="106" w:name="_Toc170802082"/>
      <w:r>
        <w:rPr>
          <w:rStyle w:val="CharSDivNo"/>
        </w:rPr>
        <w:t>Part 1</w:t>
      </w:r>
      <w:r>
        <w:rPr>
          <w:b w:val="0"/>
        </w:rPr>
        <w:t> — </w:t>
      </w:r>
      <w:r>
        <w:rPr>
          <w:rStyle w:val="CharSDivText"/>
        </w:rPr>
        <w:t>Maximum fixed fees</w:t>
      </w:r>
      <w:bookmarkEnd w:id="95"/>
      <w:bookmarkEnd w:id="96"/>
      <w:bookmarkEnd w:id="97"/>
      <w:bookmarkEnd w:id="98"/>
      <w:bookmarkEnd w:id="99"/>
    </w:p>
    <w:p>
      <w:pPr>
        <w:pStyle w:val="yFootnoteheading"/>
        <w:spacing w:after="120"/>
      </w:pPr>
      <w:r>
        <w:tab/>
        <w:t>[Heading inserted in Gazette 10 Oct 2008 p. 4552.]</w:t>
      </w:r>
    </w:p>
    <w:tbl>
      <w:tblPr>
        <w:tblW w:w="7080" w:type="dxa"/>
        <w:tblInd w:w="108" w:type="dxa"/>
        <w:tblLayout w:type="fixed"/>
        <w:tblLook w:val="0000" w:firstRow="0" w:lastRow="0" w:firstColumn="0" w:lastColumn="0" w:noHBand="0" w:noVBand="0"/>
      </w:tblPr>
      <w:tblGrid>
        <w:gridCol w:w="720"/>
        <w:gridCol w:w="3840"/>
        <w:gridCol w:w="2520"/>
      </w:tblGrid>
      <w:tr>
        <w:trPr>
          <w:tblHeader/>
        </w:trPr>
        <w:tc>
          <w:tcPr>
            <w:tcW w:w="720" w:type="dxa"/>
            <w:tcBorders>
              <w:top w:val="single" w:sz="4" w:space="0" w:color="auto"/>
              <w:bottom w:val="single" w:sz="4" w:space="0" w:color="auto"/>
            </w:tcBorders>
          </w:tcPr>
          <w:p>
            <w:pPr>
              <w:pStyle w:val="yTable"/>
              <w:rPr>
                <w:b/>
              </w:rPr>
            </w:pPr>
            <w:r>
              <w:rPr>
                <w:b/>
              </w:rPr>
              <w:t>Item</w:t>
            </w:r>
          </w:p>
        </w:tc>
        <w:tc>
          <w:tcPr>
            <w:tcW w:w="3840" w:type="dxa"/>
            <w:tcBorders>
              <w:top w:val="single" w:sz="4" w:space="0" w:color="auto"/>
              <w:bottom w:val="single" w:sz="4" w:space="0" w:color="auto"/>
            </w:tcBorders>
          </w:tcPr>
          <w:p>
            <w:pPr>
              <w:pStyle w:val="yTable"/>
              <w:rPr>
                <w:b/>
              </w:rPr>
            </w:pPr>
            <w:r>
              <w:rPr>
                <w:b/>
              </w:rPr>
              <w:t>Description of planning service</w:t>
            </w:r>
          </w:p>
        </w:tc>
        <w:tc>
          <w:tcPr>
            <w:tcW w:w="2520" w:type="dxa"/>
            <w:tcBorders>
              <w:top w:val="single" w:sz="4" w:space="0" w:color="auto"/>
              <w:bottom w:val="single" w:sz="4" w:space="0" w:color="auto"/>
            </w:tcBorders>
          </w:tcPr>
          <w:p>
            <w:pPr>
              <w:pStyle w:val="yTable"/>
              <w:rPr>
                <w:b/>
              </w:rPr>
            </w:pPr>
            <w:r>
              <w:rPr>
                <w:b/>
              </w:rPr>
              <w:t>Maximum fee</w:t>
            </w:r>
          </w:p>
        </w:tc>
      </w:tr>
      <w:tr>
        <w:tc>
          <w:tcPr>
            <w:tcW w:w="720" w:type="dxa"/>
            <w:tcBorders>
              <w:top w:val="single" w:sz="4" w:space="0" w:color="auto"/>
            </w:tcBorders>
          </w:tcPr>
          <w:p>
            <w:pPr>
              <w:pStyle w:val="yTable"/>
            </w:pPr>
            <w:r>
              <w:t>1.</w:t>
            </w:r>
          </w:p>
        </w:tc>
        <w:tc>
          <w:tcPr>
            <w:tcW w:w="3840" w:type="dxa"/>
            <w:tcBorders>
              <w:top w:val="single" w:sz="4" w:space="0" w:color="auto"/>
            </w:tcBorders>
          </w:tcPr>
          <w:p>
            <w:pPr>
              <w:pStyle w:val="yTable"/>
              <w:tabs>
                <w:tab w:val="left" w:pos="600"/>
              </w:tabs>
            </w:pPr>
            <w:r>
              <w:t>Determining a development application (other than for an extractive industry) where the development has not commenced or been carried out and the estimated cost of the development is —</w:t>
            </w:r>
          </w:p>
        </w:tc>
        <w:tc>
          <w:tcPr>
            <w:tcW w:w="2520" w:type="dxa"/>
            <w:tcBorders>
              <w:top w:val="single" w:sz="4" w:space="0" w:color="auto"/>
            </w:tcBorders>
          </w:tcPr>
          <w:p>
            <w:pPr>
              <w:pStyle w:val="yTable"/>
            </w:pPr>
          </w:p>
        </w:tc>
      </w:tr>
      <w:tr>
        <w:tc>
          <w:tcPr>
            <w:tcW w:w="720" w:type="dxa"/>
          </w:tcPr>
          <w:p>
            <w:pPr>
              <w:pStyle w:val="yTable"/>
            </w:pPr>
          </w:p>
        </w:tc>
        <w:tc>
          <w:tcPr>
            <w:tcW w:w="3840" w:type="dxa"/>
          </w:tcPr>
          <w:p>
            <w:pPr>
              <w:pStyle w:val="yTable"/>
              <w:tabs>
                <w:tab w:val="left" w:pos="600"/>
              </w:tabs>
              <w:ind w:left="600" w:hanging="425"/>
            </w:pPr>
            <w:r>
              <w:t>(a)</w:t>
            </w:r>
            <w:r>
              <w:tab/>
              <w:t>not more than $50 000</w:t>
            </w:r>
          </w:p>
        </w:tc>
        <w:tc>
          <w:tcPr>
            <w:tcW w:w="2520" w:type="dxa"/>
          </w:tcPr>
          <w:p>
            <w:pPr>
              <w:pStyle w:val="yTable"/>
            </w:pPr>
            <w:r>
              <w:t>$127</w:t>
            </w:r>
          </w:p>
        </w:tc>
      </w:tr>
      <w:tr>
        <w:tc>
          <w:tcPr>
            <w:tcW w:w="720" w:type="dxa"/>
          </w:tcPr>
          <w:p>
            <w:pPr>
              <w:pStyle w:val="yTable"/>
            </w:pPr>
          </w:p>
        </w:tc>
        <w:tc>
          <w:tcPr>
            <w:tcW w:w="3840" w:type="dxa"/>
          </w:tcPr>
          <w:p>
            <w:pPr>
              <w:pStyle w:val="yTable"/>
              <w:tabs>
                <w:tab w:val="left" w:pos="600"/>
              </w:tabs>
              <w:ind w:left="600" w:hanging="425"/>
            </w:pPr>
            <w:r>
              <w:t>(b)</w:t>
            </w:r>
            <w:r>
              <w:tab/>
              <w:t>more than $50 000 but not more than $500 000</w:t>
            </w:r>
          </w:p>
        </w:tc>
        <w:tc>
          <w:tcPr>
            <w:tcW w:w="2520" w:type="dxa"/>
          </w:tcPr>
          <w:p>
            <w:pPr>
              <w:pStyle w:val="yTable"/>
            </w:pPr>
            <w:r>
              <w:t>0.29% of the estimated cost of development</w:t>
            </w:r>
          </w:p>
        </w:tc>
      </w:tr>
      <w:tr>
        <w:tc>
          <w:tcPr>
            <w:tcW w:w="720" w:type="dxa"/>
          </w:tcPr>
          <w:p>
            <w:pPr>
              <w:pStyle w:val="yTable"/>
              <w:keepNext/>
              <w:keepLines/>
            </w:pPr>
          </w:p>
        </w:tc>
        <w:tc>
          <w:tcPr>
            <w:tcW w:w="3840" w:type="dxa"/>
          </w:tcPr>
          <w:p>
            <w:pPr>
              <w:pStyle w:val="yTable"/>
              <w:keepNext/>
              <w:keepLines/>
              <w:tabs>
                <w:tab w:val="left" w:pos="600"/>
              </w:tabs>
              <w:ind w:left="600" w:hanging="425"/>
            </w:pPr>
            <w:r>
              <w:t>(c)</w:t>
            </w:r>
            <w:r>
              <w:tab/>
              <w:t>more than $500 000 but not more than $2.5 million</w:t>
            </w:r>
          </w:p>
        </w:tc>
        <w:tc>
          <w:tcPr>
            <w:tcW w:w="2520" w:type="dxa"/>
          </w:tcPr>
          <w:p>
            <w:pPr>
              <w:pStyle w:val="yTable"/>
              <w:keepNext/>
              <w:keepLines/>
            </w:pPr>
            <w:r>
              <w:t>$1 450 + 0.23% for every $1 in excess of $500 000</w:t>
            </w:r>
          </w:p>
        </w:tc>
      </w:tr>
      <w:tr>
        <w:tc>
          <w:tcPr>
            <w:tcW w:w="720" w:type="dxa"/>
          </w:tcPr>
          <w:p>
            <w:pPr>
              <w:pStyle w:val="yTable"/>
            </w:pPr>
          </w:p>
        </w:tc>
        <w:tc>
          <w:tcPr>
            <w:tcW w:w="3840" w:type="dxa"/>
          </w:tcPr>
          <w:p>
            <w:pPr>
              <w:pStyle w:val="yTable"/>
              <w:tabs>
                <w:tab w:val="left" w:pos="600"/>
              </w:tabs>
              <w:ind w:left="600" w:hanging="425"/>
            </w:pPr>
            <w:r>
              <w:t>(d)</w:t>
            </w:r>
            <w:r>
              <w:tab/>
              <w:t>more than $2.5 million but not more than $5 million</w:t>
            </w:r>
          </w:p>
        </w:tc>
        <w:tc>
          <w:tcPr>
            <w:tcW w:w="2520" w:type="dxa"/>
          </w:tcPr>
          <w:p>
            <w:pPr>
              <w:pStyle w:val="yTable"/>
            </w:pPr>
            <w:r>
              <w:t>$6 050 + 0.19% for every $1 in excess of $2.5 million</w:t>
            </w:r>
          </w:p>
        </w:tc>
      </w:tr>
      <w:tr>
        <w:tc>
          <w:tcPr>
            <w:tcW w:w="720" w:type="dxa"/>
          </w:tcPr>
          <w:p>
            <w:pPr>
              <w:pStyle w:val="yTable"/>
            </w:pPr>
          </w:p>
        </w:tc>
        <w:tc>
          <w:tcPr>
            <w:tcW w:w="3840" w:type="dxa"/>
          </w:tcPr>
          <w:p>
            <w:pPr>
              <w:pStyle w:val="yTable"/>
              <w:tabs>
                <w:tab w:val="left" w:pos="600"/>
              </w:tabs>
              <w:ind w:left="600" w:hanging="425"/>
            </w:pPr>
            <w:r>
              <w:t>(e)</w:t>
            </w:r>
            <w:r>
              <w:tab/>
              <w:t>more than $5 million but not more than $21.5 million</w:t>
            </w:r>
          </w:p>
        </w:tc>
        <w:tc>
          <w:tcPr>
            <w:tcW w:w="2520" w:type="dxa"/>
          </w:tcPr>
          <w:p>
            <w:pPr>
              <w:pStyle w:val="yTable"/>
            </w:pPr>
            <w:r>
              <w:t>$10 800 + 0.12% for every $1 in excess of $5 million</w:t>
            </w:r>
          </w:p>
        </w:tc>
      </w:tr>
      <w:tr>
        <w:tc>
          <w:tcPr>
            <w:tcW w:w="720" w:type="dxa"/>
          </w:tcPr>
          <w:p>
            <w:pPr>
              <w:pStyle w:val="yTable"/>
            </w:pPr>
          </w:p>
        </w:tc>
        <w:tc>
          <w:tcPr>
            <w:tcW w:w="3840" w:type="dxa"/>
          </w:tcPr>
          <w:p>
            <w:pPr>
              <w:pStyle w:val="yTable"/>
              <w:tabs>
                <w:tab w:val="left" w:pos="600"/>
              </w:tabs>
              <w:ind w:left="600" w:hanging="425"/>
            </w:pPr>
            <w:r>
              <w:t>(f)</w:t>
            </w:r>
            <w:r>
              <w:tab/>
              <w:t>more than $21.5 million</w:t>
            </w:r>
          </w:p>
        </w:tc>
        <w:tc>
          <w:tcPr>
            <w:tcW w:w="2520" w:type="dxa"/>
          </w:tcPr>
          <w:p>
            <w:pPr>
              <w:pStyle w:val="yTable"/>
              <w:rPr>
                <w:rStyle w:val="DraftersNotes"/>
              </w:rPr>
            </w:pPr>
            <w:r>
              <w:t>$30 600</w:t>
            </w:r>
          </w:p>
        </w:tc>
      </w:tr>
      <w:tr>
        <w:tc>
          <w:tcPr>
            <w:tcW w:w="720" w:type="dxa"/>
          </w:tcPr>
          <w:p>
            <w:pPr>
              <w:pStyle w:val="yTable"/>
            </w:pPr>
            <w:r>
              <w:t>2.</w:t>
            </w:r>
          </w:p>
        </w:tc>
        <w:tc>
          <w:tcPr>
            <w:tcW w:w="3840" w:type="dxa"/>
          </w:tcPr>
          <w:p>
            <w:pPr>
              <w:pStyle w:val="yTable"/>
              <w:tabs>
                <w:tab w:val="left" w:pos="600"/>
              </w:tabs>
            </w:pPr>
            <w:r>
              <w:t>Determining a development application (other than for an extractive industry) where the development has commenced or been carried out</w:t>
            </w:r>
          </w:p>
        </w:tc>
        <w:tc>
          <w:tcPr>
            <w:tcW w:w="2520" w:type="dxa"/>
          </w:tcPr>
          <w:p>
            <w:pPr>
              <w:pStyle w:val="yTable"/>
            </w:pPr>
            <w:r>
              <w:t>The fee in item 1 plus, by way of penalty, twice that fee</w:t>
            </w:r>
          </w:p>
        </w:tc>
      </w:tr>
      <w:tr>
        <w:tc>
          <w:tcPr>
            <w:tcW w:w="720" w:type="dxa"/>
          </w:tcPr>
          <w:p>
            <w:pPr>
              <w:pStyle w:val="yTable"/>
            </w:pPr>
            <w:r>
              <w:t>3.</w:t>
            </w:r>
          </w:p>
        </w:tc>
        <w:tc>
          <w:tcPr>
            <w:tcW w:w="3840" w:type="dxa"/>
          </w:tcPr>
          <w:p>
            <w:pPr>
              <w:pStyle w:val="yTable"/>
              <w:tabs>
                <w:tab w:val="left" w:pos="600"/>
              </w:tabs>
            </w:pPr>
            <w:r>
              <w:t>Determining a development application for an extractive industry where the development has not commenced or been carried out</w:t>
            </w:r>
          </w:p>
        </w:tc>
        <w:tc>
          <w:tcPr>
            <w:tcW w:w="2520" w:type="dxa"/>
          </w:tcPr>
          <w:p>
            <w:pPr>
              <w:pStyle w:val="yTable"/>
            </w:pPr>
            <w:r>
              <w:t>$635</w:t>
            </w:r>
          </w:p>
        </w:tc>
      </w:tr>
      <w:tr>
        <w:tc>
          <w:tcPr>
            <w:tcW w:w="720" w:type="dxa"/>
          </w:tcPr>
          <w:p>
            <w:pPr>
              <w:pStyle w:val="yTable"/>
            </w:pPr>
            <w:r>
              <w:t>4.</w:t>
            </w:r>
          </w:p>
        </w:tc>
        <w:tc>
          <w:tcPr>
            <w:tcW w:w="3840" w:type="dxa"/>
          </w:tcPr>
          <w:p>
            <w:pPr>
              <w:pStyle w:val="yTable"/>
              <w:tabs>
                <w:tab w:val="left" w:pos="600"/>
              </w:tabs>
            </w:pPr>
            <w:r>
              <w:t>Determining a development application for an extractive industry where the development has commenced or been carried out</w:t>
            </w:r>
          </w:p>
        </w:tc>
        <w:tc>
          <w:tcPr>
            <w:tcW w:w="2520" w:type="dxa"/>
          </w:tcPr>
          <w:p>
            <w:pPr>
              <w:pStyle w:val="yTable"/>
            </w:pPr>
            <w:r>
              <w:t>The fee in item 3 plus, by way of penalty, twice that fee</w:t>
            </w:r>
          </w:p>
        </w:tc>
      </w:tr>
      <w:tr>
        <w:tc>
          <w:tcPr>
            <w:tcW w:w="720" w:type="dxa"/>
          </w:tcPr>
          <w:p>
            <w:pPr>
              <w:pStyle w:val="yTable"/>
            </w:pPr>
            <w:r>
              <w:t>5.</w:t>
            </w:r>
          </w:p>
        </w:tc>
        <w:tc>
          <w:tcPr>
            <w:tcW w:w="3840" w:type="dxa"/>
          </w:tcPr>
          <w:p>
            <w:pPr>
              <w:pStyle w:val="yTable"/>
              <w:keepNext/>
            </w:pPr>
            <w:r>
              <w:t xml:space="preserve">Providing a subdivision clearance for — </w:t>
            </w:r>
          </w:p>
        </w:tc>
        <w:tc>
          <w:tcPr>
            <w:tcW w:w="2520" w:type="dxa"/>
          </w:tcPr>
          <w:p>
            <w:pPr>
              <w:pStyle w:val="yTable"/>
              <w:keepNext/>
            </w:pPr>
          </w:p>
        </w:tc>
      </w:tr>
      <w:tr>
        <w:tc>
          <w:tcPr>
            <w:tcW w:w="720" w:type="dxa"/>
          </w:tcPr>
          <w:p>
            <w:pPr>
              <w:pStyle w:val="yTable"/>
            </w:pPr>
          </w:p>
        </w:tc>
        <w:tc>
          <w:tcPr>
            <w:tcW w:w="3840" w:type="dxa"/>
          </w:tcPr>
          <w:p>
            <w:pPr>
              <w:pStyle w:val="yTable"/>
              <w:tabs>
                <w:tab w:val="left" w:pos="600"/>
              </w:tabs>
              <w:ind w:firstLine="175"/>
            </w:pPr>
            <w:r>
              <w:t>(a)</w:t>
            </w:r>
            <w:r>
              <w:tab/>
              <w:t>not more than 5 lots</w:t>
            </w:r>
          </w:p>
        </w:tc>
        <w:tc>
          <w:tcPr>
            <w:tcW w:w="2520" w:type="dxa"/>
          </w:tcPr>
          <w:p>
            <w:pPr>
              <w:pStyle w:val="yTable"/>
            </w:pPr>
            <w:r>
              <w:t>$64 per lot</w:t>
            </w:r>
          </w:p>
        </w:tc>
      </w:tr>
      <w:tr>
        <w:tc>
          <w:tcPr>
            <w:tcW w:w="720" w:type="dxa"/>
          </w:tcPr>
          <w:p>
            <w:pPr>
              <w:pStyle w:val="yTable"/>
            </w:pPr>
          </w:p>
        </w:tc>
        <w:tc>
          <w:tcPr>
            <w:tcW w:w="3840" w:type="dxa"/>
          </w:tcPr>
          <w:p>
            <w:pPr>
              <w:pStyle w:val="yTable"/>
              <w:tabs>
                <w:tab w:val="left" w:pos="600"/>
              </w:tabs>
              <w:ind w:firstLine="175"/>
            </w:pPr>
            <w:r>
              <w:t>(b)</w:t>
            </w:r>
            <w:r>
              <w:tab/>
              <w:t xml:space="preserve">more than 5 lots but not </w:t>
            </w:r>
            <w:r>
              <w:tab/>
              <w:t xml:space="preserve">more than 195 lots </w:t>
            </w:r>
          </w:p>
        </w:tc>
        <w:tc>
          <w:tcPr>
            <w:tcW w:w="2520" w:type="dxa"/>
          </w:tcPr>
          <w:p>
            <w:pPr>
              <w:pStyle w:val="yTable"/>
            </w:pPr>
            <w:r>
              <w:t>$64 per lot for the first 5 lots and then $32 per lot</w:t>
            </w:r>
          </w:p>
        </w:tc>
      </w:tr>
      <w:tr>
        <w:tc>
          <w:tcPr>
            <w:tcW w:w="720" w:type="dxa"/>
          </w:tcPr>
          <w:p>
            <w:pPr>
              <w:pStyle w:val="yTable"/>
            </w:pPr>
          </w:p>
        </w:tc>
        <w:tc>
          <w:tcPr>
            <w:tcW w:w="3840" w:type="dxa"/>
          </w:tcPr>
          <w:p>
            <w:pPr>
              <w:pStyle w:val="yTable"/>
              <w:tabs>
                <w:tab w:val="left" w:pos="600"/>
              </w:tabs>
              <w:ind w:firstLine="175"/>
            </w:pPr>
            <w:r>
              <w:t>(c)</w:t>
            </w:r>
            <w:r>
              <w:tab/>
              <w:t>more than 195 lots</w:t>
            </w:r>
          </w:p>
        </w:tc>
        <w:tc>
          <w:tcPr>
            <w:tcW w:w="2520" w:type="dxa"/>
          </w:tcPr>
          <w:p>
            <w:pPr>
              <w:pStyle w:val="yTable"/>
            </w:pPr>
            <w:r>
              <w:t>$6 400</w:t>
            </w:r>
          </w:p>
        </w:tc>
      </w:tr>
      <w:tr>
        <w:tc>
          <w:tcPr>
            <w:tcW w:w="720" w:type="dxa"/>
          </w:tcPr>
          <w:p>
            <w:pPr>
              <w:pStyle w:val="yTable"/>
            </w:pPr>
            <w:r>
              <w:t>6.</w:t>
            </w:r>
          </w:p>
        </w:tc>
        <w:tc>
          <w:tcPr>
            <w:tcW w:w="3840" w:type="dxa"/>
          </w:tcPr>
          <w:p>
            <w:pPr>
              <w:pStyle w:val="yTable"/>
            </w:pPr>
            <w:r>
              <w:t>Determining an initial application for approval of a home occupation where the home occupation has not commenced</w:t>
            </w:r>
          </w:p>
        </w:tc>
        <w:tc>
          <w:tcPr>
            <w:tcW w:w="2520" w:type="dxa"/>
          </w:tcPr>
          <w:p>
            <w:pPr>
              <w:pStyle w:val="yTable"/>
            </w:pPr>
            <w:r>
              <w:t>$191</w:t>
            </w:r>
          </w:p>
        </w:tc>
      </w:tr>
      <w:tr>
        <w:tc>
          <w:tcPr>
            <w:tcW w:w="720" w:type="dxa"/>
          </w:tcPr>
          <w:p>
            <w:pPr>
              <w:pStyle w:val="yTable"/>
            </w:pPr>
            <w:r>
              <w:t>7.</w:t>
            </w:r>
          </w:p>
        </w:tc>
        <w:tc>
          <w:tcPr>
            <w:tcW w:w="3840" w:type="dxa"/>
          </w:tcPr>
          <w:p>
            <w:pPr>
              <w:pStyle w:val="yTable"/>
            </w:pPr>
            <w:r>
              <w:t>Determining an initial application for approval of a home occupation where the home occupation has commenced</w:t>
            </w:r>
          </w:p>
        </w:tc>
        <w:tc>
          <w:tcPr>
            <w:tcW w:w="2520" w:type="dxa"/>
          </w:tcPr>
          <w:p>
            <w:pPr>
              <w:pStyle w:val="yTable"/>
            </w:pPr>
            <w:r>
              <w:t>The fee in item 6 plus, by way of penalty, twice that fee</w:t>
            </w:r>
          </w:p>
        </w:tc>
      </w:tr>
      <w:tr>
        <w:tc>
          <w:tcPr>
            <w:tcW w:w="720" w:type="dxa"/>
          </w:tcPr>
          <w:p>
            <w:pPr>
              <w:pStyle w:val="yTable"/>
            </w:pPr>
            <w:r>
              <w:t>8.</w:t>
            </w:r>
          </w:p>
        </w:tc>
        <w:tc>
          <w:tcPr>
            <w:tcW w:w="3840" w:type="dxa"/>
          </w:tcPr>
          <w:p>
            <w:pPr>
              <w:pStyle w:val="yTable"/>
            </w:pPr>
            <w:r>
              <w:t>Determining an application for the renewal of an approval of a home occupation where the application is made before the approval expires</w:t>
            </w:r>
          </w:p>
        </w:tc>
        <w:tc>
          <w:tcPr>
            <w:tcW w:w="2520" w:type="dxa"/>
          </w:tcPr>
          <w:p>
            <w:pPr>
              <w:pStyle w:val="yTable"/>
            </w:pPr>
            <w:r>
              <w:t>$64</w:t>
            </w:r>
          </w:p>
        </w:tc>
      </w:tr>
      <w:tr>
        <w:tc>
          <w:tcPr>
            <w:tcW w:w="720" w:type="dxa"/>
          </w:tcPr>
          <w:p>
            <w:pPr>
              <w:pStyle w:val="yTable"/>
            </w:pPr>
            <w:r>
              <w:t>9.</w:t>
            </w:r>
          </w:p>
        </w:tc>
        <w:tc>
          <w:tcPr>
            <w:tcW w:w="3840" w:type="dxa"/>
          </w:tcPr>
          <w:p>
            <w:pPr>
              <w:pStyle w:val="yTable"/>
            </w:pPr>
            <w:r>
              <w:t>Determining an application for the renewal of an approval of a home occupation where the application is made after the approval has expired</w:t>
            </w:r>
          </w:p>
        </w:tc>
        <w:tc>
          <w:tcPr>
            <w:tcW w:w="2520" w:type="dxa"/>
          </w:tcPr>
          <w:p>
            <w:pPr>
              <w:pStyle w:val="yTable"/>
            </w:pPr>
            <w:r>
              <w:t>The fee in item 8 plus, by way of penalty, twice that fee</w:t>
            </w:r>
          </w:p>
        </w:tc>
      </w:tr>
      <w:tr>
        <w:tc>
          <w:tcPr>
            <w:tcW w:w="720" w:type="dxa"/>
          </w:tcPr>
          <w:p>
            <w:pPr>
              <w:pStyle w:val="yTable"/>
            </w:pPr>
            <w:r>
              <w:t>10.</w:t>
            </w:r>
          </w:p>
        </w:tc>
        <w:tc>
          <w:tcPr>
            <w:tcW w:w="3840" w:type="dxa"/>
          </w:tcPr>
          <w:p>
            <w:pPr>
              <w:pStyle w:val="yTable"/>
            </w:pPr>
            <w:r>
              <w:t>Determining an application for change of use or for an alteration or extension or change of a non</w:t>
            </w:r>
            <w:r>
              <w:noBreakHyphen/>
              <w:t>conforming use to which item 1 does not apply, where the change or alteration, extension or change has not commenced or been carried out</w:t>
            </w:r>
          </w:p>
        </w:tc>
        <w:tc>
          <w:tcPr>
            <w:tcW w:w="2520" w:type="dxa"/>
          </w:tcPr>
          <w:p>
            <w:pPr>
              <w:pStyle w:val="yTable"/>
            </w:pPr>
            <w:r>
              <w:t>$254</w:t>
            </w:r>
          </w:p>
        </w:tc>
      </w:tr>
      <w:tr>
        <w:tc>
          <w:tcPr>
            <w:tcW w:w="720" w:type="dxa"/>
          </w:tcPr>
          <w:p>
            <w:pPr>
              <w:pStyle w:val="yTable"/>
            </w:pPr>
            <w:r>
              <w:t>11.</w:t>
            </w:r>
          </w:p>
        </w:tc>
        <w:tc>
          <w:tcPr>
            <w:tcW w:w="3840" w:type="dxa"/>
          </w:tcPr>
          <w:p>
            <w:pPr>
              <w:pStyle w:val="yTable"/>
            </w:pPr>
            <w:r>
              <w:t>Determining an application for change of use or for an alteration or extension or change of a non</w:t>
            </w:r>
            <w:r>
              <w:noBreakHyphen/>
              <w:t>conforming use to which item 1 does not apply, where the change or alteration, extension or change has commenced or been carried out</w:t>
            </w:r>
          </w:p>
        </w:tc>
        <w:tc>
          <w:tcPr>
            <w:tcW w:w="2520" w:type="dxa"/>
          </w:tcPr>
          <w:p>
            <w:pPr>
              <w:pStyle w:val="yTable"/>
            </w:pPr>
            <w:r>
              <w:t>The fee in item 10 plus, by way of penalty, twice that fee</w:t>
            </w:r>
          </w:p>
        </w:tc>
      </w:tr>
      <w:tr>
        <w:tc>
          <w:tcPr>
            <w:tcW w:w="720" w:type="dxa"/>
          </w:tcPr>
          <w:p>
            <w:pPr>
              <w:pStyle w:val="yTable"/>
            </w:pPr>
            <w:r>
              <w:t>12.</w:t>
            </w:r>
          </w:p>
        </w:tc>
        <w:tc>
          <w:tcPr>
            <w:tcW w:w="3840" w:type="dxa"/>
          </w:tcPr>
          <w:p>
            <w:pPr>
              <w:pStyle w:val="yTable"/>
            </w:pPr>
            <w:r>
              <w:t>Providing a zoning certificate</w:t>
            </w:r>
          </w:p>
        </w:tc>
        <w:tc>
          <w:tcPr>
            <w:tcW w:w="2520" w:type="dxa"/>
          </w:tcPr>
          <w:p>
            <w:pPr>
              <w:pStyle w:val="yTable"/>
            </w:pPr>
            <w:r>
              <w:t>$64</w:t>
            </w:r>
          </w:p>
        </w:tc>
      </w:tr>
      <w:tr>
        <w:tc>
          <w:tcPr>
            <w:tcW w:w="720" w:type="dxa"/>
          </w:tcPr>
          <w:p>
            <w:pPr>
              <w:pStyle w:val="yTable"/>
            </w:pPr>
            <w:r>
              <w:t>13.</w:t>
            </w:r>
          </w:p>
        </w:tc>
        <w:tc>
          <w:tcPr>
            <w:tcW w:w="3840" w:type="dxa"/>
          </w:tcPr>
          <w:p>
            <w:pPr>
              <w:pStyle w:val="yTable"/>
            </w:pPr>
            <w:r>
              <w:t>Replying to a property settlement questionnaire</w:t>
            </w:r>
          </w:p>
        </w:tc>
        <w:tc>
          <w:tcPr>
            <w:tcW w:w="2520" w:type="dxa"/>
          </w:tcPr>
          <w:p>
            <w:pPr>
              <w:pStyle w:val="yTable"/>
            </w:pPr>
            <w:r>
              <w:t>$64</w:t>
            </w:r>
          </w:p>
        </w:tc>
      </w:tr>
      <w:tr>
        <w:tc>
          <w:tcPr>
            <w:tcW w:w="720" w:type="dxa"/>
            <w:tcBorders>
              <w:bottom w:val="single" w:sz="4" w:space="0" w:color="auto"/>
            </w:tcBorders>
          </w:tcPr>
          <w:p>
            <w:pPr>
              <w:pStyle w:val="yTable"/>
              <w:keepNext/>
            </w:pPr>
            <w:r>
              <w:t>14.</w:t>
            </w:r>
          </w:p>
        </w:tc>
        <w:tc>
          <w:tcPr>
            <w:tcW w:w="3840" w:type="dxa"/>
            <w:tcBorders>
              <w:bottom w:val="single" w:sz="4" w:space="0" w:color="auto"/>
            </w:tcBorders>
          </w:tcPr>
          <w:p>
            <w:pPr>
              <w:pStyle w:val="yTable"/>
              <w:keepNext/>
            </w:pPr>
            <w:r>
              <w:t>Providing written planning advice</w:t>
            </w:r>
          </w:p>
        </w:tc>
        <w:tc>
          <w:tcPr>
            <w:tcW w:w="2520" w:type="dxa"/>
            <w:tcBorders>
              <w:bottom w:val="single" w:sz="4" w:space="0" w:color="auto"/>
            </w:tcBorders>
          </w:tcPr>
          <w:p>
            <w:pPr>
              <w:pStyle w:val="yTable"/>
              <w:keepNext/>
            </w:pPr>
            <w:r>
              <w:t>$64</w:t>
            </w:r>
          </w:p>
        </w:tc>
      </w:tr>
    </w:tbl>
    <w:p>
      <w:pPr>
        <w:pStyle w:val="yFootnotesection"/>
      </w:pPr>
      <w:r>
        <w:tab/>
        <w:t>[Part 1 inserted in Gazette 10 Oct 2008 p. 4552-3.]</w:t>
      </w:r>
    </w:p>
    <w:p>
      <w:pPr>
        <w:pStyle w:val="yHeading2"/>
        <w:keepNext w:val="0"/>
        <w:spacing w:after="240"/>
      </w:pPr>
      <w:bookmarkStart w:id="107" w:name="_Toc211328570"/>
      <w:bookmarkStart w:id="108" w:name="_Toc220465387"/>
      <w:bookmarkStart w:id="109" w:name="_Toc220467433"/>
      <w:bookmarkStart w:id="110" w:name="_Toc222027434"/>
      <w:bookmarkStart w:id="111" w:name="_Toc222027600"/>
      <w:r>
        <w:rPr>
          <w:rStyle w:val="CharSDivNo"/>
        </w:rPr>
        <w:t>Part 2</w:t>
      </w:r>
      <w:r>
        <w:t xml:space="preserve"> —</w:t>
      </w:r>
      <w:r>
        <w:rPr>
          <w:rStyle w:val="CharDivText"/>
        </w:rPr>
        <w:t xml:space="preserve"> </w:t>
      </w:r>
      <w:r>
        <w:rPr>
          <w:rStyle w:val="CharSDivText"/>
        </w:rPr>
        <w:t>Maximum fees: scheme amendments</w:t>
      </w:r>
      <w:r>
        <w:t>*</w:t>
      </w:r>
      <w:bookmarkEnd w:id="100"/>
      <w:bookmarkEnd w:id="101"/>
      <w:bookmarkEnd w:id="102"/>
      <w:bookmarkEnd w:id="103"/>
      <w:bookmarkEnd w:id="104"/>
      <w:bookmarkEnd w:id="105"/>
      <w:bookmarkEnd w:id="106"/>
      <w:bookmarkEnd w:id="107"/>
      <w:bookmarkEnd w:id="108"/>
      <w:bookmarkEnd w:id="109"/>
      <w:bookmarkEnd w:id="110"/>
      <w:bookmarkEnd w:id="1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134"/>
        <w:gridCol w:w="1134"/>
        <w:gridCol w:w="992"/>
        <w:gridCol w:w="1560"/>
        <w:gridCol w:w="1134"/>
      </w:tblGrid>
      <w:tr>
        <w:trPr>
          <w:cantSplit/>
          <w:tblHeader/>
        </w:trPr>
        <w:tc>
          <w:tcPr>
            <w:tcW w:w="1384" w:type="dxa"/>
            <w:shd w:val="pct15" w:color="auto" w:fill="FFFFFF"/>
          </w:tcPr>
          <w:p>
            <w:pPr>
              <w:pStyle w:val="yTable"/>
              <w:rPr>
                <w:b/>
                <w:sz w:val="20"/>
              </w:rPr>
            </w:pPr>
            <w:r>
              <w:rPr>
                <w:b/>
                <w:sz w:val="20"/>
              </w:rPr>
              <w:t>Task</w:t>
            </w:r>
          </w:p>
        </w:tc>
        <w:tc>
          <w:tcPr>
            <w:tcW w:w="5954" w:type="dxa"/>
            <w:gridSpan w:val="5"/>
            <w:shd w:val="pct15" w:color="auto" w:fill="FFFFFF"/>
          </w:tcPr>
          <w:p>
            <w:pPr>
              <w:pStyle w:val="yTable"/>
              <w:jc w:val="center"/>
              <w:rPr>
                <w:b/>
                <w:sz w:val="20"/>
              </w:rPr>
            </w:pPr>
            <w:r>
              <w:rPr>
                <w:b/>
                <w:sz w:val="20"/>
              </w:rPr>
              <w:t>Estimated costs</w:t>
            </w:r>
          </w:p>
        </w:tc>
      </w:tr>
      <w:tr>
        <w:trPr>
          <w:cantSplit/>
          <w:tblHeader/>
        </w:trPr>
        <w:tc>
          <w:tcPr>
            <w:tcW w:w="1384" w:type="dxa"/>
            <w:tcBorders>
              <w:bottom w:val="nil"/>
            </w:tcBorders>
          </w:tcPr>
          <w:p>
            <w:pPr>
              <w:pStyle w:val="yTable"/>
              <w:rPr>
                <w:b/>
                <w:sz w:val="20"/>
              </w:rPr>
            </w:pPr>
          </w:p>
        </w:tc>
        <w:tc>
          <w:tcPr>
            <w:tcW w:w="1134" w:type="dxa"/>
          </w:tcPr>
          <w:p>
            <w:pPr>
              <w:pStyle w:val="yTable"/>
              <w:jc w:val="center"/>
              <w:rPr>
                <w:b/>
                <w:sz w:val="18"/>
              </w:rPr>
            </w:pPr>
            <w:r>
              <w:rPr>
                <w:b/>
                <w:sz w:val="18"/>
              </w:rPr>
              <w:t>Director/ City/ Shire Planner (</w:t>
            </w:r>
            <w:r>
              <w:rPr>
                <w:b/>
                <w:bCs/>
                <w:sz w:val="18"/>
              </w:rPr>
              <w:t>$76</w:t>
            </w:r>
            <w:r>
              <w:rPr>
                <w:b/>
                <w:sz w:val="18"/>
              </w:rPr>
              <w:t>/hour)</w:t>
            </w:r>
          </w:p>
        </w:tc>
        <w:tc>
          <w:tcPr>
            <w:tcW w:w="1134" w:type="dxa"/>
          </w:tcPr>
          <w:p>
            <w:pPr>
              <w:pStyle w:val="yTable"/>
              <w:jc w:val="center"/>
              <w:rPr>
                <w:b/>
                <w:sz w:val="18"/>
              </w:rPr>
            </w:pPr>
            <w:r>
              <w:rPr>
                <w:b/>
                <w:sz w:val="18"/>
              </w:rPr>
              <w:t>Manager/ Senior Planner ($57/hour)</w:t>
            </w:r>
          </w:p>
        </w:tc>
        <w:tc>
          <w:tcPr>
            <w:tcW w:w="992" w:type="dxa"/>
          </w:tcPr>
          <w:p>
            <w:pPr>
              <w:pStyle w:val="yTable"/>
              <w:jc w:val="center"/>
              <w:rPr>
                <w:b/>
                <w:sz w:val="18"/>
              </w:rPr>
            </w:pPr>
            <w:r>
              <w:rPr>
                <w:b/>
                <w:sz w:val="18"/>
              </w:rPr>
              <w:t xml:space="preserve">Planning Officer </w:t>
            </w:r>
            <w:r>
              <w:rPr>
                <w:b/>
                <w:spacing w:val="-4"/>
                <w:sz w:val="18"/>
              </w:rPr>
              <w:t>($32/hour)</w:t>
            </w:r>
          </w:p>
        </w:tc>
        <w:tc>
          <w:tcPr>
            <w:tcW w:w="1560" w:type="dxa"/>
          </w:tcPr>
          <w:p>
            <w:pPr>
              <w:pStyle w:val="yTable"/>
              <w:jc w:val="center"/>
              <w:rPr>
                <w:b/>
                <w:sz w:val="18"/>
              </w:rPr>
            </w:pPr>
            <w:r>
              <w:rPr>
                <w:b/>
                <w:sz w:val="18"/>
              </w:rPr>
              <w:t xml:space="preserve">Other staff e.g. environmental health officer </w:t>
            </w:r>
            <w:r>
              <w:rPr>
                <w:b/>
                <w:sz w:val="18"/>
              </w:rPr>
              <w:br/>
              <w:t xml:space="preserve">(2 @ </w:t>
            </w:r>
            <w:r>
              <w:rPr>
                <w:b/>
                <w:spacing w:val="-4"/>
                <w:sz w:val="18"/>
              </w:rPr>
              <w:t>$32</w:t>
            </w:r>
            <w:r>
              <w:rPr>
                <w:b/>
                <w:sz w:val="18"/>
              </w:rPr>
              <w:t>/hour)</w:t>
            </w:r>
          </w:p>
        </w:tc>
        <w:tc>
          <w:tcPr>
            <w:tcW w:w="1134" w:type="dxa"/>
          </w:tcPr>
          <w:p>
            <w:pPr>
              <w:pStyle w:val="yTable"/>
              <w:ind w:left="-84" w:right="-78"/>
              <w:jc w:val="center"/>
              <w:rPr>
                <w:b/>
                <w:sz w:val="18"/>
              </w:rPr>
            </w:pPr>
            <w:r>
              <w:rPr>
                <w:b/>
                <w:sz w:val="18"/>
              </w:rPr>
              <w:t xml:space="preserve">Secretary/ </w:t>
            </w:r>
            <w:r>
              <w:rPr>
                <w:b/>
                <w:spacing w:val="-12"/>
                <w:sz w:val="18"/>
              </w:rPr>
              <w:t xml:space="preserve">administrative </w:t>
            </w:r>
            <w:r>
              <w:rPr>
                <w:b/>
                <w:sz w:val="18"/>
              </w:rPr>
              <w:t>clerk ($26/hour)</w:t>
            </w:r>
          </w:p>
        </w:tc>
      </w:tr>
      <w:tr>
        <w:trPr>
          <w:cantSplit/>
        </w:trPr>
        <w:tc>
          <w:tcPr>
            <w:tcW w:w="1384" w:type="dxa"/>
            <w:shd w:val="pct15" w:color="auto" w:fill="FFFFFF"/>
          </w:tcPr>
          <w:p>
            <w:pPr>
              <w:pStyle w:val="yTable"/>
              <w:rPr>
                <w:sz w:val="18"/>
              </w:rPr>
            </w:pPr>
            <w:r>
              <w:rPr>
                <w:sz w:val="18"/>
              </w:rPr>
              <w:t>1.Preliminaries:</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Borders>
              <w:bottom w:val="nil"/>
            </w:tcBorders>
          </w:tcPr>
          <w:p>
            <w:pPr>
              <w:pStyle w:val="yTable"/>
              <w:rPr>
                <w:sz w:val="18"/>
              </w:rPr>
            </w:pPr>
            <w:r>
              <w:rPr>
                <w:sz w:val="18"/>
              </w:rPr>
              <w:t>Preliminary discussions and application registration</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shd w:val="pct15" w:color="auto" w:fill="FFFFFF"/>
          </w:tcPr>
          <w:p>
            <w:pPr>
              <w:pStyle w:val="yTable"/>
              <w:ind w:left="142" w:hanging="142"/>
              <w:rPr>
                <w:sz w:val="18"/>
              </w:rPr>
            </w:pPr>
            <w:r>
              <w:rPr>
                <w:sz w:val="18"/>
              </w:rPr>
              <w:t>2.Decision to initiate:</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ind w:left="240" w:hanging="240"/>
              <w:rPr>
                <w:sz w:val="18"/>
              </w:rPr>
            </w:pPr>
            <w:r>
              <w:rPr>
                <w:sz w:val="18"/>
              </w:rPr>
              <w:t>(a)</w:t>
            </w:r>
            <w:del w:id="112" w:author="Master Repository Process" w:date="2021-09-11T17:07:00Z">
              <w:r>
                <w:rPr>
                  <w:sz w:val="18"/>
                </w:rPr>
                <w:delText xml:space="preserve"> </w:delText>
              </w:r>
            </w:del>
            <w:ins w:id="113" w:author="Master Repository Process" w:date="2021-09-11T17:07:00Z">
              <w:r>
                <w:rPr>
                  <w:sz w:val="18"/>
                </w:rPr>
                <w:tab/>
              </w:r>
            </w:ins>
            <w:r>
              <w:rPr>
                <w:sz w:val="18"/>
              </w:rPr>
              <w:t xml:space="preserve">Information </w:t>
            </w:r>
            <w:del w:id="114" w:author="Master Repository Process" w:date="2021-09-11T17:07:00Z">
              <w:r>
                <w:rPr>
                  <w:sz w:val="18"/>
                </w:rPr>
                <w:tab/>
              </w:r>
            </w:del>
            <w:r>
              <w:rPr>
                <w:sz w:val="18"/>
              </w:rPr>
              <w:t xml:space="preserve">and site </w:t>
            </w:r>
            <w:del w:id="115" w:author="Master Repository Process" w:date="2021-09-11T17:07:00Z">
              <w:r>
                <w:rPr>
                  <w:sz w:val="18"/>
                </w:rPr>
                <w:tab/>
              </w:r>
            </w:del>
            <w:r>
              <w:rPr>
                <w:sz w:val="18"/>
              </w:rPr>
              <w:t>visit</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ind w:left="240" w:hanging="240"/>
              <w:rPr>
                <w:sz w:val="18"/>
              </w:rPr>
            </w:pPr>
            <w:r>
              <w:rPr>
                <w:sz w:val="18"/>
              </w:rPr>
              <w:t>(b)</w:t>
            </w:r>
            <w:del w:id="116" w:author="Master Repository Process" w:date="2021-09-11T17:07:00Z">
              <w:r>
                <w:rPr>
                  <w:sz w:val="18"/>
                </w:rPr>
                <w:delText xml:space="preserve"> </w:delText>
              </w:r>
            </w:del>
            <w:ins w:id="117" w:author="Master Repository Process" w:date="2021-09-11T17:07:00Z">
              <w:r>
                <w:rPr>
                  <w:sz w:val="18"/>
                </w:rPr>
                <w:tab/>
              </w:r>
            </w:ins>
            <w:r>
              <w:rPr>
                <w:sz w:val="18"/>
              </w:rPr>
              <w:t xml:space="preserve">Applicant </w:t>
            </w:r>
            <w:del w:id="118" w:author="Master Repository Process" w:date="2021-09-11T17:07:00Z">
              <w:r>
                <w:rPr>
                  <w:sz w:val="18"/>
                </w:rPr>
                <w:tab/>
              </w:r>
            </w:del>
            <w:r>
              <w:rPr>
                <w:sz w:val="18"/>
              </w:rPr>
              <w:t>discussion</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ind w:left="240" w:hanging="240"/>
              <w:rPr>
                <w:sz w:val="18"/>
              </w:rPr>
            </w:pPr>
            <w:r>
              <w:rPr>
                <w:spacing w:val="-4"/>
                <w:sz w:val="18"/>
              </w:rPr>
              <w:t>(c)</w:t>
            </w:r>
            <w:del w:id="119" w:author="Master Repository Process" w:date="2021-09-11T17:07:00Z">
              <w:r>
                <w:rPr>
                  <w:sz w:val="18"/>
                </w:rPr>
                <w:delText xml:space="preserve"> </w:delText>
              </w:r>
            </w:del>
            <w:ins w:id="120" w:author="Master Repository Process" w:date="2021-09-11T17:07:00Z">
              <w:r>
                <w:rPr>
                  <w:sz w:val="18"/>
                </w:rPr>
                <w:tab/>
              </w:r>
            </w:ins>
            <w:r>
              <w:rPr>
                <w:spacing w:val="-4"/>
                <w:sz w:val="18"/>
              </w:rPr>
              <w:t xml:space="preserve">Development </w:t>
            </w:r>
            <w:del w:id="121" w:author="Master Repository Process" w:date="2021-09-11T17:07:00Z">
              <w:r>
                <w:rPr>
                  <w:spacing w:val="-4"/>
                  <w:sz w:val="18"/>
                </w:rPr>
                <w:tab/>
              </w:r>
            </w:del>
            <w:r>
              <w:rPr>
                <w:spacing w:val="-4"/>
                <w:sz w:val="18"/>
              </w:rPr>
              <w:t>C</w:t>
            </w:r>
            <w:r>
              <w:rPr>
                <w:sz w:val="18"/>
              </w:rPr>
              <w:t xml:space="preserve">ontrol </w:t>
            </w:r>
            <w:del w:id="122" w:author="Master Repository Process" w:date="2021-09-11T17:07:00Z">
              <w:r>
                <w:rPr>
                  <w:spacing w:val="-4"/>
                  <w:sz w:val="18"/>
                </w:rPr>
                <w:tab/>
              </w:r>
            </w:del>
            <w:r>
              <w:rPr>
                <w:sz w:val="18"/>
              </w:rPr>
              <w:t xml:space="preserve">Unit (DCU) </w:t>
            </w:r>
            <w:del w:id="123" w:author="Master Repository Process" w:date="2021-09-11T17:07:00Z">
              <w:r>
                <w:rPr>
                  <w:sz w:val="18"/>
                </w:rPr>
                <w:tab/>
              </w:r>
            </w:del>
            <w:r>
              <w:rPr>
                <w:sz w:val="18"/>
              </w:rPr>
              <w:t>meeting</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ind w:left="240" w:hanging="240"/>
              <w:rPr>
                <w:sz w:val="18"/>
              </w:rPr>
            </w:pPr>
            <w:r>
              <w:rPr>
                <w:sz w:val="18"/>
              </w:rPr>
              <w:t>(d)</w:t>
            </w:r>
            <w:del w:id="124" w:author="Master Repository Process" w:date="2021-09-11T17:07:00Z">
              <w:r>
                <w:rPr>
                  <w:sz w:val="18"/>
                </w:rPr>
                <w:delText xml:space="preserve"> </w:delText>
              </w:r>
            </w:del>
            <w:ins w:id="125" w:author="Master Repository Process" w:date="2021-09-11T17:07:00Z">
              <w:r>
                <w:rPr>
                  <w:sz w:val="18"/>
                </w:rPr>
                <w:tab/>
              </w:r>
            </w:ins>
            <w:r>
              <w:rPr>
                <w:sz w:val="18"/>
              </w:rPr>
              <w:t xml:space="preserve">Action </w:t>
            </w:r>
            <w:del w:id="126" w:author="Master Repository Process" w:date="2021-09-11T17:07:00Z">
              <w:r>
                <w:rPr>
                  <w:sz w:val="18"/>
                </w:rPr>
                <w:tab/>
              </w:r>
            </w:del>
            <w:r>
              <w:rPr>
                <w:sz w:val="18"/>
              </w:rPr>
              <w:t xml:space="preserve">DCU </w:t>
            </w:r>
            <w:del w:id="127" w:author="Master Repository Process" w:date="2021-09-11T17:07:00Z">
              <w:r>
                <w:rPr>
                  <w:sz w:val="18"/>
                </w:rPr>
                <w:tab/>
              </w:r>
            </w:del>
            <w:r>
              <w:rPr>
                <w:spacing w:val="-4"/>
                <w:sz w:val="18"/>
              </w:rPr>
              <w:t>recommend</w:t>
            </w:r>
            <w:r>
              <w:rPr>
                <w:spacing w:val="-4"/>
                <w:sz w:val="18"/>
              </w:rPr>
              <w:noBreakHyphen/>
            </w:r>
            <w:del w:id="128" w:author="Master Repository Process" w:date="2021-09-11T17:07:00Z">
              <w:r>
                <w:rPr>
                  <w:spacing w:val="-4"/>
                  <w:sz w:val="18"/>
                </w:rPr>
                <w:tab/>
              </w:r>
            </w:del>
            <w:r>
              <w:rPr>
                <w:spacing w:val="-4"/>
                <w:sz w:val="18"/>
              </w:rPr>
              <w:t>ation</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Borders>
              <w:bottom w:val="nil"/>
            </w:tcBorders>
          </w:tcPr>
          <w:p>
            <w:pPr>
              <w:pStyle w:val="yTable"/>
              <w:ind w:left="240" w:hanging="240"/>
              <w:rPr>
                <w:sz w:val="18"/>
              </w:rPr>
            </w:pPr>
            <w:r>
              <w:rPr>
                <w:sz w:val="18"/>
              </w:rPr>
              <w:t>(e)</w:t>
            </w:r>
            <w:del w:id="129" w:author="Master Repository Process" w:date="2021-09-11T17:07:00Z">
              <w:r>
                <w:rPr>
                  <w:sz w:val="18"/>
                </w:rPr>
                <w:delText xml:space="preserve"> </w:delText>
              </w:r>
            </w:del>
            <w:ins w:id="130" w:author="Master Repository Process" w:date="2021-09-11T17:07:00Z">
              <w:r>
                <w:rPr>
                  <w:sz w:val="18"/>
                </w:rPr>
                <w:tab/>
              </w:r>
            </w:ins>
            <w:r>
              <w:rPr>
                <w:sz w:val="18"/>
              </w:rPr>
              <w:t xml:space="preserve">Assessment </w:t>
            </w:r>
            <w:del w:id="131" w:author="Master Repository Process" w:date="2021-09-11T17:07:00Z">
              <w:r>
                <w:rPr>
                  <w:sz w:val="18"/>
                </w:rPr>
                <w:tab/>
              </w:r>
            </w:del>
            <w:r>
              <w:rPr>
                <w:sz w:val="18"/>
              </w:rPr>
              <w:t xml:space="preserve">report and </w:t>
            </w:r>
            <w:del w:id="132" w:author="Master Repository Process" w:date="2021-09-11T17:07:00Z">
              <w:r>
                <w:rPr>
                  <w:sz w:val="18"/>
                </w:rPr>
                <w:tab/>
              </w:r>
            </w:del>
            <w:r>
              <w:rPr>
                <w:sz w:val="18"/>
              </w:rPr>
              <w:t xml:space="preserve">agenda </w:t>
            </w:r>
            <w:del w:id="133" w:author="Master Repository Process" w:date="2021-09-11T17:07:00Z">
              <w:r>
                <w:rPr>
                  <w:sz w:val="18"/>
                </w:rPr>
                <w:tab/>
              </w:r>
            </w:del>
            <w:r>
              <w:rPr>
                <w:sz w:val="18"/>
              </w:rPr>
              <w:t>preparation</w:t>
            </w:r>
          </w:p>
          <w:p>
            <w:pPr>
              <w:pStyle w:val="yTable"/>
              <w:ind w:left="240" w:hanging="240"/>
              <w:rPr>
                <w:sz w:val="18"/>
              </w:rPr>
            </w:pPr>
            <w:r>
              <w:rPr>
                <w:sz w:val="18"/>
              </w:rPr>
              <w:t>MINOR</w:t>
            </w:r>
          </w:p>
          <w:p>
            <w:pPr>
              <w:pStyle w:val="yTable"/>
              <w:ind w:left="240" w:hanging="240"/>
              <w:rPr>
                <w:sz w:val="18"/>
              </w:rPr>
            </w:pPr>
            <w:r>
              <w:rPr>
                <w:sz w:val="18"/>
              </w:rPr>
              <w:t>MAJOR</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shd w:val="pct15" w:color="auto" w:fill="FFFFFF"/>
          </w:tcPr>
          <w:p>
            <w:pPr>
              <w:pStyle w:val="yTable"/>
              <w:ind w:left="142" w:hanging="142"/>
              <w:rPr>
                <w:sz w:val="18"/>
              </w:rPr>
            </w:pPr>
            <w:r>
              <w:rPr>
                <w:sz w:val="18"/>
              </w:rPr>
              <w:t>3.Approval to advertise:</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ind w:left="240" w:hanging="240"/>
              <w:rPr>
                <w:sz w:val="18"/>
              </w:rPr>
            </w:pPr>
            <w:r>
              <w:rPr>
                <w:sz w:val="18"/>
              </w:rPr>
              <w:t>(a)</w:t>
            </w:r>
            <w:del w:id="134" w:author="Master Repository Process" w:date="2021-09-11T17:07:00Z">
              <w:r>
                <w:rPr>
                  <w:sz w:val="18"/>
                </w:rPr>
                <w:delText xml:space="preserve"> </w:delText>
              </w:r>
            </w:del>
            <w:ins w:id="135" w:author="Master Repository Process" w:date="2021-09-11T17:07:00Z">
              <w:r>
                <w:rPr>
                  <w:sz w:val="18"/>
                </w:rPr>
                <w:tab/>
              </w:r>
            </w:ins>
            <w:r>
              <w:rPr>
                <w:sz w:val="18"/>
              </w:rPr>
              <w:t xml:space="preserve">Action local </w:t>
            </w:r>
            <w:del w:id="136" w:author="Master Repository Process" w:date="2021-09-11T17:07:00Z">
              <w:r>
                <w:rPr>
                  <w:sz w:val="18"/>
                </w:rPr>
                <w:tab/>
              </w:r>
            </w:del>
            <w:r>
              <w:rPr>
                <w:sz w:val="18"/>
              </w:rPr>
              <w:t xml:space="preserve">government </w:t>
            </w:r>
            <w:del w:id="137" w:author="Master Repository Process" w:date="2021-09-11T17:07:00Z">
              <w:r>
                <w:rPr>
                  <w:spacing w:val="-4"/>
                  <w:sz w:val="18"/>
                </w:rPr>
                <w:tab/>
              </w:r>
            </w:del>
            <w:r>
              <w:rPr>
                <w:spacing w:val="-4"/>
                <w:sz w:val="18"/>
              </w:rPr>
              <w:t>recommend</w:t>
            </w:r>
            <w:r>
              <w:rPr>
                <w:spacing w:val="-4"/>
                <w:sz w:val="18"/>
              </w:rPr>
              <w:noBreakHyphen/>
            </w:r>
            <w:del w:id="138" w:author="Master Repository Process" w:date="2021-09-11T17:07:00Z">
              <w:r>
                <w:rPr>
                  <w:spacing w:val="-4"/>
                  <w:sz w:val="18"/>
                </w:rPr>
                <w:tab/>
              </w:r>
            </w:del>
            <w:r>
              <w:rPr>
                <w:spacing w:val="-4"/>
                <w:sz w:val="18"/>
              </w:rPr>
              <w:t>ation</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ind w:left="240" w:hanging="240"/>
              <w:rPr>
                <w:sz w:val="18"/>
              </w:rPr>
            </w:pPr>
            <w:r>
              <w:rPr>
                <w:sz w:val="18"/>
              </w:rPr>
              <w:t>(b)</w:t>
            </w:r>
            <w:del w:id="139" w:author="Master Repository Process" w:date="2021-09-11T17:07:00Z">
              <w:r>
                <w:rPr>
                  <w:sz w:val="18"/>
                </w:rPr>
                <w:delText xml:space="preserve"> </w:delText>
              </w:r>
            </w:del>
            <w:ins w:id="140" w:author="Master Repository Process" w:date="2021-09-11T17:07:00Z">
              <w:r>
                <w:rPr>
                  <w:sz w:val="18"/>
                </w:rPr>
                <w:tab/>
              </w:r>
            </w:ins>
            <w:r>
              <w:rPr>
                <w:sz w:val="18"/>
              </w:rPr>
              <w:t xml:space="preserve">Refer to </w:t>
            </w:r>
            <w:del w:id="141" w:author="Master Repository Process" w:date="2021-09-11T17:07:00Z">
              <w:r>
                <w:rPr>
                  <w:sz w:val="18"/>
                </w:rPr>
                <w:tab/>
                <w:delText>Commiss-</w:delText>
              </w:r>
              <w:r>
                <w:rPr>
                  <w:sz w:val="18"/>
                </w:rPr>
                <w:tab/>
                <w:delText>ion</w:delText>
              </w:r>
            </w:del>
            <w:ins w:id="142" w:author="Master Repository Process" w:date="2021-09-11T17:07:00Z">
              <w:r>
                <w:rPr>
                  <w:sz w:val="18"/>
                </w:rPr>
                <w:t>Commission</w:t>
              </w:r>
            </w:ins>
            <w:r>
              <w:rPr>
                <w:sz w:val="18"/>
              </w:rPr>
              <w:t xml:space="preserve"> for </w:t>
            </w:r>
            <w:del w:id="143" w:author="Master Repository Process" w:date="2021-09-11T17:07:00Z">
              <w:r>
                <w:rPr>
                  <w:sz w:val="18"/>
                </w:rPr>
                <w:tab/>
              </w:r>
            </w:del>
            <w:r>
              <w:rPr>
                <w:sz w:val="18"/>
              </w:rPr>
              <w:t>approval</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keepNext/>
              <w:keepLines/>
              <w:tabs>
                <w:tab w:val="left" w:pos="284"/>
              </w:tabs>
              <w:ind w:left="240" w:right="-32" w:hanging="240"/>
              <w:rPr>
                <w:sz w:val="18"/>
              </w:rPr>
            </w:pPr>
            <w:r>
              <w:rPr>
                <w:sz w:val="18"/>
              </w:rPr>
              <w:t>(c)</w:t>
            </w:r>
            <w:del w:id="144" w:author="Master Repository Process" w:date="2021-09-11T17:07:00Z">
              <w:r>
                <w:rPr>
                  <w:sz w:val="18"/>
                </w:rPr>
                <w:delText xml:space="preserve"> </w:delText>
              </w:r>
            </w:del>
            <w:ins w:id="145" w:author="Master Repository Process" w:date="2021-09-11T17:07:00Z">
              <w:r>
                <w:rPr>
                  <w:sz w:val="18"/>
                </w:rPr>
                <w:tab/>
              </w:r>
            </w:ins>
            <w:r>
              <w:rPr>
                <w:sz w:val="18"/>
              </w:rPr>
              <w:t xml:space="preserve">Advertising, </w:t>
            </w:r>
            <w:del w:id="146" w:author="Master Repository Process" w:date="2021-09-11T17:07:00Z">
              <w:r>
                <w:rPr>
                  <w:sz w:val="18"/>
                </w:rPr>
                <w:tab/>
                <w:delText>notifica-</w:delText>
              </w:r>
              <w:r>
                <w:rPr>
                  <w:sz w:val="18"/>
                </w:rPr>
                <w:tab/>
                <w:delText xml:space="preserve">tions, </w:delText>
              </w:r>
              <w:r>
                <w:rPr>
                  <w:sz w:val="18"/>
                </w:rPr>
                <w:tab/>
              </w:r>
            </w:del>
            <w:ins w:id="147" w:author="Master Repository Process" w:date="2021-09-11T17:07:00Z">
              <w:r>
                <w:rPr>
                  <w:sz w:val="18"/>
                </w:rPr>
                <w:t xml:space="preserve">notifications, </w:t>
              </w:r>
            </w:ins>
            <w:r>
              <w:rPr>
                <w:sz w:val="18"/>
              </w:rPr>
              <w:t>referrals</w:t>
            </w:r>
          </w:p>
        </w:tc>
        <w:tc>
          <w:tcPr>
            <w:tcW w:w="1134" w:type="dxa"/>
          </w:tcPr>
          <w:p>
            <w:pPr>
              <w:pStyle w:val="yTable"/>
              <w:keepNext/>
              <w:keepLines/>
              <w:rPr>
                <w:sz w:val="20"/>
              </w:rPr>
            </w:pPr>
          </w:p>
        </w:tc>
        <w:tc>
          <w:tcPr>
            <w:tcW w:w="1134" w:type="dxa"/>
          </w:tcPr>
          <w:p>
            <w:pPr>
              <w:pStyle w:val="yTable"/>
              <w:keepNext/>
              <w:keepLines/>
              <w:rPr>
                <w:sz w:val="20"/>
              </w:rPr>
            </w:pPr>
          </w:p>
        </w:tc>
        <w:tc>
          <w:tcPr>
            <w:tcW w:w="992" w:type="dxa"/>
          </w:tcPr>
          <w:p>
            <w:pPr>
              <w:pStyle w:val="yTable"/>
              <w:keepNext/>
              <w:keepLines/>
              <w:rPr>
                <w:sz w:val="20"/>
              </w:rPr>
            </w:pPr>
          </w:p>
        </w:tc>
        <w:tc>
          <w:tcPr>
            <w:tcW w:w="1560" w:type="dxa"/>
          </w:tcPr>
          <w:p>
            <w:pPr>
              <w:pStyle w:val="yTable"/>
              <w:keepNext/>
              <w:keepLines/>
              <w:rPr>
                <w:sz w:val="20"/>
              </w:rPr>
            </w:pPr>
          </w:p>
        </w:tc>
        <w:tc>
          <w:tcPr>
            <w:tcW w:w="1134" w:type="dxa"/>
          </w:tcPr>
          <w:p>
            <w:pPr>
              <w:pStyle w:val="yTable"/>
              <w:keepNext/>
              <w:keepLines/>
              <w:rPr>
                <w:sz w:val="20"/>
              </w:rPr>
            </w:pPr>
          </w:p>
        </w:tc>
      </w:tr>
      <w:tr>
        <w:trPr>
          <w:cantSplit/>
        </w:trPr>
        <w:tc>
          <w:tcPr>
            <w:tcW w:w="1384" w:type="dxa"/>
          </w:tcPr>
          <w:p>
            <w:pPr>
              <w:pStyle w:val="yTable"/>
              <w:tabs>
                <w:tab w:val="left" w:pos="284"/>
              </w:tabs>
              <w:ind w:left="240" w:hanging="240"/>
              <w:rPr>
                <w:sz w:val="18"/>
              </w:rPr>
            </w:pPr>
            <w:r>
              <w:rPr>
                <w:sz w:val="18"/>
              </w:rPr>
              <w:t>(d)</w:t>
            </w:r>
            <w:del w:id="148" w:author="Master Repository Process" w:date="2021-09-11T17:07:00Z">
              <w:r>
                <w:rPr>
                  <w:sz w:val="18"/>
                </w:rPr>
                <w:delText xml:space="preserve"> </w:delText>
              </w:r>
            </w:del>
            <w:ins w:id="149" w:author="Master Repository Process" w:date="2021-09-11T17:07:00Z">
              <w:r>
                <w:rPr>
                  <w:sz w:val="18"/>
                </w:rPr>
                <w:tab/>
              </w:r>
            </w:ins>
            <w:r>
              <w:rPr>
                <w:sz w:val="18"/>
              </w:rPr>
              <w:t xml:space="preserve">Deal with </w:t>
            </w:r>
            <w:del w:id="150" w:author="Master Repository Process" w:date="2021-09-11T17:07:00Z">
              <w:r>
                <w:rPr>
                  <w:sz w:val="18"/>
                </w:rPr>
                <w:tab/>
              </w:r>
            </w:del>
            <w:r>
              <w:rPr>
                <w:sz w:val="18"/>
              </w:rPr>
              <w:t>enquiries</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ind w:left="240" w:hanging="240"/>
              <w:rPr>
                <w:sz w:val="18"/>
              </w:rPr>
            </w:pPr>
            <w:r>
              <w:rPr>
                <w:sz w:val="18"/>
              </w:rPr>
              <w:t>(e)</w:t>
            </w:r>
            <w:del w:id="151" w:author="Master Repository Process" w:date="2021-09-11T17:07:00Z">
              <w:r>
                <w:rPr>
                  <w:sz w:val="18"/>
                </w:rPr>
                <w:delText xml:space="preserve"> </w:delText>
              </w:r>
            </w:del>
            <w:ins w:id="152" w:author="Master Repository Process" w:date="2021-09-11T17:07:00Z">
              <w:r>
                <w:rPr>
                  <w:sz w:val="18"/>
                </w:rPr>
                <w:tab/>
              </w:r>
            </w:ins>
            <w:r>
              <w:rPr>
                <w:sz w:val="18"/>
              </w:rPr>
              <w:t xml:space="preserve">Assess </w:t>
            </w:r>
            <w:del w:id="153" w:author="Master Repository Process" w:date="2021-09-11T17:07:00Z">
              <w:r>
                <w:rPr>
                  <w:sz w:val="18"/>
                </w:rPr>
                <w:tab/>
              </w:r>
            </w:del>
            <w:r>
              <w:rPr>
                <w:sz w:val="18"/>
              </w:rPr>
              <w:t>submissions</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ind w:left="240" w:hanging="240"/>
              <w:rPr>
                <w:sz w:val="18"/>
              </w:rPr>
            </w:pPr>
            <w:r>
              <w:rPr>
                <w:sz w:val="18"/>
              </w:rPr>
              <w:t>(f)</w:t>
            </w:r>
            <w:del w:id="154" w:author="Master Repository Process" w:date="2021-09-11T17:07:00Z">
              <w:r>
                <w:rPr>
                  <w:sz w:val="18"/>
                </w:rPr>
                <w:delText xml:space="preserve"> </w:delText>
              </w:r>
            </w:del>
            <w:ins w:id="155" w:author="Master Repository Process" w:date="2021-09-11T17:07:00Z">
              <w:r>
                <w:rPr>
                  <w:sz w:val="18"/>
                </w:rPr>
                <w:tab/>
              </w:r>
            </w:ins>
            <w:r>
              <w:rPr>
                <w:sz w:val="18"/>
              </w:rPr>
              <w:t xml:space="preserve">Liaise with </w:t>
            </w:r>
            <w:del w:id="156" w:author="Master Repository Process" w:date="2021-09-11T17:07:00Z">
              <w:r>
                <w:rPr>
                  <w:sz w:val="18"/>
                </w:rPr>
                <w:tab/>
              </w:r>
            </w:del>
            <w:r>
              <w:rPr>
                <w:sz w:val="18"/>
              </w:rPr>
              <w:t xml:space="preserve">external </w:t>
            </w:r>
            <w:del w:id="157" w:author="Master Repository Process" w:date="2021-09-11T17:07:00Z">
              <w:r>
                <w:rPr>
                  <w:sz w:val="18"/>
                </w:rPr>
                <w:tab/>
              </w:r>
            </w:del>
            <w:r>
              <w:rPr>
                <w:sz w:val="18"/>
              </w:rPr>
              <w:t>agencies</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Borders>
              <w:bottom w:val="nil"/>
            </w:tcBorders>
          </w:tcPr>
          <w:p>
            <w:pPr>
              <w:pStyle w:val="yTable"/>
              <w:tabs>
                <w:tab w:val="left" w:pos="284"/>
              </w:tabs>
              <w:ind w:left="240" w:hanging="240"/>
              <w:rPr>
                <w:sz w:val="18"/>
              </w:rPr>
            </w:pPr>
            <w:r>
              <w:rPr>
                <w:sz w:val="18"/>
              </w:rPr>
              <w:t>(g)</w:t>
            </w:r>
            <w:del w:id="158" w:author="Master Repository Process" w:date="2021-09-11T17:07:00Z">
              <w:r>
                <w:rPr>
                  <w:sz w:val="18"/>
                </w:rPr>
                <w:delText xml:space="preserve"> </w:delText>
              </w:r>
            </w:del>
            <w:ins w:id="159" w:author="Master Repository Process" w:date="2021-09-11T17:07:00Z">
              <w:r>
                <w:rPr>
                  <w:sz w:val="18"/>
                </w:rPr>
                <w:tab/>
              </w:r>
            </w:ins>
            <w:r>
              <w:rPr>
                <w:sz w:val="18"/>
              </w:rPr>
              <w:t xml:space="preserve">Applicant </w:t>
            </w:r>
            <w:del w:id="160" w:author="Master Repository Process" w:date="2021-09-11T17:07:00Z">
              <w:r>
                <w:rPr>
                  <w:sz w:val="18"/>
                </w:rPr>
                <w:tab/>
              </w:r>
            </w:del>
            <w:r>
              <w:rPr>
                <w:sz w:val="18"/>
              </w:rPr>
              <w:t xml:space="preserve">discussion </w:t>
            </w:r>
            <w:del w:id="161" w:author="Master Repository Process" w:date="2021-09-11T17:07:00Z">
              <w:r>
                <w:rPr>
                  <w:sz w:val="18"/>
                </w:rPr>
                <w:tab/>
              </w:r>
            </w:del>
            <w:r>
              <w:rPr>
                <w:sz w:val="18"/>
              </w:rPr>
              <w:t>and liaison</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shd w:val="pct15" w:color="auto" w:fill="FFFFFF"/>
          </w:tcPr>
          <w:p>
            <w:pPr>
              <w:pStyle w:val="yTable"/>
              <w:ind w:left="142" w:hanging="142"/>
              <w:rPr>
                <w:sz w:val="18"/>
              </w:rPr>
            </w:pPr>
            <w:r>
              <w:rPr>
                <w:sz w:val="18"/>
              </w:rPr>
              <w:t>4.Decision to adopt:</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ind w:left="240" w:hanging="240"/>
              <w:rPr>
                <w:sz w:val="18"/>
              </w:rPr>
            </w:pPr>
            <w:r>
              <w:rPr>
                <w:sz w:val="18"/>
              </w:rPr>
              <w:t>(a)</w:t>
            </w:r>
            <w:del w:id="162" w:author="Master Repository Process" w:date="2021-09-11T17:07:00Z">
              <w:r>
                <w:rPr>
                  <w:sz w:val="18"/>
                </w:rPr>
                <w:delText xml:space="preserve"> </w:delText>
              </w:r>
            </w:del>
            <w:ins w:id="163" w:author="Master Repository Process" w:date="2021-09-11T17:07:00Z">
              <w:r>
                <w:rPr>
                  <w:sz w:val="18"/>
                </w:rPr>
                <w:tab/>
              </w:r>
            </w:ins>
            <w:r>
              <w:rPr>
                <w:sz w:val="18"/>
              </w:rPr>
              <w:t xml:space="preserve">Finalise </w:t>
            </w:r>
            <w:del w:id="164" w:author="Master Repository Process" w:date="2021-09-11T17:07:00Z">
              <w:r>
                <w:rPr>
                  <w:sz w:val="18"/>
                </w:rPr>
                <w:tab/>
                <w:delText>amend-</w:delText>
              </w:r>
              <w:r>
                <w:rPr>
                  <w:sz w:val="18"/>
                </w:rPr>
                <w:tab/>
                <w:delText>ment</w:delText>
              </w:r>
            </w:del>
            <w:ins w:id="165" w:author="Master Repository Process" w:date="2021-09-11T17:07:00Z">
              <w:r>
                <w:rPr>
                  <w:sz w:val="18"/>
                </w:rPr>
                <w:t>amendment</w:t>
              </w:r>
            </w:ins>
            <w:r>
              <w:rPr>
                <w:sz w:val="18"/>
              </w:rPr>
              <w:t xml:space="preserve">/plan, </w:t>
            </w:r>
            <w:del w:id="166" w:author="Master Repository Process" w:date="2021-09-11T17:07:00Z">
              <w:r>
                <w:rPr>
                  <w:sz w:val="18"/>
                </w:rPr>
                <w:tab/>
              </w:r>
            </w:del>
            <w:r>
              <w:rPr>
                <w:sz w:val="18"/>
              </w:rPr>
              <w:t xml:space="preserve">report </w:t>
            </w:r>
            <w:del w:id="167" w:author="Master Repository Process" w:date="2021-09-11T17:07:00Z">
              <w:r>
                <w:rPr>
                  <w:sz w:val="18"/>
                </w:rPr>
                <w:tab/>
              </w:r>
            </w:del>
            <w:r>
              <w:rPr>
                <w:sz w:val="18"/>
              </w:rPr>
              <w:t xml:space="preserve">and agenda </w:t>
            </w:r>
            <w:del w:id="168" w:author="Master Repository Process" w:date="2021-09-11T17:07:00Z">
              <w:r>
                <w:rPr>
                  <w:sz w:val="18"/>
                </w:rPr>
                <w:tab/>
              </w:r>
            </w:del>
            <w:r>
              <w:rPr>
                <w:sz w:val="18"/>
              </w:rPr>
              <w:t>preparation</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ind w:left="240" w:hanging="240"/>
              <w:rPr>
                <w:sz w:val="18"/>
              </w:rPr>
            </w:pPr>
            <w:r>
              <w:rPr>
                <w:sz w:val="18"/>
              </w:rPr>
              <w:t>(b)</w:t>
            </w:r>
            <w:del w:id="169" w:author="Master Repository Process" w:date="2021-09-11T17:07:00Z">
              <w:r>
                <w:rPr>
                  <w:sz w:val="18"/>
                </w:rPr>
                <w:delText xml:space="preserve"> </w:delText>
              </w:r>
            </w:del>
            <w:ins w:id="170" w:author="Master Repository Process" w:date="2021-09-11T17:07:00Z">
              <w:r>
                <w:rPr>
                  <w:sz w:val="18"/>
                </w:rPr>
                <w:tab/>
              </w:r>
            </w:ins>
            <w:r>
              <w:rPr>
                <w:sz w:val="18"/>
              </w:rPr>
              <w:t xml:space="preserve">Applicant </w:t>
            </w:r>
            <w:del w:id="171" w:author="Master Repository Process" w:date="2021-09-11T17:07:00Z">
              <w:r>
                <w:rPr>
                  <w:sz w:val="18"/>
                </w:rPr>
                <w:tab/>
              </w:r>
            </w:del>
            <w:r>
              <w:rPr>
                <w:sz w:val="18"/>
              </w:rPr>
              <w:t>discussion</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Borders>
              <w:bottom w:val="nil"/>
            </w:tcBorders>
          </w:tcPr>
          <w:p>
            <w:pPr>
              <w:pStyle w:val="yTable"/>
              <w:ind w:left="240" w:hanging="240"/>
              <w:rPr>
                <w:sz w:val="18"/>
              </w:rPr>
            </w:pPr>
            <w:r>
              <w:rPr>
                <w:sz w:val="18"/>
              </w:rPr>
              <w:t>(c)</w:t>
            </w:r>
            <w:del w:id="172" w:author="Master Repository Process" w:date="2021-09-11T17:07:00Z">
              <w:r>
                <w:rPr>
                  <w:sz w:val="18"/>
                </w:rPr>
                <w:delText xml:space="preserve"> </w:delText>
              </w:r>
            </w:del>
            <w:ins w:id="173" w:author="Master Repository Process" w:date="2021-09-11T17:07:00Z">
              <w:r>
                <w:rPr>
                  <w:sz w:val="18"/>
                </w:rPr>
                <w:tab/>
              </w:r>
            </w:ins>
            <w:r>
              <w:rPr>
                <w:sz w:val="18"/>
              </w:rPr>
              <w:t xml:space="preserve">Action local </w:t>
            </w:r>
            <w:del w:id="174" w:author="Master Repository Process" w:date="2021-09-11T17:07:00Z">
              <w:r>
                <w:rPr>
                  <w:sz w:val="18"/>
                </w:rPr>
                <w:tab/>
              </w:r>
            </w:del>
            <w:r>
              <w:rPr>
                <w:sz w:val="18"/>
              </w:rPr>
              <w:t xml:space="preserve">government </w:t>
            </w:r>
            <w:del w:id="175" w:author="Master Repository Process" w:date="2021-09-11T17:07:00Z">
              <w:r>
                <w:rPr>
                  <w:spacing w:val="-4"/>
                  <w:sz w:val="18"/>
                </w:rPr>
                <w:tab/>
              </w:r>
            </w:del>
            <w:r>
              <w:rPr>
                <w:sz w:val="18"/>
              </w:rPr>
              <w:t>recommend</w:t>
            </w:r>
            <w:r>
              <w:rPr>
                <w:sz w:val="18"/>
              </w:rPr>
              <w:noBreakHyphen/>
            </w:r>
            <w:del w:id="176" w:author="Master Repository Process" w:date="2021-09-11T17:07:00Z">
              <w:r>
                <w:rPr>
                  <w:spacing w:val="-4"/>
                  <w:sz w:val="18"/>
                </w:rPr>
                <w:tab/>
              </w:r>
            </w:del>
            <w:r>
              <w:rPr>
                <w:sz w:val="18"/>
              </w:rPr>
              <w:t>ation</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shd w:val="pct15" w:color="auto" w:fill="FFFFFF"/>
          </w:tcPr>
          <w:p>
            <w:pPr>
              <w:pStyle w:val="yTable"/>
              <w:ind w:left="142" w:hanging="142"/>
              <w:rPr>
                <w:sz w:val="18"/>
              </w:rPr>
            </w:pPr>
            <w:r>
              <w:rPr>
                <w:sz w:val="18"/>
              </w:rPr>
              <w:t>5.Amendment/</w:t>
            </w:r>
            <w:r>
              <w:rPr>
                <w:sz w:val="18"/>
              </w:rPr>
              <w:br/>
              <w:t>plan approved:</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ind w:left="240" w:hanging="240"/>
              <w:rPr>
                <w:sz w:val="18"/>
              </w:rPr>
            </w:pPr>
            <w:r>
              <w:rPr>
                <w:sz w:val="18"/>
              </w:rPr>
              <w:t>(a)</w:t>
            </w:r>
            <w:del w:id="177" w:author="Master Repository Process" w:date="2021-09-11T17:07:00Z">
              <w:r>
                <w:rPr>
                  <w:sz w:val="18"/>
                </w:rPr>
                <w:delText xml:space="preserve"> </w:delText>
              </w:r>
            </w:del>
            <w:ins w:id="178" w:author="Master Repository Process" w:date="2021-09-11T17:07:00Z">
              <w:r>
                <w:rPr>
                  <w:sz w:val="18"/>
                </w:rPr>
                <w:tab/>
              </w:r>
            </w:ins>
            <w:r>
              <w:rPr>
                <w:sz w:val="18"/>
              </w:rPr>
              <w:t xml:space="preserve">Report on </w:t>
            </w:r>
            <w:del w:id="179" w:author="Master Repository Process" w:date="2021-09-11T17:07:00Z">
              <w:r>
                <w:rPr>
                  <w:sz w:val="18"/>
                </w:rPr>
                <w:tab/>
              </w:r>
            </w:del>
            <w:r>
              <w:rPr>
                <w:sz w:val="18"/>
              </w:rPr>
              <w:t xml:space="preserve">Minister’s </w:t>
            </w:r>
            <w:del w:id="180" w:author="Master Repository Process" w:date="2021-09-11T17:07:00Z">
              <w:r>
                <w:rPr>
                  <w:sz w:val="18"/>
                </w:rPr>
                <w:tab/>
              </w:r>
            </w:del>
            <w:r>
              <w:rPr>
                <w:sz w:val="18"/>
              </w:rPr>
              <w:t>approval</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ind w:left="240" w:hanging="240"/>
              <w:rPr>
                <w:sz w:val="18"/>
              </w:rPr>
            </w:pPr>
            <w:r>
              <w:rPr>
                <w:sz w:val="18"/>
              </w:rPr>
              <w:t>(b)</w:t>
            </w:r>
            <w:del w:id="181" w:author="Master Repository Process" w:date="2021-09-11T17:07:00Z">
              <w:r>
                <w:rPr>
                  <w:sz w:val="18"/>
                </w:rPr>
                <w:delText xml:space="preserve"> </w:delText>
              </w:r>
            </w:del>
            <w:ins w:id="182" w:author="Master Repository Process" w:date="2021-09-11T17:07:00Z">
              <w:r>
                <w:rPr>
                  <w:sz w:val="18"/>
                </w:rPr>
                <w:tab/>
              </w:r>
            </w:ins>
            <w:r>
              <w:rPr>
                <w:sz w:val="18"/>
              </w:rPr>
              <w:t xml:space="preserve">Notify </w:t>
            </w:r>
            <w:del w:id="183" w:author="Master Repository Process" w:date="2021-09-11T17:07:00Z">
              <w:r>
                <w:rPr>
                  <w:sz w:val="18"/>
                </w:rPr>
                <w:tab/>
              </w:r>
            </w:del>
            <w:r>
              <w:rPr>
                <w:sz w:val="18"/>
              </w:rPr>
              <w:t>submissions</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ind w:left="240" w:hanging="240"/>
              <w:rPr>
                <w:sz w:val="18"/>
              </w:rPr>
            </w:pPr>
            <w:r>
              <w:rPr>
                <w:sz w:val="18"/>
              </w:rPr>
              <w:t>(c)</w:t>
            </w:r>
            <w:del w:id="184" w:author="Master Repository Process" w:date="2021-09-11T17:07:00Z">
              <w:r>
                <w:rPr>
                  <w:sz w:val="18"/>
                </w:rPr>
                <w:delText xml:space="preserve"> </w:delText>
              </w:r>
            </w:del>
            <w:ins w:id="185" w:author="Master Repository Process" w:date="2021-09-11T17:07:00Z">
              <w:r>
                <w:rPr>
                  <w:sz w:val="18"/>
                </w:rPr>
                <w:tab/>
              </w:r>
            </w:ins>
            <w:r>
              <w:rPr>
                <w:sz w:val="18"/>
              </w:rPr>
              <w:t xml:space="preserve">Update text </w:t>
            </w:r>
            <w:del w:id="186" w:author="Master Repository Process" w:date="2021-09-11T17:07:00Z">
              <w:r>
                <w:rPr>
                  <w:sz w:val="18"/>
                </w:rPr>
                <w:tab/>
              </w:r>
            </w:del>
            <w:r>
              <w:rPr>
                <w:sz w:val="18"/>
              </w:rPr>
              <w:t>and maps</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keepNext/>
              <w:keepLines/>
              <w:rPr>
                <w:sz w:val="18"/>
              </w:rPr>
            </w:pPr>
            <w:r>
              <w:rPr>
                <w:sz w:val="18"/>
              </w:rPr>
              <w:t>HOURS</w:t>
            </w:r>
          </w:p>
        </w:tc>
        <w:tc>
          <w:tcPr>
            <w:tcW w:w="1134" w:type="dxa"/>
          </w:tcPr>
          <w:p>
            <w:pPr>
              <w:pStyle w:val="yTable"/>
              <w:keepNext/>
              <w:keepLines/>
              <w:rPr>
                <w:sz w:val="20"/>
              </w:rPr>
            </w:pPr>
          </w:p>
        </w:tc>
        <w:tc>
          <w:tcPr>
            <w:tcW w:w="1134" w:type="dxa"/>
          </w:tcPr>
          <w:p>
            <w:pPr>
              <w:pStyle w:val="yTable"/>
              <w:keepNext/>
              <w:keepLines/>
              <w:rPr>
                <w:sz w:val="20"/>
              </w:rPr>
            </w:pPr>
          </w:p>
        </w:tc>
        <w:tc>
          <w:tcPr>
            <w:tcW w:w="992" w:type="dxa"/>
          </w:tcPr>
          <w:p>
            <w:pPr>
              <w:pStyle w:val="yTable"/>
              <w:keepNext/>
              <w:keepLines/>
              <w:rPr>
                <w:sz w:val="20"/>
              </w:rPr>
            </w:pPr>
          </w:p>
        </w:tc>
        <w:tc>
          <w:tcPr>
            <w:tcW w:w="1560" w:type="dxa"/>
          </w:tcPr>
          <w:p>
            <w:pPr>
              <w:pStyle w:val="yTable"/>
              <w:keepNext/>
              <w:keepLines/>
              <w:rPr>
                <w:sz w:val="20"/>
              </w:rPr>
            </w:pPr>
          </w:p>
        </w:tc>
        <w:tc>
          <w:tcPr>
            <w:tcW w:w="1134" w:type="dxa"/>
          </w:tcPr>
          <w:p>
            <w:pPr>
              <w:pStyle w:val="yTable"/>
              <w:keepNext/>
              <w:keepLines/>
              <w:rPr>
                <w:sz w:val="20"/>
              </w:rPr>
            </w:pPr>
          </w:p>
        </w:tc>
      </w:tr>
      <w:tr>
        <w:trPr>
          <w:cantSplit/>
        </w:trPr>
        <w:tc>
          <w:tcPr>
            <w:tcW w:w="1384" w:type="dxa"/>
          </w:tcPr>
          <w:p>
            <w:pPr>
              <w:pStyle w:val="yTable"/>
              <w:keepNext/>
              <w:keepLines/>
              <w:rPr>
                <w:sz w:val="18"/>
              </w:rPr>
            </w:pPr>
            <w:r>
              <w:rPr>
                <w:sz w:val="18"/>
              </w:rPr>
              <w:t>COST</w:t>
            </w:r>
          </w:p>
        </w:tc>
        <w:tc>
          <w:tcPr>
            <w:tcW w:w="1134" w:type="dxa"/>
          </w:tcPr>
          <w:p>
            <w:pPr>
              <w:pStyle w:val="yTable"/>
              <w:keepNext/>
              <w:keepLines/>
              <w:rPr>
                <w:sz w:val="20"/>
              </w:rPr>
            </w:pPr>
          </w:p>
        </w:tc>
        <w:tc>
          <w:tcPr>
            <w:tcW w:w="1134" w:type="dxa"/>
          </w:tcPr>
          <w:p>
            <w:pPr>
              <w:pStyle w:val="yTable"/>
              <w:keepNext/>
              <w:keepLines/>
              <w:rPr>
                <w:sz w:val="20"/>
              </w:rPr>
            </w:pPr>
          </w:p>
        </w:tc>
        <w:tc>
          <w:tcPr>
            <w:tcW w:w="992" w:type="dxa"/>
          </w:tcPr>
          <w:p>
            <w:pPr>
              <w:pStyle w:val="yTable"/>
              <w:keepNext/>
              <w:keepLines/>
              <w:rPr>
                <w:sz w:val="20"/>
              </w:rPr>
            </w:pPr>
          </w:p>
        </w:tc>
        <w:tc>
          <w:tcPr>
            <w:tcW w:w="1560" w:type="dxa"/>
          </w:tcPr>
          <w:p>
            <w:pPr>
              <w:pStyle w:val="yTable"/>
              <w:keepNext/>
              <w:keepLines/>
              <w:rPr>
                <w:sz w:val="20"/>
              </w:rPr>
            </w:pPr>
          </w:p>
        </w:tc>
        <w:tc>
          <w:tcPr>
            <w:tcW w:w="1134" w:type="dxa"/>
          </w:tcPr>
          <w:p>
            <w:pPr>
              <w:pStyle w:val="yTable"/>
              <w:keepNext/>
              <w:keepLines/>
              <w:rPr>
                <w:sz w:val="20"/>
              </w:rPr>
            </w:pPr>
          </w:p>
        </w:tc>
      </w:tr>
      <w:tr>
        <w:trPr>
          <w:cantSplit/>
        </w:trPr>
        <w:tc>
          <w:tcPr>
            <w:tcW w:w="1384" w:type="dxa"/>
          </w:tcPr>
          <w:p>
            <w:pPr>
              <w:pStyle w:val="yTable"/>
              <w:rPr>
                <w:sz w:val="18"/>
              </w:rPr>
            </w:pPr>
            <w:r>
              <w:rPr>
                <w:sz w:val="18"/>
              </w:rPr>
              <w:t>+33.3% (To recover operating overhead costs)</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rPr>
                <w:sz w:val="18"/>
              </w:rPr>
            </w:pPr>
            <w:r>
              <w:rPr>
                <w:sz w:val="18"/>
              </w:rPr>
              <w:t>Total salary costs</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rPr>
                <w:sz w:val="18"/>
              </w:rPr>
            </w:pPr>
            <w:r>
              <w:rPr>
                <w:sz w:val="18"/>
              </w:rPr>
              <w:t>+ Direct costs</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rPr>
                <w:sz w:val="18"/>
              </w:rPr>
            </w:pPr>
            <w:r>
              <w:rPr>
                <w:sz w:val="18"/>
              </w:rPr>
              <w:t>+ Special costs</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rPr>
                <w:sz w:val="18"/>
              </w:rPr>
            </w:pPr>
            <w:r>
              <w:rPr>
                <w:sz w:val="18"/>
              </w:rPr>
              <w:t>+ Scheme map and text preparation</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rPr>
                <w:sz w:val="18"/>
              </w:rPr>
            </w:pPr>
            <w:r>
              <w:rPr>
                <w:sz w:val="18"/>
              </w:rPr>
              <w:t>TOTAL PAYABLE</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bl>
    <w:p>
      <w:pPr>
        <w:pStyle w:val="Subsection"/>
        <w:tabs>
          <w:tab w:val="clear" w:pos="595"/>
          <w:tab w:val="clear" w:pos="879"/>
          <w:tab w:val="right" w:pos="142"/>
          <w:tab w:val="left" w:pos="1134"/>
        </w:tabs>
        <w:ind w:left="142" w:hanging="142"/>
        <w:rPr>
          <w:i/>
        </w:rPr>
      </w:pPr>
      <w:r>
        <w:rPr>
          <w:i/>
        </w:rPr>
        <w:tab/>
        <w:t>*</w:t>
      </w:r>
      <w:r>
        <w:rPr>
          <w:i/>
          <w:sz w:val="22"/>
        </w:rPr>
        <w:t>Where readvertising of substantial modifications is required, the fee is to be calculated in accordance with items 3, 4 and 5 of the Table for the staff time used in arranging the readvertising and reviewing the submissions and the direct costs incurred in readvertising the amendment.</w:t>
      </w:r>
    </w:p>
    <w:p>
      <w:pPr>
        <w:pStyle w:val="yFootnotesection"/>
      </w:pPr>
      <w:bookmarkStart w:id="187" w:name="_Toc132432309"/>
      <w:bookmarkStart w:id="188" w:name="_Toc132432363"/>
      <w:r>
        <w:tab/>
        <w:t>[Part 2 amended in Gazette 8 Jun 2007 p. 2634-5; 22 Jun 2007 p. 2861; 10 Oct 2008 p. 4553.]</w:t>
      </w:r>
    </w:p>
    <w:p>
      <w:pPr>
        <w:pStyle w:val="yHeading2"/>
        <w:keepNext w:val="0"/>
        <w:spacing w:after="120"/>
        <w:rPr>
          <w:rStyle w:val="CharPartText"/>
        </w:rPr>
      </w:pPr>
      <w:bookmarkStart w:id="189" w:name="_Toc168988885"/>
      <w:bookmarkStart w:id="190" w:name="_Toc168988916"/>
      <w:bookmarkStart w:id="191" w:name="_Toc168988977"/>
      <w:bookmarkStart w:id="192" w:name="_Toc170620659"/>
      <w:bookmarkStart w:id="193" w:name="_Toc170802083"/>
      <w:bookmarkStart w:id="194" w:name="_Toc211328571"/>
      <w:bookmarkStart w:id="195" w:name="_Toc220465388"/>
      <w:bookmarkStart w:id="196" w:name="_Toc220467434"/>
      <w:bookmarkStart w:id="197" w:name="_Toc222027435"/>
      <w:bookmarkStart w:id="198" w:name="_Toc222027601"/>
      <w:r>
        <w:rPr>
          <w:rStyle w:val="CharSDivNo"/>
        </w:rPr>
        <w:t>Part 3</w:t>
      </w:r>
      <w:r>
        <w:t xml:space="preserve"> — </w:t>
      </w:r>
      <w:r>
        <w:rPr>
          <w:rStyle w:val="CharSDivText"/>
        </w:rPr>
        <w:t>Maximum fees: structure plans</w:t>
      </w:r>
      <w:r>
        <w:t>**</w:t>
      </w:r>
      <w:bookmarkEnd w:id="187"/>
      <w:bookmarkEnd w:id="188"/>
      <w:bookmarkEnd w:id="189"/>
      <w:bookmarkEnd w:id="190"/>
      <w:bookmarkEnd w:id="191"/>
      <w:bookmarkEnd w:id="192"/>
      <w:bookmarkEnd w:id="193"/>
      <w:bookmarkEnd w:id="194"/>
      <w:bookmarkEnd w:id="195"/>
      <w:bookmarkEnd w:id="196"/>
      <w:bookmarkEnd w:id="197"/>
      <w:bookmarkEnd w:id="198"/>
    </w:p>
    <w:tbl>
      <w:tblPr>
        <w:tblW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134"/>
        <w:gridCol w:w="1134"/>
        <w:gridCol w:w="992"/>
        <w:gridCol w:w="1560"/>
        <w:gridCol w:w="1134"/>
      </w:tblGrid>
      <w:tr>
        <w:trPr>
          <w:cantSplit/>
          <w:tblHeader/>
        </w:trPr>
        <w:tc>
          <w:tcPr>
            <w:tcW w:w="1384" w:type="dxa"/>
            <w:shd w:val="pct15" w:color="auto" w:fill="FFFFFF"/>
          </w:tcPr>
          <w:p>
            <w:pPr>
              <w:pStyle w:val="yTable"/>
              <w:rPr>
                <w:b/>
                <w:sz w:val="20"/>
              </w:rPr>
            </w:pPr>
            <w:r>
              <w:rPr>
                <w:b/>
                <w:sz w:val="20"/>
              </w:rPr>
              <w:t>Task</w:t>
            </w:r>
          </w:p>
        </w:tc>
        <w:tc>
          <w:tcPr>
            <w:tcW w:w="5954" w:type="dxa"/>
            <w:gridSpan w:val="5"/>
            <w:shd w:val="pct15" w:color="auto" w:fill="FFFFFF"/>
          </w:tcPr>
          <w:p>
            <w:pPr>
              <w:pStyle w:val="yTable"/>
              <w:jc w:val="center"/>
              <w:rPr>
                <w:b/>
                <w:sz w:val="20"/>
              </w:rPr>
            </w:pPr>
            <w:r>
              <w:rPr>
                <w:b/>
                <w:sz w:val="20"/>
              </w:rPr>
              <w:t>Estimated costs</w:t>
            </w:r>
          </w:p>
        </w:tc>
      </w:tr>
      <w:tr>
        <w:trPr>
          <w:cantSplit/>
          <w:tblHeader/>
        </w:trPr>
        <w:tc>
          <w:tcPr>
            <w:tcW w:w="1384" w:type="dxa"/>
            <w:tcBorders>
              <w:bottom w:val="nil"/>
            </w:tcBorders>
          </w:tcPr>
          <w:p>
            <w:pPr>
              <w:pStyle w:val="yTable"/>
              <w:rPr>
                <w:b/>
                <w:sz w:val="20"/>
              </w:rPr>
            </w:pPr>
          </w:p>
        </w:tc>
        <w:tc>
          <w:tcPr>
            <w:tcW w:w="1134" w:type="dxa"/>
          </w:tcPr>
          <w:p>
            <w:pPr>
              <w:pStyle w:val="yTable"/>
              <w:jc w:val="center"/>
              <w:rPr>
                <w:b/>
                <w:sz w:val="18"/>
              </w:rPr>
            </w:pPr>
            <w:r>
              <w:rPr>
                <w:b/>
                <w:sz w:val="18"/>
              </w:rPr>
              <w:t>Director/ City/ Shire Planner (</w:t>
            </w:r>
            <w:r>
              <w:rPr>
                <w:b/>
                <w:bCs/>
                <w:sz w:val="18"/>
              </w:rPr>
              <w:t>$76</w:t>
            </w:r>
            <w:r>
              <w:rPr>
                <w:b/>
                <w:sz w:val="18"/>
              </w:rPr>
              <w:t>/hour)</w:t>
            </w:r>
          </w:p>
        </w:tc>
        <w:tc>
          <w:tcPr>
            <w:tcW w:w="1134" w:type="dxa"/>
          </w:tcPr>
          <w:p>
            <w:pPr>
              <w:pStyle w:val="yTable"/>
              <w:jc w:val="center"/>
              <w:rPr>
                <w:b/>
                <w:sz w:val="18"/>
              </w:rPr>
            </w:pPr>
            <w:r>
              <w:rPr>
                <w:b/>
                <w:sz w:val="18"/>
              </w:rPr>
              <w:t>Manager/ Senior Planner ($57/hour)</w:t>
            </w:r>
          </w:p>
        </w:tc>
        <w:tc>
          <w:tcPr>
            <w:tcW w:w="992" w:type="dxa"/>
          </w:tcPr>
          <w:p>
            <w:pPr>
              <w:pStyle w:val="yTable"/>
              <w:jc w:val="center"/>
              <w:rPr>
                <w:b/>
                <w:sz w:val="18"/>
              </w:rPr>
            </w:pPr>
            <w:r>
              <w:rPr>
                <w:b/>
                <w:sz w:val="18"/>
              </w:rPr>
              <w:t xml:space="preserve">Planning Officer </w:t>
            </w:r>
            <w:r>
              <w:rPr>
                <w:b/>
                <w:spacing w:val="-4"/>
                <w:sz w:val="18"/>
              </w:rPr>
              <w:t>($32/hour)</w:t>
            </w:r>
          </w:p>
        </w:tc>
        <w:tc>
          <w:tcPr>
            <w:tcW w:w="1560" w:type="dxa"/>
          </w:tcPr>
          <w:p>
            <w:pPr>
              <w:pStyle w:val="yTable"/>
              <w:jc w:val="center"/>
              <w:rPr>
                <w:b/>
                <w:sz w:val="18"/>
              </w:rPr>
            </w:pPr>
            <w:r>
              <w:rPr>
                <w:b/>
                <w:sz w:val="18"/>
              </w:rPr>
              <w:t xml:space="preserve">Other staff e.g. environmental health officer </w:t>
            </w:r>
            <w:r>
              <w:rPr>
                <w:b/>
                <w:sz w:val="18"/>
              </w:rPr>
              <w:br/>
              <w:t xml:space="preserve">(2 @ </w:t>
            </w:r>
            <w:r>
              <w:rPr>
                <w:b/>
                <w:spacing w:val="-4"/>
                <w:sz w:val="18"/>
              </w:rPr>
              <w:t>$32</w:t>
            </w:r>
            <w:r>
              <w:rPr>
                <w:b/>
                <w:sz w:val="18"/>
              </w:rPr>
              <w:t>/hour)</w:t>
            </w:r>
          </w:p>
        </w:tc>
        <w:tc>
          <w:tcPr>
            <w:tcW w:w="1134" w:type="dxa"/>
          </w:tcPr>
          <w:p>
            <w:pPr>
              <w:pStyle w:val="yTable"/>
              <w:ind w:left="-84" w:right="-78"/>
              <w:jc w:val="center"/>
              <w:rPr>
                <w:b/>
                <w:sz w:val="18"/>
              </w:rPr>
            </w:pPr>
            <w:r>
              <w:rPr>
                <w:b/>
                <w:sz w:val="18"/>
              </w:rPr>
              <w:t xml:space="preserve">Secretary/ </w:t>
            </w:r>
            <w:r>
              <w:rPr>
                <w:b/>
                <w:spacing w:val="-12"/>
                <w:sz w:val="18"/>
              </w:rPr>
              <w:t>administrative</w:t>
            </w:r>
            <w:r>
              <w:rPr>
                <w:b/>
                <w:sz w:val="18"/>
              </w:rPr>
              <w:t xml:space="preserve"> clerk ($26/hour)</w:t>
            </w:r>
          </w:p>
        </w:tc>
      </w:tr>
      <w:tr>
        <w:trPr>
          <w:cantSplit/>
        </w:trPr>
        <w:tc>
          <w:tcPr>
            <w:tcW w:w="1384" w:type="dxa"/>
            <w:tcBorders>
              <w:bottom w:val="single" w:sz="4" w:space="0" w:color="auto"/>
            </w:tcBorders>
            <w:shd w:val="pct15" w:color="auto" w:fill="FFFFFF"/>
          </w:tcPr>
          <w:p>
            <w:pPr>
              <w:pStyle w:val="yTable"/>
              <w:rPr>
                <w:sz w:val="18"/>
              </w:rPr>
            </w:pPr>
            <w:r>
              <w:rPr>
                <w:sz w:val="18"/>
              </w:rPr>
              <w:t>1.Preliminaries:</w:t>
            </w:r>
          </w:p>
        </w:tc>
        <w:tc>
          <w:tcPr>
            <w:tcW w:w="1134" w:type="dxa"/>
            <w:tcBorders>
              <w:bottom w:val="single" w:sz="4" w:space="0" w:color="auto"/>
            </w:tcBorders>
          </w:tcPr>
          <w:p>
            <w:pPr>
              <w:pStyle w:val="yTable"/>
              <w:rPr>
                <w:sz w:val="20"/>
              </w:rPr>
            </w:pPr>
          </w:p>
        </w:tc>
        <w:tc>
          <w:tcPr>
            <w:tcW w:w="1134" w:type="dxa"/>
            <w:tcBorders>
              <w:bottom w:val="single" w:sz="4" w:space="0" w:color="auto"/>
            </w:tcBorders>
          </w:tcPr>
          <w:p>
            <w:pPr>
              <w:pStyle w:val="yTable"/>
              <w:rPr>
                <w:sz w:val="20"/>
              </w:rPr>
            </w:pPr>
          </w:p>
        </w:tc>
        <w:tc>
          <w:tcPr>
            <w:tcW w:w="992" w:type="dxa"/>
            <w:tcBorders>
              <w:bottom w:val="single" w:sz="4" w:space="0" w:color="auto"/>
            </w:tcBorders>
          </w:tcPr>
          <w:p>
            <w:pPr>
              <w:pStyle w:val="yTable"/>
              <w:rPr>
                <w:sz w:val="20"/>
              </w:rPr>
            </w:pPr>
          </w:p>
        </w:tc>
        <w:tc>
          <w:tcPr>
            <w:tcW w:w="1560" w:type="dxa"/>
            <w:tcBorders>
              <w:bottom w:val="single" w:sz="4" w:space="0" w:color="auto"/>
            </w:tcBorders>
          </w:tcPr>
          <w:p>
            <w:pPr>
              <w:pStyle w:val="yTable"/>
              <w:rPr>
                <w:sz w:val="20"/>
              </w:rPr>
            </w:pPr>
          </w:p>
        </w:tc>
        <w:tc>
          <w:tcPr>
            <w:tcW w:w="1134" w:type="dxa"/>
            <w:tcBorders>
              <w:bottom w:val="single" w:sz="4" w:space="0" w:color="auto"/>
            </w:tcBorders>
          </w:tcPr>
          <w:p>
            <w:pPr>
              <w:pStyle w:val="yTable"/>
              <w:rPr>
                <w:sz w:val="20"/>
              </w:rPr>
            </w:pPr>
          </w:p>
        </w:tc>
      </w:tr>
      <w:tr>
        <w:trPr>
          <w:cantSplit/>
        </w:trPr>
        <w:tc>
          <w:tcPr>
            <w:tcW w:w="1384" w:type="dxa"/>
            <w:tcBorders>
              <w:bottom w:val="single" w:sz="4" w:space="0" w:color="auto"/>
            </w:tcBorders>
          </w:tcPr>
          <w:p>
            <w:pPr>
              <w:pStyle w:val="yTable"/>
              <w:rPr>
                <w:sz w:val="18"/>
              </w:rPr>
            </w:pPr>
            <w:r>
              <w:rPr>
                <w:sz w:val="18"/>
              </w:rPr>
              <w:t>Preliminary discussions and registration</w:t>
            </w:r>
          </w:p>
        </w:tc>
        <w:tc>
          <w:tcPr>
            <w:tcW w:w="1134" w:type="dxa"/>
            <w:tcBorders>
              <w:bottom w:val="single" w:sz="4" w:space="0" w:color="auto"/>
            </w:tcBorders>
          </w:tcPr>
          <w:p>
            <w:pPr>
              <w:pStyle w:val="yTable"/>
              <w:rPr>
                <w:sz w:val="20"/>
              </w:rPr>
            </w:pPr>
          </w:p>
        </w:tc>
        <w:tc>
          <w:tcPr>
            <w:tcW w:w="1134" w:type="dxa"/>
            <w:tcBorders>
              <w:bottom w:val="single" w:sz="4" w:space="0" w:color="auto"/>
            </w:tcBorders>
          </w:tcPr>
          <w:p>
            <w:pPr>
              <w:pStyle w:val="yTable"/>
              <w:rPr>
                <w:sz w:val="20"/>
              </w:rPr>
            </w:pPr>
          </w:p>
        </w:tc>
        <w:tc>
          <w:tcPr>
            <w:tcW w:w="992" w:type="dxa"/>
            <w:tcBorders>
              <w:bottom w:val="single" w:sz="4" w:space="0" w:color="auto"/>
            </w:tcBorders>
          </w:tcPr>
          <w:p>
            <w:pPr>
              <w:pStyle w:val="yTable"/>
              <w:rPr>
                <w:sz w:val="20"/>
              </w:rPr>
            </w:pPr>
          </w:p>
        </w:tc>
        <w:tc>
          <w:tcPr>
            <w:tcW w:w="1560" w:type="dxa"/>
            <w:tcBorders>
              <w:bottom w:val="single" w:sz="4" w:space="0" w:color="auto"/>
            </w:tcBorders>
          </w:tcPr>
          <w:p>
            <w:pPr>
              <w:pStyle w:val="yTable"/>
              <w:rPr>
                <w:sz w:val="20"/>
              </w:rPr>
            </w:pPr>
          </w:p>
        </w:tc>
        <w:tc>
          <w:tcPr>
            <w:tcW w:w="1134" w:type="dxa"/>
            <w:tcBorders>
              <w:bottom w:val="single" w:sz="4" w:space="0" w:color="auto"/>
            </w:tcBorders>
          </w:tcPr>
          <w:p>
            <w:pPr>
              <w:pStyle w:val="yTable"/>
              <w:rPr>
                <w:sz w:val="20"/>
              </w:rPr>
            </w:pPr>
          </w:p>
        </w:tc>
      </w:tr>
      <w:tr>
        <w:trPr>
          <w:cantSplit/>
        </w:trPr>
        <w:tc>
          <w:tcPr>
            <w:tcW w:w="1384" w:type="dxa"/>
            <w:tcBorders>
              <w:top w:val="single" w:sz="4" w:space="0" w:color="auto"/>
            </w:tcBorders>
            <w:shd w:val="pct15" w:color="auto" w:fill="FFFFFF"/>
          </w:tcPr>
          <w:p>
            <w:pPr>
              <w:pStyle w:val="yTable"/>
              <w:keepNext/>
              <w:ind w:left="142" w:hanging="142"/>
              <w:rPr>
                <w:sz w:val="18"/>
              </w:rPr>
            </w:pPr>
            <w:r>
              <w:rPr>
                <w:sz w:val="18"/>
              </w:rPr>
              <w:t>2.Decision to advertise:</w:t>
            </w:r>
          </w:p>
        </w:tc>
        <w:tc>
          <w:tcPr>
            <w:tcW w:w="1134" w:type="dxa"/>
            <w:tcBorders>
              <w:top w:val="single" w:sz="4" w:space="0" w:color="auto"/>
            </w:tcBorders>
          </w:tcPr>
          <w:p>
            <w:pPr>
              <w:pStyle w:val="yTable"/>
              <w:keepNext/>
              <w:rPr>
                <w:sz w:val="20"/>
              </w:rPr>
            </w:pPr>
          </w:p>
        </w:tc>
        <w:tc>
          <w:tcPr>
            <w:tcW w:w="1134" w:type="dxa"/>
            <w:tcBorders>
              <w:top w:val="single" w:sz="4" w:space="0" w:color="auto"/>
            </w:tcBorders>
          </w:tcPr>
          <w:p>
            <w:pPr>
              <w:pStyle w:val="yTable"/>
              <w:keepNext/>
              <w:rPr>
                <w:sz w:val="20"/>
              </w:rPr>
            </w:pPr>
          </w:p>
        </w:tc>
        <w:tc>
          <w:tcPr>
            <w:tcW w:w="992" w:type="dxa"/>
            <w:tcBorders>
              <w:top w:val="single" w:sz="4" w:space="0" w:color="auto"/>
            </w:tcBorders>
          </w:tcPr>
          <w:p>
            <w:pPr>
              <w:pStyle w:val="yTable"/>
              <w:keepNext/>
              <w:rPr>
                <w:sz w:val="20"/>
              </w:rPr>
            </w:pPr>
          </w:p>
        </w:tc>
        <w:tc>
          <w:tcPr>
            <w:tcW w:w="1560" w:type="dxa"/>
            <w:tcBorders>
              <w:top w:val="single" w:sz="4" w:space="0" w:color="auto"/>
            </w:tcBorders>
          </w:tcPr>
          <w:p>
            <w:pPr>
              <w:pStyle w:val="yTable"/>
              <w:keepNext/>
              <w:rPr>
                <w:sz w:val="20"/>
              </w:rPr>
            </w:pPr>
          </w:p>
        </w:tc>
        <w:tc>
          <w:tcPr>
            <w:tcW w:w="1134" w:type="dxa"/>
            <w:tcBorders>
              <w:top w:val="single" w:sz="4" w:space="0" w:color="auto"/>
            </w:tcBorders>
          </w:tcPr>
          <w:p>
            <w:pPr>
              <w:pStyle w:val="yTable"/>
              <w:keepNext/>
              <w:rPr>
                <w:sz w:val="20"/>
              </w:rPr>
            </w:pPr>
          </w:p>
        </w:tc>
      </w:tr>
      <w:tr>
        <w:trPr>
          <w:cantSplit/>
        </w:trPr>
        <w:tc>
          <w:tcPr>
            <w:tcW w:w="1384" w:type="dxa"/>
          </w:tcPr>
          <w:p>
            <w:pPr>
              <w:pStyle w:val="yTable"/>
              <w:tabs>
                <w:tab w:val="left" w:pos="284"/>
              </w:tabs>
              <w:ind w:left="240" w:hanging="240"/>
              <w:rPr>
                <w:sz w:val="18"/>
              </w:rPr>
            </w:pPr>
            <w:r>
              <w:rPr>
                <w:sz w:val="18"/>
              </w:rPr>
              <w:t>(a)</w:t>
            </w:r>
            <w:del w:id="199" w:author="Master Repository Process" w:date="2021-09-11T17:07:00Z">
              <w:r>
                <w:rPr>
                  <w:sz w:val="18"/>
                </w:rPr>
                <w:delText xml:space="preserve"> </w:delText>
              </w:r>
            </w:del>
            <w:ins w:id="200" w:author="Master Repository Process" w:date="2021-09-11T17:07:00Z">
              <w:r>
                <w:rPr>
                  <w:sz w:val="18"/>
                </w:rPr>
                <w:tab/>
              </w:r>
            </w:ins>
            <w:r>
              <w:rPr>
                <w:sz w:val="18"/>
              </w:rPr>
              <w:t xml:space="preserve">Information </w:t>
            </w:r>
            <w:del w:id="201" w:author="Master Repository Process" w:date="2021-09-11T17:07:00Z">
              <w:r>
                <w:rPr>
                  <w:sz w:val="18"/>
                </w:rPr>
                <w:tab/>
              </w:r>
            </w:del>
            <w:r>
              <w:rPr>
                <w:sz w:val="18"/>
              </w:rPr>
              <w:t xml:space="preserve">and site </w:t>
            </w:r>
            <w:del w:id="202" w:author="Master Repository Process" w:date="2021-09-11T17:07:00Z">
              <w:r>
                <w:rPr>
                  <w:sz w:val="18"/>
                </w:rPr>
                <w:tab/>
              </w:r>
            </w:del>
            <w:r>
              <w:rPr>
                <w:sz w:val="18"/>
              </w:rPr>
              <w:t>visit</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ind w:left="240" w:hanging="240"/>
              <w:rPr>
                <w:sz w:val="18"/>
              </w:rPr>
            </w:pPr>
            <w:r>
              <w:rPr>
                <w:sz w:val="18"/>
              </w:rPr>
              <w:t>(b)</w:t>
            </w:r>
            <w:del w:id="203" w:author="Master Repository Process" w:date="2021-09-11T17:07:00Z">
              <w:r>
                <w:rPr>
                  <w:sz w:val="18"/>
                </w:rPr>
                <w:delText xml:space="preserve"> </w:delText>
              </w:r>
            </w:del>
            <w:ins w:id="204" w:author="Master Repository Process" w:date="2021-09-11T17:07:00Z">
              <w:r>
                <w:rPr>
                  <w:sz w:val="18"/>
                </w:rPr>
                <w:tab/>
              </w:r>
            </w:ins>
            <w:r>
              <w:rPr>
                <w:sz w:val="18"/>
              </w:rPr>
              <w:t xml:space="preserve">Proponent </w:t>
            </w:r>
            <w:del w:id="205" w:author="Master Repository Process" w:date="2021-09-11T17:07:00Z">
              <w:r>
                <w:rPr>
                  <w:sz w:val="18"/>
                </w:rPr>
                <w:tab/>
              </w:r>
            </w:del>
            <w:r>
              <w:rPr>
                <w:sz w:val="18"/>
              </w:rPr>
              <w:t>discussion</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ind w:left="240" w:hanging="240"/>
              <w:rPr>
                <w:sz w:val="18"/>
              </w:rPr>
            </w:pPr>
            <w:r>
              <w:rPr>
                <w:spacing w:val="-4"/>
                <w:sz w:val="18"/>
              </w:rPr>
              <w:t>(c)</w:t>
            </w:r>
            <w:del w:id="206" w:author="Master Repository Process" w:date="2021-09-11T17:07:00Z">
              <w:r>
                <w:rPr>
                  <w:sz w:val="18"/>
                </w:rPr>
                <w:delText xml:space="preserve"> </w:delText>
              </w:r>
            </w:del>
            <w:ins w:id="207" w:author="Master Repository Process" w:date="2021-09-11T17:07:00Z">
              <w:r>
                <w:rPr>
                  <w:sz w:val="18"/>
                </w:rPr>
                <w:tab/>
              </w:r>
            </w:ins>
            <w:r>
              <w:rPr>
                <w:spacing w:val="-4"/>
                <w:sz w:val="18"/>
              </w:rPr>
              <w:t xml:space="preserve">Development </w:t>
            </w:r>
            <w:del w:id="208" w:author="Master Repository Process" w:date="2021-09-11T17:07:00Z">
              <w:r>
                <w:rPr>
                  <w:spacing w:val="-4"/>
                  <w:sz w:val="18"/>
                </w:rPr>
                <w:tab/>
              </w:r>
            </w:del>
            <w:r>
              <w:rPr>
                <w:spacing w:val="-4"/>
                <w:sz w:val="18"/>
              </w:rPr>
              <w:t>C</w:t>
            </w:r>
            <w:r>
              <w:rPr>
                <w:sz w:val="18"/>
              </w:rPr>
              <w:t xml:space="preserve">ontrol </w:t>
            </w:r>
            <w:del w:id="209" w:author="Master Repository Process" w:date="2021-09-11T17:07:00Z">
              <w:r>
                <w:rPr>
                  <w:spacing w:val="-4"/>
                  <w:sz w:val="18"/>
                </w:rPr>
                <w:tab/>
              </w:r>
            </w:del>
            <w:r>
              <w:rPr>
                <w:sz w:val="18"/>
              </w:rPr>
              <w:t xml:space="preserve">Unit (DCU) </w:t>
            </w:r>
            <w:del w:id="210" w:author="Master Repository Process" w:date="2021-09-11T17:07:00Z">
              <w:r>
                <w:rPr>
                  <w:sz w:val="18"/>
                </w:rPr>
                <w:tab/>
              </w:r>
            </w:del>
            <w:r>
              <w:rPr>
                <w:sz w:val="18"/>
              </w:rPr>
              <w:t>meeting</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ind w:left="240" w:hanging="240"/>
              <w:rPr>
                <w:sz w:val="18"/>
              </w:rPr>
            </w:pPr>
            <w:r>
              <w:rPr>
                <w:sz w:val="18"/>
              </w:rPr>
              <w:t>(d)</w:t>
            </w:r>
            <w:del w:id="211" w:author="Master Repository Process" w:date="2021-09-11T17:07:00Z">
              <w:r>
                <w:rPr>
                  <w:sz w:val="18"/>
                </w:rPr>
                <w:delText xml:space="preserve"> </w:delText>
              </w:r>
            </w:del>
            <w:ins w:id="212" w:author="Master Repository Process" w:date="2021-09-11T17:07:00Z">
              <w:r>
                <w:rPr>
                  <w:sz w:val="18"/>
                </w:rPr>
                <w:tab/>
              </w:r>
            </w:ins>
            <w:r>
              <w:rPr>
                <w:sz w:val="18"/>
              </w:rPr>
              <w:t xml:space="preserve">Action </w:t>
            </w:r>
            <w:del w:id="213" w:author="Master Repository Process" w:date="2021-09-11T17:07:00Z">
              <w:r>
                <w:rPr>
                  <w:sz w:val="18"/>
                </w:rPr>
                <w:tab/>
              </w:r>
            </w:del>
            <w:r>
              <w:rPr>
                <w:sz w:val="18"/>
              </w:rPr>
              <w:t xml:space="preserve">DCU </w:t>
            </w:r>
            <w:del w:id="214" w:author="Master Repository Process" w:date="2021-09-11T17:07:00Z">
              <w:r>
                <w:rPr>
                  <w:sz w:val="18"/>
                </w:rPr>
                <w:tab/>
              </w:r>
            </w:del>
            <w:r>
              <w:rPr>
                <w:spacing w:val="-4"/>
                <w:sz w:val="18"/>
              </w:rPr>
              <w:t>recommend</w:t>
            </w:r>
            <w:r>
              <w:rPr>
                <w:spacing w:val="-4"/>
                <w:sz w:val="18"/>
              </w:rPr>
              <w:noBreakHyphen/>
            </w:r>
            <w:del w:id="215" w:author="Master Repository Process" w:date="2021-09-11T17:07:00Z">
              <w:r>
                <w:rPr>
                  <w:spacing w:val="-4"/>
                  <w:sz w:val="18"/>
                </w:rPr>
                <w:tab/>
              </w:r>
            </w:del>
            <w:r>
              <w:rPr>
                <w:spacing w:val="-4"/>
                <w:sz w:val="18"/>
              </w:rPr>
              <w:t>ation</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Borders>
              <w:bottom w:val="nil"/>
            </w:tcBorders>
          </w:tcPr>
          <w:p>
            <w:pPr>
              <w:pStyle w:val="yTable"/>
              <w:tabs>
                <w:tab w:val="left" w:pos="284"/>
              </w:tabs>
              <w:rPr>
                <w:del w:id="216" w:author="Master Repository Process" w:date="2021-09-11T17:07:00Z"/>
                <w:sz w:val="18"/>
              </w:rPr>
            </w:pPr>
            <w:r>
              <w:rPr>
                <w:sz w:val="18"/>
              </w:rPr>
              <w:t>(e)</w:t>
            </w:r>
            <w:del w:id="217" w:author="Master Repository Process" w:date="2021-09-11T17:07:00Z">
              <w:r>
                <w:rPr>
                  <w:sz w:val="18"/>
                </w:rPr>
                <w:delText xml:space="preserve"> </w:delText>
              </w:r>
            </w:del>
            <w:ins w:id="218" w:author="Master Repository Process" w:date="2021-09-11T17:07:00Z">
              <w:r>
                <w:rPr>
                  <w:sz w:val="18"/>
                </w:rPr>
                <w:tab/>
              </w:r>
            </w:ins>
            <w:r>
              <w:rPr>
                <w:sz w:val="18"/>
              </w:rPr>
              <w:t xml:space="preserve">Assessment </w:t>
            </w:r>
            <w:del w:id="219" w:author="Master Repository Process" w:date="2021-09-11T17:07:00Z">
              <w:r>
                <w:rPr>
                  <w:sz w:val="18"/>
                </w:rPr>
                <w:tab/>
              </w:r>
            </w:del>
            <w:r>
              <w:rPr>
                <w:sz w:val="18"/>
              </w:rPr>
              <w:t xml:space="preserve">report and </w:t>
            </w:r>
            <w:del w:id="220" w:author="Master Repository Process" w:date="2021-09-11T17:07:00Z">
              <w:r>
                <w:rPr>
                  <w:sz w:val="18"/>
                </w:rPr>
                <w:tab/>
              </w:r>
            </w:del>
            <w:r>
              <w:rPr>
                <w:sz w:val="18"/>
              </w:rPr>
              <w:t xml:space="preserve">agenda </w:t>
            </w:r>
            <w:del w:id="221" w:author="Master Repository Process" w:date="2021-09-11T17:07:00Z">
              <w:r>
                <w:rPr>
                  <w:sz w:val="18"/>
                </w:rPr>
                <w:tab/>
              </w:r>
            </w:del>
            <w:r>
              <w:rPr>
                <w:sz w:val="18"/>
              </w:rPr>
              <w:t>preparation</w:t>
            </w:r>
          </w:p>
          <w:p>
            <w:pPr>
              <w:pStyle w:val="yTable"/>
              <w:tabs>
                <w:tab w:val="left" w:pos="284"/>
              </w:tabs>
              <w:ind w:left="240" w:hanging="240"/>
              <w:rPr>
                <w:sz w:val="18"/>
              </w:rPr>
            </w:pP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shd w:val="pct15" w:color="auto" w:fill="FFFFFF"/>
          </w:tcPr>
          <w:p>
            <w:pPr>
              <w:pStyle w:val="yTable"/>
              <w:ind w:left="142" w:hanging="142"/>
              <w:rPr>
                <w:sz w:val="18"/>
              </w:rPr>
            </w:pPr>
            <w:r>
              <w:rPr>
                <w:sz w:val="18"/>
              </w:rPr>
              <w:t>3.Approval to advertise:</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ind w:left="240" w:hanging="240"/>
              <w:rPr>
                <w:sz w:val="18"/>
              </w:rPr>
            </w:pPr>
            <w:r>
              <w:rPr>
                <w:sz w:val="18"/>
              </w:rPr>
              <w:t>(a)</w:t>
            </w:r>
            <w:del w:id="222" w:author="Master Repository Process" w:date="2021-09-11T17:07:00Z">
              <w:r>
                <w:rPr>
                  <w:sz w:val="18"/>
                </w:rPr>
                <w:delText xml:space="preserve"> </w:delText>
              </w:r>
            </w:del>
            <w:ins w:id="223" w:author="Master Repository Process" w:date="2021-09-11T17:07:00Z">
              <w:r>
                <w:rPr>
                  <w:sz w:val="18"/>
                </w:rPr>
                <w:tab/>
              </w:r>
            </w:ins>
            <w:r>
              <w:rPr>
                <w:sz w:val="18"/>
              </w:rPr>
              <w:t xml:space="preserve">Action local </w:t>
            </w:r>
            <w:del w:id="224" w:author="Master Repository Process" w:date="2021-09-11T17:07:00Z">
              <w:r>
                <w:rPr>
                  <w:sz w:val="18"/>
                </w:rPr>
                <w:tab/>
              </w:r>
            </w:del>
            <w:r>
              <w:rPr>
                <w:sz w:val="18"/>
              </w:rPr>
              <w:t xml:space="preserve">government </w:t>
            </w:r>
            <w:del w:id="225" w:author="Master Repository Process" w:date="2021-09-11T17:07:00Z">
              <w:r>
                <w:rPr>
                  <w:spacing w:val="-4"/>
                  <w:sz w:val="18"/>
                </w:rPr>
                <w:tab/>
              </w:r>
            </w:del>
            <w:r>
              <w:rPr>
                <w:spacing w:val="-4"/>
                <w:sz w:val="18"/>
              </w:rPr>
              <w:t>recommend</w:t>
            </w:r>
            <w:r>
              <w:rPr>
                <w:spacing w:val="-4"/>
                <w:sz w:val="18"/>
              </w:rPr>
              <w:noBreakHyphen/>
            </w:r>
            <w:del w:id="226" w:author="Master Repository Process" w:date="2021-09-11T17:07:00Z">
              <w:r>
                <w:rPr>
                  <w:spacing w:val="-4"/>
                  <w:sz w:val="18"/>
                </w:rPr>
                <w:tab/>
              </w:r>
            </w:del>
            <w:r>
              <w:rPr>
                <w:spacing w:val="-4"/>
                <w:sz w:val="18"/>
              </w:rPr>
              <w:t>ation</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ind w:left="240" w:right="-32" w:hanging="240"/>
              <w:rPr>
                <w:sz w:val="18"/>
              </w:rPr>
            </w:pPr>
            <w:r>
              <w:rPr>
                <w:sz w:val="18"/>
              </w:rPr>
              <w:t>(b)</w:t>
            </w:r>
            <w:del w:id="227" w:author="Master Repository Process" w:date="2021-09-11T17:07:00Z">
              <w:r>
                <w:rPr>
                  <w:sz w:val="18"/>
                </w:rPr>
                <w:delText xml:space="preserve"> </w:delText>
              </w:r>
            </w:del>
            <w:ins w:id="228" w:author="Master Repository Process" w:date="2021-09-11T17:07:00Z">
              <w:r>
                <w:rPr>
                  <w:sz w:val="18"/>
                </w:rPr>
                <w:tab/>
              </w:r>
            </w:ins>
            <w:r>
              <w:rPr>
                <w:sz w:val="18"/>
              </w:rPr>
              <w:t xml:space="preserve">Advertising, </w:t>
            </w:r>
            <w:del w:id="229" w:author="Master Repository Process" w:date="2021-09-11T17:07:00Z">
              <w:r>
                <w:rPr>
                  <w:sz w:val="18"/>
                </w:rPr>
                <w:tab/>
                <w:delText>notifica-</w:delText>
              </w:r>
              <w:r>
                <w:rPr>
                  <w:sz w:val="18"/>
                </w:rPr>
                <w:tab/>
                <w:delText xml:space="preserve">tions, </w:delText>
              </w:r>
              <w:r>
                <w:rPr>
                  <w:sz w:val="18"/>
                </w:rPr>
                <w:tab/>
              </w:r>
            </w:del>
            <w:ins w:id="230" w:author="Master Repository Process" w:date="2021-09-11T17:07:00Z">
              <w:r>
                <w:rPr>
                  <w:sz w:val="18"/>
                </w:rPr>
                <w:t xml:space="preserve">notifications, </w:t>
              </w:r>
            </w:ins>
            <w:r>
              <w:rPr>
                <w:sz w:val="18"/>
              </w:rPr>
              <w:t>referrals</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ind w:left="240" w:hanging="240"/>
              <w:rPr>
                <w:sz w:val="18"/>
              </w:rPr>
            </w:pPr>
            <w:r>
              <w:rPr>
                <w:sz w:val="18"/>
              </w:rPr>
              <w:t>(c)</w:t>
            </w:r>
            <w:del w:id="231" w:author="Master Repository Process" w:date="2021-09-11T17:07:00Z">
              <w:r>
                <w:rPr>
                  <w:sz w:val="18"/>
                </w:rPr>
                <w:delText xml:space="preserve"> </w:delText>
              </w:r>
            </w:del>
            <w:ins w:id="232" w:author="Master Repository Process" w:date="2021-09-11T17:07:00Z">
              <w:r>
                <w:rPr>
                  <w:sz w:val="18"/>
                </w:rPr>
                <w:tab/>
              </w:r>
            </w:ins>
            <w:r>
              <w:rPr>
                <w:sz w:val="18"/>
              </w:rPr>
              <w:t xml:space="preserve">Deal with </w:t>
            </w:r>
            <w:del w:id="233" w:author="Master Repository Process" w:date="2021-09-11T17:07:00Z">
              <w:r>
                <w:rPr>
                  <w:sz w:val="18"/>
                </w:rPr>
                <w:tab/>
              </w:r>
            </w:del>
            <w:r>
              <w:rPr>
                <w:sz w:val="18"/>
              </w:rPr>
              <w:t>enquiries</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ind w:left="240" w:hanging="240"/>
              <w:rPr>
                <w:sz w:val="18"/>
              </w:rPr>
            </w:pPr>
            <w:r>
              <w:rPr>
                <w:sz w:val="18"/>
              </w:rPr>
              <w:t>(d)</w:t>
            </w:r>
            <w:del w:id="234" w:author="Master Repository Process" w:date="2021-09-11T17:07:00Z">
              <w:r>
                <w:rPr>
                  <w:sz w:val="18"/>
                </w:rPr>
                <w:delText xml:space="preserve"> </w:delText>
              </w:r>
            </w:del>
            <w:ins w:id="235" w:author="Master Repository Process" w:date="2021-09-11T17:07:00Z">
              <w:r>
                <w:rPr>
                  <w:sz w:val="18"/>
                </w:rPr>
                <w:tab/>
              </w:r>
            </w:ins>
            <w:r>
              <w:rPr>
                <w:sz w:val="18"/>
              </w:rPr>
              <w:t xml:space="preserve">Assess </w:t>
            </w:r>
            <w:del w:id="236" w:author="Master Repository Process" w:date="2021-09-11T17:07:00Z">
              <w:r>
                <w:rPr>
                  <w:sz w:val="18"/>
                </w:rPr>
                <w:tab/>
              </w:r>
            </w:del>
            <w:r>
              <w:rPr>
                <w:sz w:val="18"/>
              </w:rPr>
              <w:t>submissions</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ind w:left="240" w:hanging="240"/>
              <w:rPr>
                <w:sz w:val="18"/>
              </w:rPr>
            </w:pPr>
            <w:r>
              <w:rPr>
                <w:sz w:val="18"/>
              </w:rPr>
              <w:t>(e)</w:t>
            </w:r>
            <w:del w:id="237" w:author="Master Repository Process" w:date="2021-09-11T17:07:00Z">
              <w:r>
                <w:rPr>
                  <w:sz w:val="18"/>
                </w:rPr>
                <w:delText xml:space="preserve"> </w:delText>
              </w:r>
            </w:del>
            <w:ins w:id="238" w:author="Master Repository Process" w:date="2021-09-11T17:07:00Z">
              <w:r>
                <w:rPr>
                  <w:sz w:val="18"/>
                </w:rPr>
                <w:tab/>
              </w:r>
            </w:ins>
            <w:r>
              <w:rPr>
                <w:sz w:val="18"/>
              </w:rPr>
              <w:t xml:space="preserve">Liaise with </w:t>
            </w:r>
            <w:del w:id="239" w:author="Master Repository Process" w:date="2021-09-11T17:07:00Z">
              <w:r>
                <w:rPr>
                  <w:sz w:val="18"/>
                </w:rPr>
                <w:tab/>
              </w:r>
            </w:del>
            <w:r>
              <w:rPr>
                <w:sz w:val="18"/>
              </w:rPr>
              <w:t xml:space="preserve">external </w:t>
            </w:r>
            <w:del w:id="240" w:author="Master Repository Process" w:date="2021-09-11T17:07:00Z">
              <w:r>
                <w:rPr>
                  <w:sz w:val="18"/>
                </w:rPr>
                <w:tab/>
              </w:r>
            </w:del>
            <w:r>
              <w:rPr>
                <w:sz w:val="18"/>
              </w:rPr>
              <w:t>agencies</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Borders>
              <w:bottom w:val="single" w:sz="4" w:space="0" w:color="auto"/>
            </w:tcBorders>
          </w:tcPr>
          <w:p>
            <w:pPr>
              <w:pStyle w:val="yTable"/>
              <w:tabs>
                <w:tab w:val="left" w:pos="284"/>
              </w:tabs>
              <w:ind w:left="240" w:hanging="240"/>
              <w:rPr>
                <w:sz w:val="18"/>
              </w:rPr>
            </w:pPr>
            <w:r>
              <w:rPr>
                <w:sz w:val="18"/>
              </w:rPr>
              <w:t>(f)</w:t>
            </w:r>
            <w:del w:id="241" w:author="Master Repository Process" w:date="2021-09-11T17:07:00Z">
              <w:r>
                <w:rPr>
                  <w:sz w:val="18"/>
                </w:rPr>
                <w:delText xml:space="preserve"> </w:delText>
              </w:r>
            </w:del>
            <w:ins w:id="242" w:author="Master Repository Process" w:date="2021-09-11T17:07:00Z">
              <w:r>
                <w:rPr>
                  <w:sz w:val="18"/>
                </w:rPr>
                <w:tab/>
              </w:r>
            </w:ins>
            <w:r>
              <w:rPr>
                <w:sz w:val="18"/>
              </w:rPr>
              <w:t xml:space="preserve">Proponent </w:t>
            </w:r>
            <w:del w:id="243" w:author="Master Repository Process" w:date="2021-09-11T17:07:00Z">
              <w:r>
                <w:rPr>
                  <w:sz w:val="18"/>
                </w:rPr>
                <w:tab/>
              </w:r>
            </w:del>
            <w:r>
              <w:rPr>
                <w:sz w:val="18"/>
              </w:rPr>
              <w:t xml:space="preserve">discussion </w:t>
            </w:r>
            <w:del w:id="244" w:author="Master Repository Process" w:date="2021-09-11T17:07:00Z">
              <w:r>
                <w:rPr>
                  <w:sz w:val="18"/>
                </w:rPr>
                <w:tab/>
              </w:r>
            </w:del>
            <w:r>
              <w:rPr>
                <w:sz w:val="18"/>
              </w:rPr>
              <w:t>and liaison</w:t>
            </w:r>
          </w:p>
        </w:tc>
        <w:tc>
          <w:tcPr>
            <w:tcW w:w="1134" w:type="dxa"/>
            <w:tcBorders>
              <w:bottom w:val="single" w:sz="4" w:space="0" w:color="auto"/>
            </w:tcBorders>
          </w:tcPr>
          <w:p>
            <w:pPr>
              <w:pStyle w:val="yTable"/>
              <w:rPr>
                <w:sz w:val="20"/>
              </w:rPr>
            </w:pPr>
          </w:p>
        </w:tc>
        <w:tc>
          <w:tcPr>
            <w:tcW w:w="1134" w:type="dxa"/>
            <w:tcBorders>
              <w:bottom w:val="single" w:sz="4" w:space="0" w:color="auto"/>
            </w:tcBorders>
          </w:tcPr>
          <w:p>
            <w:pPr>
              <w:pStyle w:val="yTable"/>
              <w:rPr>
                <w:sz w:val="20"/>
              </w:rPr>
            </w:pPr>
          </w:p>
        </w:tc>
        <w:tc>
          <w:tcPr>
            <w:tcW w:w="992" w:type="dxa"/>
            <w:tcBorders>
              <w:bottom w:val="single" w:sz="4" w:space="0" w:color="auto"/>
            </w:tcBorders>
          </w:tcPr>
          <w:p>
            <w:pPr>
              <w:pStyle w:val="yTable"/>
              <w:rPr>
                <w:sz w:val="20"/>
              </w:rPr>
            </w:pPr>
          </w:p>
        </w:tc>
        <w:tc>
          <w:tcPr>
            <w:tcW w:w="1560" w:type="dxa"/>
            <w:tcBorders>
              <w:bottom w:val="single" w:sz="4" w:space="0" w:color="auto"/>
            </w:tcBorders>
          </w:tcPr>
          <w:p>
            <w:pPr>
              <w:pStyle w:val="yTable"/>
              <w:rPr>
                <w:sz w:val="20"/>
              </w:rPr>
            </w:pPr>
          </w:p>
        </w:tc>
        <w:tc>
          <w:tcPr>
            <w:tcW w:w="1134" w:type="dxa"/>
            <w:tcBorders>
              <w:bottom w:val="single" w:sz="4" w:space="0" w:color="auto"/>
            </w:tcBorders>
          </w:tcPr>
          <w:p>
            <w:pPr>
              <w:pStyle w:val="yTable"/>
              <w:rPr>
                <w:sz w:val="20"/>
              </w:rPr>
            </w:pPr>
          </w:p>
        </w:tc>
      </w:tr>
      <w:tr>
        <w:trPr>
          <w:cantSplit/>
        </w:trPr>
        <w:tc>
          <w:tcPr>
            <w:tcW w:w="1384" w:type="dxa"/>
            <w:shd w:val="pct15" w:color="auto" w:fill="FFFFFF"/>
          </w:tcPr>
          <w:p>
            <w:pPr>
              <w:pStyle w:val="yTable"/>
              <w:keepNext/>
              <w:ind w:left="142" w:hanging="142"/>
              <w:rPr>
                <w:sz w:val="18"/>
              </w:rPr>
            </w:pPr>
            <w:r>
              <w:rPr>
                <w:sz w:val="18"/>
              </w:rPr>
              <w:t>4.Decision to adopt:</w:t>
            </w:r>
          </w:p>
        </w:tc>
        <w:tc>
          <w:tcPr>
            <w:tcW w:w="1134" w:type="dxa"/>
          </w:tcPr>
          <w:p>
            <w:pPr>
              <w:pStyle w:val="yTable"/>
              <w:keepNext/>
              <w:rPr>
                <w:sz w:val="20"/>
              </w:rPr>
            </w:pPr>
          </w:p>
        </w:tc>
        <w:tc>
          <w:tcPr>
            <w:tcW w:w="1134" w:type="dxa"/>
          </w:tcPr>
          <w:p>
            <w:pPr>
              <w:pStyle w:val="yTable"/>
              <w:keepNext/>
              <w:rPr>
                <w:sz w:val="20"/>
              </w:rPr>
            </w:pPr>
          </w:p>
        </w:tc>
        <w:tc>
          <w:tcPr>
            <w:tcW w:w="992" w:type="dxa"/>
          </w:tcPr>
          <w:p>
            <w:pPr>
              <w:pStyle w:val="yTable"/>
              <w:keepNext/>
              <w:rPr>
                <w:sz w:val="20"/>
              </w:rPr>
            </w:pPr>
          </w:p>
        </w:tc>
        <w:tc>
          <w:tcPr>
            <w:tcW w:w="1560" w:type="dxa"/>
          </w:tcPr>
          <w:p>
            <w:pPr>
              <w:pStyle w:val="yTable"/>
              <w:keepNext/>
              <w:rPr>
                <w:sz w:val="20"/>
              </w:rPr>
            </w:pPr>
          </w:p>
        </w:tc>
        <w:tc>
          <w:tcPr>
            <w:tcW w:w="1134" w:type="dxa"/>
          </w:tcPr>
          <w:p>
            <w:pPr>
              <w:pStyle w:val="yTable"/>
              <w:keepNext/>
              <w:rPr>
                <w:sz w:val="20"/>
              </w:rPr>
            </w:pPr>
          </w:p>
        </w:tc>
      </w:tr>
      <w:tr>
        <w:trPr>
          <w:cantSplit/>
        </w:trPr>
        <w:tc>
          <w:tcPr>
            <w:tcW w:w="1384" w:type="dxa"/>
          </w:tcPr>
          <w:p>
            <w:pPr>
              <w:pStyle w:val="yTable"/>
              <w:tabs>
                <w:tab w:val="left" w:pos="284"/>
              </w:tabs>
              <w:ind w:left="240" w:hanging="240"/>
              <w:rPr>
                <w:sz w:val="18"/>
              </w:rPr>
            </w:pPr>
            <w:r>
              <w:rPr>
                <w:sz w:val="18"/>
              </w:rPr>
              <w:t>(a)</w:t>
            </w:r>
            <w:del w:id="245" w:author="Master Repository Process" w:date="2021-09-11T17:07:00Z">
              <w:r>
                <w:rPr>
                  <w:sz w:val="18"/>
                </w:rPr>
                <w:delText xml:space="preserve"> </w:delText>
              </w:r>
            </w:del>
            <w:ins w:id="246" w:author="Master Repository Process" w:date="2021-09-11T17:07:00Z">
              <w:r>
                <w:rPr>
                  <w:sz w:val="18"/>
                </w:rPr>
                <w:tab/>
              </w:r>
            </w:ins>
            <w:r>
              <w:rPr>
                <w:sz w:val="18"/>
              </w:rPr>
              <w:t xml:space="preserve">Finalise </w:t>
            </w:r>
            <w:del w:id="247" w:author="Master Repository Process" w:date="2021-09-11T17:07:00Z">
              <w:r>
                <w:rPr>
                  <w:sz w:val="18"/>
                </w:rPr>
                <w:tab/>
              </w:r>
            </w:del>
            <w:r>
              <w:rPr>
                <w:sz w:val="18"/>
              </w:rPr>
              <w:t xml:space="preserve">report </w:t>
            </w:r>
            <w:del w:id="248" w:author="Master Repository Process" w:date="2021-09-11T17:07:00Z">
              <w:r>
                <w:rPr>
                  <w:sz w:val="18"/>
                </w:rPr>
                <w:tab/>
              </w:r>
            </w:del>
            <w:r>
              <w:rPr>
                <w:sz w:val="18"/>
              </w:rPr>
              <w:t xml:space="preserve">and agenda </w:t>
            </w:r>
            <w:del w:id="249" w:author="Master Repository Process" w:date="2021-09-11T17:07:00Z">
              <w:r>
                <w:rPr>
                  <w:sz w:val="18"/>
                </w:rPr>
                <w:tab/>
              </w:r>
            </w:del>
            <w:r>
              <w:rPr>
                <w:sz w:val="18"/>
              </w:rPr>
              <w:t>preparation</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ind w:left="240" w:hanging="240"/>
              <w:rPr>
                <w:sz w:val="18"/>
              </w:rPr>
            </w:pPr>
            <w:r>
              <w:rPr>
                <w:sz w:val="18"/>
              </w:rPr>
              <w:t>(b)</w:t>
            </w:r>
            <w:del w:id="250" w:author="Master Repository Process" w:date="2021-09-11T17:07:00Z">
              <w:r>
                <w:rPr>
                  <w:sz w:val="18"/>
                </w:rPr>
                <w:delText xml:space="preserve"> </w:delText>
              </w:r>
            </w:del>
            <w:ins w:id="251" w:author="Master Repository Process" w:date="2021-09-11T17:07:00Z">
              <w:r>
                <w:rPr>
                  <w:sz w:val="18"/>
                </w:rPr>
                <w:tab/>
              </w:r>
            </w:ins>
            <w:r>
              <w:rPr>
                <w:sz w:val="18"/>
              </w:rPr>
              <w:t xml:space="preserve">Proponent </w:t>
            </w:r>
            <w:del w:id="252" w:author="Master Repository Process" w:date="2021-09-11T17:07:00Z">
              <w:r>
                <w:rPr>
                  <w:sz w:val="18"/>
                </w:rPr>
                <w:tab/>
              </w:r>
            </w:del>
            <w:r>
              <w:rPr>
                <w:sz w:val="18"/>
              </w:rPr>
              <w:t>discussion</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Borders>
              <w:bottom w:val="nil"/>
            </w:tcBorders>
          </w:tcPr>
          <w:p>
            <w:pPr>
              <w:pStyle w:val="yTable"/>
              <w:tabs>
                <w:tab w:val="left" w:pos="284"/>
              </w:tabs>
              <w:ind w:left="240" w:hanging="240"/>
              <w:rPr>
                <w:sz w:val="18"/>
              </w:rPr>
            </w:pPr>
            <w:r>
              <w:rPr>
                <w:sz w:val="18"/>
              </w:rPr>
              <w:t>(c)</w:t>
            </w:r>
            <w:del w:id="253" w:author="Master Repository Process" w:date="2021-09-11T17:07:00Z">
              <w:r>
                <w:rPr>
                  <w:sz w:val="18"/>
                </w:rPr>
                <w:delText xml:space="preserve"> </w:delText>
              </w:r>
            </w:del>
            <w:ins w:id="254" w:author="Master Repository Process" w:date="2021-09-11T17:07:00Z">
              <w:r>
                <w:rPr>
                  <w:sz w:val="18"/>
                </w:rPr>
                <w:tab/>
              </w:r>
            </w:ins>
            <w:r>
              <w:rPr>
                <w:sz w:val="18"/>
              </w:rPr>
              <w:t xml:space="preserve">Action local </w:t>
            </w:r>
            <w:del w:id="255" w:author="Master Repository Process" w:date="2021-09-11T17:07:00Z">
              <w:r>
                <w:rPr>
                  <w:sz w:val="18"/>
                </w:rPr>
                <w:tab/>
              </w:r>
            </w:del>
            <w:r>
              <w:rPr>
                <w:sz w:val="18"/>
              </w:rPr>
              <w:t xml:space="preserve">government </w:t>
            </w:r>
            <w:del w:id="256" w:author="Master Repository Process" w:date="2021-09-11T17:07:00Z">
              <w:r>
                <w:rPr>
                  <w:spacing w:val="-4"/>
                  <w:sz w:val="18"/>
                </w:rPr>
                <w:tab/>
              </w:r>
            </w:del>
            <w:r>
              <w:rPr>
                <w:spacing w:val="-4"/>
                <w:sz w:val="18"/>
              </w:rPr>
              <w:t>recommend</w:t>
            </w:r>
            <w:r>
              <w:rPr>
                <w:spacing w:val="-4"/>
                <w:sz w:val="18"/>
              </w:rPr>
              <w:noBreakHyphen/>
            </w:r>
            <w:del w:id="257" w:author="Master Repository Process" w:date="2021-09-11T17:07:00Z">
              <w:r>
                <w:rPr>
                  <w:spacing w:val="-4"/>
                  <w:sz w:val="18"/>
                </w:rPr>
                <w:tab/>
              </w:r>
            </w:del>
            <w:r>
              <w:rPr>
                <w:spacing w:val="-4"/>
                <w:sz w:val="18"/>
              </w:rPr>
              <w:t>ation</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shd w:val="pct15" w:color="auto" w:fill="FFFFFF"/>
          </w:tcPr>
          <w:p>
            <w:pPr>
              <w:pStyle w:val="yTable"/>
              <w:rPr>
                <w:sz w:val="18"/>
              </w:rPr>
            </w:pPr>
            <w:r>
              <w:rPr>
                <w:sz w:val="18"/>
              </w:rPr>
              <w:t>5.Plan adopted:</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ind w:left="240" w:hanging="240"/>
              <w:rPr>
                <w:sz w:val="18"/>
              </w:rPr>
            </w:pPr>
            <w:r>
              <w:rPr>
                <w:sz w:val="18"/>
              </w:rPr>
              <w:t>(a)</w:t>
            </w:r>
            <w:del w:id="258" w:author="Master Repository Process" w:date="2021-09-11T17:07:00Z">
              <w:r>
                <w:rPr>
                  <w:sz w:val="18"/>
                </w:rPr>
                <w:delText xml:space="preserve"> </w:delText>
              </w:r>
            </w:del>
            <w:ins w:id="259" w:author="Master Repository Process" w:date="2021-09-11T17:07:00Z">
              <w:r>
                <w:rPr>
                  <w:sz w:val="18"/>
                </w:rPr>
                <w:tab/>
              </w:r>
            </w:ins>
            <w:r>
              <w:rPr>
                <w:sz w:val="18"/>
              </w:rPr>
              <w:t xml:space="preserve">Refer to </w:t>
            </w:r>
            <w:del w:id="260" w:author="Master Repository Process" w:date="2021-09-11T17:07:00Z">
              <w:r>
                <w:rPr>
                  <w:sz w:val="18"/>
                </w:rPr>
                <w:tab/>
                <w:delText>Commiss-</w:delText>
              </w:r>
              <w:r>
                <w:rPr>
                  <w:sz w:val="18"/>
                </w:rPr>
                <w:tab/>
                <w:delText>ion</w:delText>
              </w:r>
            </w:del>
            <w:ins w:id="261" w:author="Master Repository Process" w:date="2021-09-11T17:07:00Z">
              <w:r>
                <w:rPr>
                  <w:sz w:val="18"/>
                </w:rPr>
                <w:t>Commission</w:t>
              </w:r>
            </w:ins>
            <w:r>
              <w:rPr>
                <w:sz w:val="18"/>
              </w:rPr>
              <w:t xml:space="preserve"> for </w:t>
            </w:r>
            <w:del w:id="262" w:author="Master Repository Process" w:date="2021-09-11T17:07:00Z">
              <w:r>
                <w:rPr>
                  <w:sz w:val="18"/>
                </w:rPr>
                <w:delText xml:space="preserve">end- </w:delText>
              </w:r>
              <w:r>
                <w:rPr>
                  <w:sz w:val="18"/>
                </w:rPr>
                <w:tab/>
                <w:delText>orsement</w:delText>
              </w:r>
            </w:del>
            <w:ins w:id="263" w:author="Master Repository Process" w:date="2021-09-11T17:07:00Z">
              <w:r>
                <w:rPr>
                  <w:sz w:val="18"/>
                </w:rPr>
                <w:t>endorse-ment</w:t>
              </w:r>
            </w:ins>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ind w:left="240" w:right="-32" w:hanging="240"/>
              <w:rPr>
                <w:sz w:val="18"/>
              </w:rPr>
            </w:pPr>
            <w:r>
              <w:rPr>
                <w:sz w:val="18"/>
              </w:rPr>
              <w:t>(b)</w:t>
            </w:r>
            <w:ins w:id="264" w:author="Master Repository Process" w:date="2021-09-11T17:07:00Z">
              <w:r>
                <w:rPr>
                  <w:sz w:val="18"/>
                </w:rPr>
                <w:tab/>
              </w:r>
            </w:ins>
            <w:r>
              <w:rPr>
                <w:sz w:val="18"/>
              </w:rPr>
              <w:t xml:space="preserve">Notifications </w:t>
            </w:r>
            <w:del w:id="265" w:author="Master Repository Process" w:date="2021-09-11T17:07:00Z">
              <w:r>
                <w:rPr>
                  <w:sz w:val="18"/>
                </w:rPr>
                <w:tab/>
              </w:r>
            </w:del>
            <w:r>
              <w:rPr>
                <w:sz w:val="18"/>
              </w:rPr>
              <w:t xml:space="preserve">and deposit </w:t>
            </w:r>
            <w:del w:id="266" w:author="Master Repository Process" w:date="2021-09-11T17:07:00Z">
              <w:r>
                <w:rPr>
                  <w:sz w:val="18"/>
                </w:rPr>
                <w:tab/>
              </w:r>
            </w:del>
            <w:r>
              <w:rPr>
                <w:sz w:val="18"/>
              </w:rPr>
              <w:t>of plan</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rPr>
                <w:sz w:val="18"/>
              </w:rPr>
            </w:pPr>
            <w:r>
              <w:rPr>
                <w:sz w:val="18"/>
              </w:rPr>
              <w:t>HOURS</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rPr>
                <w:sz w:val="18"/>
              </w:rPr>
            </w:pPr>
            <w:r>
              <w:rPr>
                <w:sz w:val="18"/>
              </w:rPr>
              <w:t>COST</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rPr>
                <w:sz w:val="18"/>
              </w:rPr>
            </w:pPr>
            <w:r>
              <w:rPr>
                <w:sz w:val="18"/>
              </w:rPr>
              <w:t>+33.3% (To recover operating overhead costs)</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rPr>
                <w:sz w:val="18"/>
              </w:rPr>
            </w:pPr>
            <w:r>
              <w:rPr>
                <w:sz w:val="18"/>
              </w:rPr>
              <w:t>Total salary costs</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rPr>
                <w:sz w:val="18"/>
              </w:rPr>
            </w:pPr>
            <w:r>
              <w:rPr>
                <w:sz w:val="18"/>
              </w:rPr>
              <w:t>+ Direct costs</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rPr>
                <w:sz w:val="18"/>
              </w:rPr>
            </w:pPr>
            <w:r>
              <w:rPr>
                <w:sz w:val="18"/>
              </w:rPr>
              <w:t>+ Special costs</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rPr>
                <w:sz w:val="18"/>
              </w:rPr>
            </w:pPr>
            <w:r>
              <w:rPr>
                <w:sz w:val="18"/>
              </w:rPr>
              <w:t>TOTAL PAYABLE</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bl>
    <w:p>
      <w:pPr>
        <w:pStyle w:val="Subsection"/>
        <w:tabs>
          <w:tab w:val="clear" w:pos="595"/>
          <w:tab w:val="clear" w:pos="879"/>
          <w:tab w:val="left" w:pos="1134"/>
        </w:tabs>
        <w:ind w:left="240" w:hanging="240"/>
        <w:rPr>
          <w:i/>
          <w:sz w:val="22"/>
        </w:rPr>
      </w:pPr>
      <w:r>
        <w:rPr>
          <w:i/>
          <w:sz w:val="22"/>
        </w:rPr>
        <w:t>**This Table is based on the Western Australian Planning Commission’s draft model text provisions for structure plans. Where the structure plan provisions in a local planning scheme of a local government are not consistent with the draft model text provisions, the fees should be calculated by that local government in accordance with the structure plan provisions of the scheme.</w:t>
      </w:r>
    </w:p>
    <w:p>
      <w:pPr>
        <w:pStyle w:val="Subsection"/>
        <w:tabs>
          <w:tab w:val="clear" w:pos="595"/>
          <w:tab w:val="clear" w:pos="879"/>
          <w:tab w:val="left" w:pos="1134"/>
        </w:tabs>
        <w:ind w:left="240" w:hanging="240"/>
        <w:rPr>
          <w:i/>
          <w:sz w:val="22"/>
        </w:rPr>
      </w:pPr>
      <w:r>
        <w:rPr>
          <w:i/>
          <w:sz w:val="22"/>
        </w:rPr>
        <w:tab/>
        <w:t>Where readvertising of a proposed structure plan is required, the fee is to be calculated in accordance with items 3, 4 and 5 of the Table for the staff time used in arranging the readvertising and reviewing the submissions and the direct costs incurred in readvertising the structure plan.</w:t>
      </w:r>
    </w:p>
    <w:p>
      <w:pPr>
        <w:pStyle w:val="yFootnotesection"/>
      </w:pPr>
      <w:r>
        <w:tab/>
        <w:t>[Part 3 amended in Gazette 8 Jun 2007 p. 2634-5; 22 Jun 2007 p. 2861; 10 Oct 2008 p. 4553.]</w:t>
      </w:r>
    </w:p>
    <w:p>
      <w:pPr>
        <w:ind w:left="240" w:hanging="240"/>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267" w:name="_Toc132432310"/>
      <w:bookmarkStart w:id="268" w:name="_Toc132432364"/>
      <w:bookmarkStart w:id="269" w:name="_Toc168988886"/>
      <w:bookmarkStart w:id="270" w:name="_Toc168988917"/>
      <w:bookmarkStart w:id="271" w:name="_Toc168988978"/>
      <w:bookmarkStart w:id="272" w:name="_Toc170620660"/>
      <w:bookmarkStart w:id="273" w:name="_Toc170802084"/>
      <w:bookmarkStart w:id="274" w:name="_Toc211328572"/>
      <w:bookmarkStart w:id="275" w:name="_Toc220465389"/>
      <w:bookmarkStart w:id="276" w:name="_Toc220467435"/>
      <w:bookmarkStart w:id="277" w:name="_Toc222027436"/>
      <w:bookmarkStart w:id="278" w:name="_Toc222027602"/>
      <w:r>
        <w:t>Notes</w:t>
      </w:r>
      <w:bookmarkEnd w:id="267"/>
      <w:bookmarkEnd w:id="268"/>
      <w:bookmarkEnd w:id="269"/>
      <w:bookmarkEnd w:id="270"/>
      <w:bookmarkEnd w:id="271"/>
      <w:bookmarkEnd w:id="272"/>
      <w:bookmarkEnd w:id="273"/>
      <w:bookmarkEnd w:id="274"/>
      <w:bookmarkEnd w:id="275"/>
      <w:bookmarkEnd w:id="276"/>
      <w:bookmarkEnd w:id="277"/>
      <w:bookmarkEnd w:id="278"/>
    </w:p>
    <w:p>
      <w:pPr>
        <w:pStyle w:val="nSubsection"/>
        <w:rPr>
          <w:snapToGrid w:val="0"/>
        </w:rPr>
      </w:pPr>
      <w:r>
        <w:rPr>
          <w:snapToGrid w:val="0"/>
          <w:vertAlign w:val="superscript"/>
        </w:rPr>
        <w:t>1</w:t>
      </w:r>
      <w:r>
        <w:rPr>
          <w:snapToGrid w:val="0"/>
        </w:rPr>
        <w:tab/>
        <w:t xml:space="preserve">This </w:t>
      </w:r>
      <w:ins w:id="279" w:author="Master Repository Process" w:date="2021-09-11T17:07:00Z">
        <w:r>
          <w:rPr>
            <w:snapToGrid w:val="0"/>
          </w:rPr>
          <w:t xml:space="preserve">reprint </w:t>
        </w:r>
      </w:ins>
      <w:r>
        <w:rPr>
          <w:snapToGrid w:val="0"/>
        </w:rPr>
        <w:t>is a compilation</w:t>
      </w:r>
      <w:del w:id="280" w:author="Master Repository Process" w:date="2021-09-11T17:07:00Z">
        <w:r>
          <w:rPr>
            <w:snapToGrid w:val="0"/>
          </w:rPr>
          <w:delText> </w:delText>
        </w:r>
      </w:del>
      <w:ins w:id="281" w:author="Master Repository Process" w:date="2021-09-11T17:07:00Z">
        <w:r>
          <w:rPr>
            <w:snapToGrid w:val="0"/>
          </w:rPr>
          <w:t xml:space="preserve"> as at 20 February 2009 </w:t>
        </w:r>
      </w:ins>
      <w:r>
        <w:rPr>
          <w:snapToGrid w:val="0"/>
        </w:rPr>
        <w:t xml:space="preserve">of the </w:t>
      </w:r>
      <w:r>
        <w:rPr>
          <w:i/>
          <w:noProof/>
          <w:snapToGrid w:val="0"/>
        </w:rPr>
        <w:t>Planning and Development (Local Government Planning Fees) Regulations 2000</w:t>
      </w:r>
      <w:r>
        <w:rPr>
          <w:snapToGrid w:val="0"/>
        </w:rPr>
        <w:t xml:space="preserve"> and includes the amendments made by the other written laws referred to in the following table.</w:t>
      </w:r>
      <w:ins w:id="282" w:author="Master Repository Process" w:date="2021-09-11T17:07:00Z">
        <w:r>
          <w:rPr>
            <w:snapToGrid w:val="0"/>
          </w:rPr>
          <w:t xml:space="preserve">  The table also contains information about any reprint.</w:t>
        </w:r>
      </w:ins>
    </w:p>
    <w:p>
      <w:pPr>
        <w:pStyle w:val="nHeading3"/>
      </w:pPr>
      <w:bookmarkStart w:id="283" w:name="_Toc222027603"/>
      <w:bookmarkStart w:id="284" w:name="_Toc211328573"/>
      <w:r>
        <w:t>Compilation table</w:t>
      </w:r>
      <w:bookmarkEnd w:id="283"/>
      <w:bookmarkEnd w:id="28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iCs/>
                <w:sz w:val="19"/>
              </w:rPr>
            </w:pPr>
            <w:r>
              <w:rPr>
                <w:i/>
                <w:sz w:val="19"/>
              </w:rPr>
              <w:t>Town Planning (Local Government Planning Fees) Regulations 2000</w:t>
            </w:r>
            <w:r>
              <w:rPr>
                <w:iCs/>
                <w:sz w:val="19"/>
              </w:rPr>
              <w:t xml:space="preserve"> </w:t>
            </w:r>
            <w:r>
              <w:rPr>
                <w:iCs/>
                <w:sz w:val="19"/>
                <w:vertAlign w:val="superscript"/>
              </w:rPr>
              <w:t>3</w:t>
            </w:r>
          </w:p>
        </w:tc>
        <w:tc>
          <w:tcPr>
            <w:tcW w:w="1276" w:type="dxa"/>
            <w:tcBorders>
              <w:top w:val="single" w:sz="8" w:space="0" w:color="auto"/>
            </w:tcBorders>
          </w:tcPr>
          <w:p>
            <w:pPr>
              <w:pStyle w:val="nTable"/>
              <w:spacing w:after="40"/>
              <w:rPr>
                <w:sz w:val="19"/>
              </w:rPr>
            </w:pPr>
            <w:r>
              <w:rPr>
                <w:sz w:val="19"/>
              </w:rPr>
              <w:t>19 Dec 2000 p. </w:t>
            </w:r>
            <w:del w:id="285" w:author="Master Repository Process" w:date="2021-09-11T17:07:00Z">
              <w:r>
                <w:rPr>
                  <w:sz w:val="19"/>
                </w:rPr>
                <w:delText>7245</w:delText>
              </w:r>
            </w:del>
            <w:ins w:id="286" w:author="Master Repository Process" w:date="2021-09-11T17:07:00Z">
              <w:r>
                <w:rPr>
                  <w:sz w:val="19"/>
                </w:rPr>
                <w:t>7243</w:t>
              </w:r>
            </w:ins>
            <w:r>
              <w:rPr>
                <w:sz w:val="19"/>
              </w:rPr>
              <w:t>-59</w:t>
            </w:r>
          </w:p>
        </w:tc>
        <w:tc>
          <w:tcPr>
            <w:tcW w:w="2693" w:type="dxa"/>
            <w:tcBorders>
              <w:top w:val="single" w:sz="8" w:space="0" w:color="auto"/>
            </w:tcBorders>
          </w:tcPr>
          <w:p>
            <w:pPr>
              <w:pStyle w:val="nTable"/>
              <w:spacing w:after="40"/>
              <w:rPr>
                <w:sz w:val="19"/>
              </w:rPr>
            </w:pPr>
            <w:r>
              <w:rPr>
                <w:sz w:val="19"/>
              </w:rPr>
              <w:t xml:space="preserve">19 Dec 2000 (see r. 2 and </w:t>
            </w:r>
            <w:r>
              <w:rPr>
                <w:i/>
                <w:sz w:val="19"/>
              </w:rPr>
              <w:t>Gazette</w:t>
            </w:r>
            <w:r>
              <w:rPr>
                <w:sz w:val="19"/>
              </w:rPr>
              <w:t xml:space="preserve"> 19 Dec 2000 p.</w:t>
            </w:r>
            <w:ins w:id="287" w:author="Master Repository Process" w:date="2021-09-11T17:07:00Z">
              <w:r>
                <w:rPr>
                  <w:sz w:val="19"/>
                </w:rPr>
                <w:t> </w:t>
              </w:r>
            </w:ins>
            <w:r>
              <w:rPr>
                <w:sz w:val="19"/>
              </w:rPr>
              <w:t>7273)</w:t>
            </w:r>
          </w:p>
        </w:tc>
      </w:tr>
      <w:tr>
        <w:tc>
          <w:tcPr>
            <w:tcW w:w="3118" w:type="dxa"/>
          </w:tcPr>
          <w:p>
            <w:pPr>
              <w:pStyle w:val="nTable"/>
              <w:spacing w:after="40"/>
              <w:rPr>
                <w:i/>
                <w:sz w:val="19"/>
              </w:rPr>
            </w:pPr>
            <w:r>
              <w:rPr>
                <w:i/>
                <w:sz w:val="19"/>
              </w:rPr>
              <w:t>Town Planning (Local Government Planning Fees) Amendment Regulations 2007</w:t>
            </w:r>
          </w:p>
        </w:tc>
        <w:tc>
          <w:tcPr>
            <w:tcW w:w="1276" w:type="dxa"/>
          </w:tcPr>
          <w:p>
            <w:pPr>
              <w:pStyle w:val="nTable"/>
              <w:spacing w:after="40"/>
              <w:rPr>
                <w:sz w:val="19"/>
              </w:rPr>
            </w:pPr>
            <w:r>
              <w:rPr>
                <w:sz w:val="19"/>
              </w:rPr>
              <w:t>8 Jun 2007 p. 2632-5</w:t>
            </w:r>
          </w:p>
        </w:tc>
        <w:tc>
          <w:tcPr>
            <w:tcW w:w="2693" w:type="dxa"/>
          </w:tcPr>
          <w:p>
            <w:pPr>
              <w:pStyle w:val="nTable"/>
              <w:spacing w:after="40"/>
              <w:rPr>
                <w:sz w:val="19"/>
              </w:rPr>
            </w:pPr>
            <w:r>
              <w:rPr>
                <w:sz w:val="19"/>
              </w:rPr>
              <w:t>8 Jun 2007</w:t>
            </w:r>
          </w:p>
        </w:tc>
      </w:tr>
      <w:tr>
        <w:tc>
          <w:tcPr>
            <w:tcW w:w="3118" w:type="dxa"/>
          </w:tcPr>
          <w:p>
            <w:pPr>
              <w:pStyle w:val="nTable"/>
              <w:spacing w:after="40"/>
              <w:rPr>
                <w:i/>
                <w:sz w:val="19"/>
              </w:rPr>
            </w:pPr>
            <w:r>
              <w:rPr>
                <w:i/>
                <w:sz w:val="19"/>
              </w:rPr>
              <w:t>Planning and Development (Local Government Planning Fees) Amendment Regulations (No. 2) 2007</w:t>
            </w:r>
          </w:p>
        </w:tc>
        <w:tc>
          <w:tcPr>
            <w:tcW w:w="1276" w:type="dxa"/>
          </w:tcPr>
          <w:p>
            <w:pPr>
              <w:pStyle w:val="nTable"/>
              <w:spacing w:after="40"/>
              <w:rPr>
                <w:sz w:val="19"/>
              </w:rPr>
            </w:pPr>
            <w:r>
              <w:rPr>
                <w:sz w:val="19"/>
              </w:rPr>
              <w:t>22 Jun 2007 p. 2860</w:t>
            </w:r>
            <w:r>
              <w:rPr>
                <w:sz w:val="19"/>
              </w:rPr>
              <w:noBreakHyphen/>
              <w:t>1</w:t>
            </w:r>
          </w:p>
        </w:tc>
        <w:tc>
          <w:tcPr>
            <w:tcW w:w="2693" w:type="dxa"/>
          </w:tcPr>
          <w:p>
            <w:pPr>
              <w:pStyle w:val="nTable"/>
              <w:spacing w:after="40"/>
              <w:rPr>
                <w:sz w:val="19"/>
              </w:rPr>
            </w:pPr>
            <w:r>
              <w:rPr>
                <w:snapToGrid w:val="0"/>
                <w:sz w:val="19"/>
                <w:lang w:val="en-US"/>
              </w:rPr>
              <w:t>r. 1 and 2: 22 Jun 2007 (see</w:t>
            </w:r>
            <w:del w:id="288" w:author="Master Repository Process" w:date="2021-09-11T17:07:00Z">
              <w:r>
                <w:rPr>
                  <w:snapToGrid w:val="0"/>
                  <w:sz w:val="19"/>
                  <w:lang w:val="en-US"/>
                </w:rPr>
                <w:delText xml:space="preserve"> </w:delText>
              </w:r>
            </w:del>
            <w:ins w:id="289" w:author="Master Repository Process" w:date="2021-09-11T17:07:00Z">
              <w:r>
                <w:rPr>
                  <w:snapToGrid w:val="0"/>
                  <w:sz w:val="19"/>
                  <w:lang w:val="en-US"/>
                </w:rPr>
                <w:t> </w:t>
              </w:r>
            </w:ins>
            <w:r>
              <w:rPr>
                <w:snapToGrid w:val="0"/>
                <w:sz w:val="19"/>
                <w:lang w:val="en-US"/>
              </w:rPr>
              <w:t>r. 2(a));</w:t>
            </w:r>
            <w:r>
              <w:rPr>
                <w:snapToGrid w:val="0"/>
                <w:sz w:val="19"/>
                <w:lang w:val="en-US"/>
              </w:rPr>
              <w:br/>
              <w:t>Regulations other than r. 1 and 2: 1 Jul 2007 (see r. 2(b))</w:t>
            </w:r>
          </w:p>
        </w:tc>
      </w:tr>
      <w:tr>
        <w:tc>
          <w:tcPr>
            <w:tcW w:w="3118" w:type="dxa"/>
          </w:tcPr>
          <w:p>
            <w:pPr>
              <w:pStyle w:val="nTable"/>
              <w:spacing w:after="40"/>
              <w:rPr>
                <w:i/>
                <w:sz w:val="19"/>
              </w:rPr>
            </w:pPr>
            <w:r>
              <w:rPr>
                <w:i/>
                <w:sz w:val="19"/>
              </w:rPr>
              <w:t>Planning and Development (Local Government Planning Fees) Amendment Regulations 2008</w:t>
            </w:r>
          </w:p>
        </w:tc>
        <w:tc>
          <w:tcPr>
            <w:tcW w:w="1276" w:type="dxa"/>
          </w:tcPr>
          <w:p>
            <w:pPr>
              <w:pStyle w:val="nTable"/>
              <w:spacing w:after="40"/>
              <w:rPr>
                <w:sz w:val="19"/>
              </w:rPr>
            </w:pPr>
            <w:r>
              <w:rPr>
                <w:sz w:val="19"/>
              </w:rPr>
              <w:t>10 Oct 2008 p. 4551-3</w:t>
            </w:r>
          </w:p>
        </w:tc>
        <w:tc>
          <w:tcPr>
            <w:tcW w:w="2693" w:type="dxa"/>
          </w:tcPr>
          <w:p>
            <w:pPr>
              <w:pStyle w:val="nTable"/>
              <w:spacing w:after="40"/>
              <w:rPr>
                <w:del w:id="290" w:author="Master Repository Process" w:date="2021-09-11T17:07:00Z"/>
                <w:snapToGrid w:val="0"/>
                <w:sz w:val="19"/>
                <w:lang w:val="en-US"/>
              </w:rPr>
            </w:pPr>
            <w:r>
              <w:rPr>
                <w:snapToGrid w:val="0"/>
                <w:sz w:val="19"/>
                <w:lang w:val="en-US"/>
              </w:rPr>
              <w:t>r. 1 and 2: 10 Oct 2008 (see </w:t>
            </w:r>
            <w:bookmarkStart w:id="291" w:name="UpToHere"/>
            <w:bookmarkEnd w:id="291"/>
            <w:r>
              <w:rPr>
                <w:snapToGrid w:val="0"/>
                <w:sz w:val="19"/>
                <w:lang w:val="en-US"/>
              </w:rPr>
              <w:t>r. 2(a));</w:t>
            </w:r>
          </w:p>
          <w:p>
            <w:pPr>
              <w:pStyle w:val="nTable"/>
              <w:spacing w:after="40"/>
              <w:rPr>
                <w:snapToGrid w:val="0"/>
                <w:sz w:val="19"/>
                <w:lang w:val="en-US"/>
              </w:rPr>
            </w:pPr>
            <w:ins w:id="292" w:author="Master Repository Process" w:date="2021-09-11T17:07:00Z">
              <w:r>
                <w:rPr>
                  <w:snapToGrid w:val="0"/>
                  <w:sz w:val="19"/>
                  <w:lang w:val="en-US"/>
                </w:rPr>
                <w:br/>
              </w:r>
            </w:ins>
            <w:r>
              <w:rPr>
                <w:snapToGrid w:val="0"/>
                <w:sz w:val="19"/>
                <w:lang w:val="en-US"/>
              </w:rPr>
              <w:t>Regulations other than r. 1 and 2: 11 Oct 2008 (see r. 2(b))</w:t>
            </w:r>
          </w:p>
        </w:tc>
      </w:tr>
      <w:tr>
        <w:trPr>
          <w:cantSplit/>
          <w:ins w:id="293" w:author="Master Repository Process" w:date="2021-09-11T17:07:00Z"/>
        </w:trPr>
        <w:tc>
          <w:tcPr>
            <w:tcW w:w="7087" w:type="dxa"/>
            <w:gridSpan w:val="3"/>
            <w:tcBorders>
              <w:bottom w:val="single" w:sz="8" w:space="0" w:color="auto"/>
            </w:tcBorders>
          </w:tcPr>
          <w:p>
            <w:pPr>
              <w:pStyle w:val="nTable"/>
              <w:spacing w:after="40"/>
              <w:rPr>
                <w:ins w:id="294" w:author="Master Repository Process" w:date="2021-09-11T17:07:00Z"/>
                <w:snapToGrid w:val="0"/>
                <w:sz w:val="19"/>
                <w:lang w:val="en-US"/>
              </w:rPr>
            </w:pPr>
            <w:ins w:id="295" w:author="Master Repository Process" w:date="2021-09-11T17:07:00Z">
              <w:r>
                <w:rPr>
                  <w:b/>
                  <w:bCs/>
                  <w:snapToGrid w:val="0"/>
                  <w:sz w:val="19"/>
                  <w:lang w:val="en-US"/>
                </w:rPr>
                <w:t xml:space="preserve">Reprint 1: The </w:t>
              </w:r>
              <w:r>
                <w:rPr>
                  <w:b/>
                  <w:bCs/>
                  <w:i/>
                  <w:iCs/>
                  <w:sz w:val="19"/>
                </w:rPr>
                <w:t>Planning and Development (Local Government Planning Fees) Regulations 2000</w:t>
              </w:r>
              <w:r>
                <w:rPr>
                  <w:b/>
                  <w:bCs/>
                  <w:snapToGrid w:val="0"/>
                  <w:sz w:val="19"/>
                  <w:lang w:val="en-US"/>
                </w:rPr>
                <w:t xml:space="preserve"> as at 20 Feb 2009</w:t>
              </w:r>
              <w:r>
                <w:rPr>
                  <w:snapToGrid w:val="0"/>
                  <w:sz w:val="19"/>
                  <w:lang w:val="en-US"/>
                </w:rPr>
                <w:t xml:space="preserve"> (includes amendments listed above)</w:t>
              </w:r>
            </w:ins>
          </w:p>
        </w:tc>
      </w:tr>
    </w:tbl>
    <w:p>
      <w:pPr>
        <w:pStyle w:val="nSubsection"/>
      </w:pPr>
      <w:r>
        <w:rPr>
          <w:vertAlign w:val="superscript"/>
        </w:rPr>
        <w:t>2</w:t>
      </w:r>
      <w:r>
        <w:tab/>
        <w:t xml:space="preserve">Formerly made under </w:t>
      </w:r>
      <w:del w:id="296" w:author="Master Repository Process" w:date="2021-09-11T17:07:00Z">
        <w:r>
          <w:delText xml:space="preserve">s. 33B of </w:delText>
        </w:r>
      </w:del>
      <w:r>
        <w:t xml:space="preserve">the </w:t>
      </w:r>
      <w:r>
        <w:rPr>
          <w:i/>
          <w:iCs/>
        </w:rPr>
        <w:t>Town Planning and Development Act 1928</w:t>
      </w:r>
      <w:ins w:id="297" w:author="Master Repository Process" w:date="2021-09-11T17:07:00Z">
        <w:r>
          <w:rPr>
            <w:i/>
            <w:iCs/>
          </w:rPr>
          <w:t xml:space="preserve"> </w:t>
        </w:r>
        <w:r>
          <w:t>s. 33B</w:t>
        </w:r>
      </w:ins>
      <w:r>
        <w:t xml:space="preserve">, continued under </w:t>
      </w:r>
      <w:del w:id="298" w:author="Master Repository Process" w:date="2021-09-11T17:07:00Z">
        <w:r>
          <w:delText xml:space="preserve">s. 261 of </w:delText>
        </w:r>
      </w:del>
      <w:r>
        <w:t xml:space="preserve">the </w:t>
      </w:r>
      <w:r>
        <w:rPr>
          <w:i/>
          <w:iCs/>
        </w:rPr>
        <w:t>Planning and Development Act 2005</w:t>
      </w:r>
      <w:ins w:id="299" w:author="Master Repository Process" w:date="2021-09-11T17:07:00Z">
        <w:r>
          <w:t xml:space="preserve"> s. 261</w:t>
        </w:r>
      </w:ins>
      <w:r>
        <w:t>.</w:t>
      </w:r>
    </w:p>
    <w:p>
      <w:pPr>
        <w:pStyle w:val="nSubsection"/>
      </w:pPr>
      <w:r>
        <w:rPr>
          <w:vertAlign w:val="superscript"/>
        </w:rPr>
        <w:t>3</w:t>
      </w:r>
      <w:r>
        <w:tab/>
        <w:t xml:space="preserve">Now known as the </w:t>
      </w:r>
      <w:r>
        <w:rPr>
          <w:i/>
          <w:iCs/>
        </w:rPr>
        <w:t>Planning and Development (Local Government Planning Fees) Regulations 2000</w:t>
      </w:r>
      <w:r>
        <w:t>; citation changed (see note under r. 1).</w:t>
      </w:r>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Oct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Feb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Oct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Feb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Oct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Feb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Planning and Development (Local Government Planning Fees)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Planning and Development (Local Government Planning Fees)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Planning and Development (Local Government Planning Fees) Regulations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Planning and Development (Local Government Planning Fees) Regulations 2000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Planning and Development (Local Government Planning Fees) Regulations 2000</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Planning and Development (Local Government Planning Fees) Regulations 2000</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Planning and Development (Local Government Planning Fees) Regulations 2000</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9CE8C0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C3E4F3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51A52E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9B2B4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83A0AC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F445A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409D1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524AD2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7AE7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D1AAFC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6B66B2C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CEE8432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B0183D4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D3FC18AC"/>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4"/>
  </w:num>
  <w:num w:numId="1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60151"/>
    <w:docVar w:name="WAFER_20151208160151" w:val="RemoveTrackChanges"/>
    <w:docVar w:name="WAFER_20151208160151_GUID" w:val="310b07c4-d75c-4c6d-b59f-7c62a8edc25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0207A3D-292B-4FB2-827C-9873D0D07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SignatureText">
    <w:name w:val="SignatureText"/>
    <w:basedOn w:val="Normal"/>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3276</Words>
  <Characters>16221</Characters>
  <Application>Microsoft Office Word</Application>
  <DocSecurity>0</DocSecurity>
  <Lines>1013</Lines>
  <Paragraphs>354</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Drafting Template</vt:lpstr>
      <vt:lpstr>Western Australia</vt:lpstr>
      <vt:lpstr>Planning and Development (Local Government Planning Fees) Regulations 2000</vt:lpstr>
      <vt:lpstr>    Schedule 1 — Fees for planning services</vt:lpstr>
      <vt:lpstr>    Part 1 — Maximum fixed fees</vt:lpstr>
      <vt:lpstr>    Notes</vt:lpstr>
      <vt:lpstr>    Defined Terms</vt:lpstr>
    </vt:vector>
  </TitlesOfParts>
  <Manager/>
  <Company/>
  <LinksUpToDate>false</LinksUpToDate>
  <CharactersWithSpaces>19143</CharactersWithSpaces>
  <SharedDoc>false</SharedDoc>
  <HLinks>
    <vt:vector size="12" baseType="variant">
      <vt:variant>
        <vt:i4>3014716</vt:i4>
      </vt:variant>
      <vt:variant>
        <vt:i4>3110</vt:i4>
      </vt:variant>
      <vt:variant>
        <vt:i4>1025</vt:i4>
      </vt:variant>
      <vt:variant>
        <vt:i4>1</vt:i4>
      </vt:variant>
      <vt:variant>
        <vt:lpwstr>C:\Program Files\PCO DLL\Support\Crest.wpg</vt:lpwstr>
      </vt:variant>
      <vt:variant>
        <vt:lpwstr/>
      </vt:variant>
      <vt:variant>
        <vt:i4>3014716</vt:i4>
      </vt:variant>
      <vt:variant>
        <vt:i4>-1</vt:i4>
      </vt:variant>
      <vt:variant>
        <vt:i4>1032</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(Local Government Planning Fees) Regulations 2000 00-e0-02 - 01-a0-02</dc:title>
  <dc:subject/>
  <dc:creator/>
  <cp:keywords/>
  <dc:description/>
  <cp:lastModifiedBy>Master Repository Process</cp:lastModifiedBy>
  <cp:revision>2</cp:revision>
  <cp:lastPrinted>2009-02-10T03:12:00Z</cp:lastPrinted>
  <dcterms:created xsi:type="dcterms:W3CDTF">2021-09-11T09:07:00Z</dcterms:created>
  <dcterms:modified xsi:type="dcterms:W3CDTF">2021-09-11T09:07:00Z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December 2000 pp.7245-59</vt:lpwstr>
  </property>
  <property fmtid="{D5CDD505-2E9C-101B-9397-08002B2CF9AE}" pid="3" name="CommencementDate">
    <vt:lpwstr>20090220</vt:lpwstr>
  </property>
  <property fmtid="{D5CDD505-2E9C-101B-9397-08002B2CF9AE}" pid="4" name="DocumentType">
    <vt:lpwstr>Reg</vt:lpwstr>
  </property>
  <property fmtid="{D5CDD505-2E9C-101B-9397-08002B2CF9AE}" pid="5" name="OwlsUID">
    <vt:i4>1146</vt:i4>
  </property>
  <property fmtid="{D5CDD505-2E9C-101B-9397-08002B2CF9AE}" pid="6" name="ReprintedAsAt">
    <vt:filetime>2009-02-19T15:00:00Z</vt:filetime>
  </property>
  <property fmtid="{D5CDD505-2E9C-101B-9397-08002B2CF9AE}" pid="7" name="ReprintNo">
    <vt:lpwstr>1</vt:lpwstr>
  </property>
  <property fmtid="{D5CDD505-2E9C-101B-9397-08002B2CF9AE}" pid="8" name="FromSuffix">
    <vt:lpwstr>00-e0-02</vt:lpwstr>
  </property>
  <property fmtid="{D5CDD505-2E9C-101B-9397-08002B2CF9AE}" pid="9" name="FromAsAtDate">
    <vt:lpwstr>11 Oct 2008</vt:lpwstr>
  </property>
  <property fmtid="{D5CDD505-2E9C-101B-9397-08002B2CF9AE}" pid="10" name="ToSuffix">
    <vt:lpwstr>01-a0-02</vt:lpwstr>
  </property>
  <property fmtid="{D5CDD505-2E9C-101B-9397-08002B2CF9AE}" pid="11" name="ToAsAtDate">
    <vt:lpwstr>20 Feb 2009</vt:lpwstr>
  </property>
</Properties>
</file>