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 xml:space="preserve">n Act to provide for the registration of painters and for other purposes. </w:t>
      </w:r>
    </w:p>
    <w:p>
      <w:pPr>
        <w:pStyle w:val="Heading5"/>
        <w:spacing w:before="600"/>
        <w:rPr>
          <w:snapToGrid w:val="0"/>
        </w:rPr>
      </w:pPr>
      <w:bookmarkStart w:id="1" w:name="_Toc449510814"/>
      <w:bookmarkStart w:id="2" w:name="_Toc103141591"/>
      <w:bookmarkStart w:id="3" w:name="_Toc15247406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4" w:name="_Toc449510815"/>
      <w:bookmarkStart w:id="5" w:name="_Toc103141592"/>
      <w:bookmarkStart w:id="6" w:name="_Toc152474068"/>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spacing w:before="120"/>
        <w:rPr>
          <w:snapToGrid w:val="0"/>
        </w:rPr>
      </w:pPr>
      <w:r>
        <w:rPr>
          <w:snapToGrid w:val="0"/>
        </w:rPr>
        <w:tab/>
      </w:r>
      <w:r>
        <w:rPr>
          <w:snapToGrid w:val="0"/>
        </w:rPr>
        <w:tab/>
        <w:t>In this Act unless inconsistent with the context or subject matter — </w:t>
      </w:r>
    </w:p>
    <w:p>
      <w:pPr>
        <w:pStyle w:val="Defstart"/>
      </w:pPr>
      <w:r>
        <w:rPr>
          <w:b/>
        </w:rPr>
        <w:tab/>
        <w:t>“</w:t>
      </w:r>
      <w:r>
        <w:rPr>
          <w:rStyle w:val="CharDefText"/>
        </w:rPr>
        <w:t>the Board</w:t>
      </w:r>
      <w:r>
        <w:rPr>
          <w:b/>
        </w:rPr>
        <w:t>”</w:t>
      </w:r>
      <w:r>
        <w:t xml:space="preserve"> means the Painters’ Registration Board constituted under this Act;</w:t>
      </w:r>
    </w:p>
    <w:p>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t>“</w:t>
      </w:r>
      <w:r>
        <w:rPr>
          <w:rStyle w:val="CharDefText"/>
        </w:rPr>
        <w:t>painter</w:t>
      </w:r>
      <w:r>
        <w:rPr>
          <w:b/>
        </w:rPr>
        <w:t>”</w:t>
      </w:r>
      <w:r>
        <w:t xml:space="preserve"> means any person, partnership or company or other body corporate who or which carries out painting;</w:t>
      </w:r>
    </w:p>
    <w:p>
      <w:pPr>
        <w:pStyle w:val="Defstart"/>
      </w:pPr>
      <w:r>
        <w:rPr>
          <w:b/>
        </w:rPr>
        <w:tab/>
        <w:t>“</w:t>
      </w:r>
      <w:r>
        <w:rPr>
          <w:rStyle w:val="CharDefText"/>
        </w:rPr>
        <w:t>registered painter</w:t>
      </w:r>
      <w:r>
        <w:rPr>
          <w:b/>
        </w:rPr>
        <w:t>”</w:t>
      </w:r>
      <w:r>
        <w:t xml:space="preserve"> means a painter registered under this Act;</w:t>
      </w:r>
    </w:p>
    <w:p>
      <w:pPr>
        <w:pStyle w:val="Defstart"/>
      </w:pPr>
      <w:r>
        <w:rPr>
          <w:b/>
        </w:rPr>
        <w:tab/>
        <w:t>“</w:t>
      </w:r>
      <w:r>
        <w:rPr>
          <w:rStyle w:val="CharDefText"/>
        </w:rPr>
        <w:t>Minister</w:t>
      </w:r>
      <w:r>
        <w:rPr>
          <w:b/>
        </w:rPr>
        <w:t>”</w:t>
      </w:r>
      <w:r>
        <w:t xml:space="preserve"> means the Minister for the time being charged with the administration of this Act;</w:t>
      </w:r>
    </w:p>
    <w:p>
      <w:pPr>
        <w:pStyle w:val="Defstart"/>
      </w:pPr>
      <w:r>
        <w:rPr>
          <w:b/>
        </w:rPr>
        <w:tab/>
        <w:t>“</w:t>
      </w:r>
      <w:r>
        <w:rPr>
          <w:rStyle w:val="CharDefText"/>
        </w:rPr>
        <w:t>Registrar</w:t>
      </w:r>
      <w:r>
        <w:rPr>
          <w:b/>
        </w:rPr>
        <w:t>”</w:t>
      </w:r>
      <w:r>
        <w:t xml:space="preserve"> means the person who for the time being holds the office of Registrar under this Act;</w:t>
      </w:r>
    </w:p>
    <w:p>
      <w:pPr>
        <w:pStyle w:val="Defstart"/>
      </w:pPr>
      <w:r>
        <w:rPr>
          <w:b/>
        </w:rPr>
        <w:tab/>
        <w:t>“</w:t>
      </w:r>
      <w:r>
        <w:rPr>
          <w:rStyle w:val="CharDefText"/>
        </w:rPr>
        <w:t>Register</w:t>
      </w:r>
      <w:r>
        <w:rPr>
          <w:b/>
        </w:rPr>
        <w:t>”</w:t>
      </w:r>
      <w:r>
        <w:t xml:space="preserve"> means the Register of Painters kept pursuant to this Act;</w:t>
      </w:r>
    </w:p>
    <w:p>
      <w:pPr>
        <w:pStyle w:val="Defstart"/>
      </w:pPr>
      <w:r>
        <w:rPr>
          <w:b/>
        </w:rPr>
        <w:tab/>
        <w:t>“</w:t>
      </w:r>
      <w:r>
        <w:rPr>
          <w:rStyle w:val="CharDefText"/>
        </w:rPr>
        <w:t>Union</w:t>
      </w:r>
      <w:r>
        <w:rPr>
          <w:b/>
        </w:rPr>
        <w:t>”</w:t>
      </w:r>
      <w:r>
        <w:t xml:space="preserve"> means The Operative Painters’ and Decorators’ Union of Australia, West Australian Branch, Union of Workers.</w:t>
      </w:r>
    </w:p>
    <w:p>
      <w:pPr>
        <w:pStyle w:val="Footnotesection"/>
      </w:pPr>
      <w:r>
        <w:tab/>
        <w:t xml:space="preserve">[Section 2 amended by No. 75 of 1965 s.2; No. 78 of 1976 s.2.] </w:t>
      </w:r>
    </w:p>
    <w:p>
      <w:pPr>
        <w:pStyle w:val="Heading5"/>
        <w:rPr>
          <w:snapToGrid w:val="0"/>
        </w:rPr>
      </w:pPr>
      <w:bookmarkStart w:id="7" w:name="_Toc449510816"/>
      <w:bookmarkStart w:id="8" w:name="_Toc103141593"/>
      <w:bookmarkStart w:id="9" w:name="_Toc152474069"/>
      <w:r>
        <w:rPr>
          <w:rStyle w:val="CharSectno"/>
        </w:rPr>
        <w:t>3</w:t>
      </w:r>
      <w:r>
        <w:rPr>
          <w:snapToGrid w:val="0"/>
        </w:rPr>
        <w:t>.</w:t>
      </w:r>
      <w:r>
        <w:rPr>
          <w:snapToGrid w:val="0"/>
        </w:rPr>
        <w:tab/>
        <w:t>Area within which this Act applies</w:t>
      </w:r>
      <w:bookmarkEnd w:id="7"/>
      <w:bookmarkEnd w:id="8"/>
      <w:bookmarkEnd w:id="9"/>
      <w:r>
        <w:rPr>
          <w:snapToGrid w:val="0"/>
        </w:rPr>
        <w:t xml:space="preserve"> </w:t>
      </w:r>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 xml:space="preserve">[Section 3 inserted by No. 33 of 1983 s.3.] </w:t>
      </w:r>
    </w:p>
    <w:p>
      <w:pPr>
        <w:pStyle w:val="Heading5"/>
        <w:rPr>
          <w:snapToGrid w:val="0"/>
        </w:rPr>
      </w:pPr>
      <w:bookmarkStart w:id="10" w:name="_Toc449510817"/>
      <w:bookmarkStart w:id="11" w:name="_Toc103141594"/>
      <w:bookmarkStart w:id="12" w:name="_Toc152474070"/>
      <w:r>
        <w:rPr>
          <w:rStyle w:val="CharSectno"/>
        </w:rPr>
        <w:t>4</w:t>
      </w:r>
      <w:r>
        <w:rPr>
          <w:snapToGrid w:val="0"/>
        </w:rPr>
        <w:t>.</w:t>
      </w:r>
      <w:r>
        <w:rPr>
          <w:snapToGrid w:val="0"/>
        </w:rPr>
        <w:tab/>
        <w:t>Prohibition against unregistered painters carrying on business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 xml:space="preserve">[Section 4 amended by No. 75 of 1965 s.3; No. 113 of 1965 s.8(1); No. 59 of 1970 s.2; No. 33 of 1983 s.4.] </w:t>
      </w:r>
    </w:p>
    <w:p>
      <w:pPr>
        <w:pStyle w:val="Heading5"/>
        <w:rPr>
          <w:snapToGrid w:val="0"/>
        </w:rPr>
      </w:pPr>
      <w:bookmarkStart w:id="13" w:name="_Toc449510818"/>
      <w:bookmarkStart w:id="14" w:name="_Toc103141595"/>
      <w:bookmarkStart w:id="15" w:name="_Toc152474071"/>
      <w:r>
        <w:rPr>
          <w:rStyle w:val="CharSectno"/>
        </w:rPr>
        <w:t>4A</w:t>
      </w:r>
      <w:r>
        <w:rPr>
          <w:snapToGrid w:val="0"/>
        </w:rPr>
        <w:t>.</w:t>
      </w:r>
      <w:r>
        <w:rPr>
          <w:snapToGrid w:val="0"/>
        </w:rPr>
        <w:tab/>
        <w:t>Unregistered persons not to assume title of registered painter</w:t>
      </w:r>
      <w:bookmarkEnd w:id="13"/>
      <w:bookmarkEnd w:id="14"/>
      <w:bookmarkEnd w:id="15"/>
    </w:p>
    <w:p>
      <w:pPr>
        <w:pStyle w:val="Subsection"/>
        <w:rPr>
          <w:snapToGrid w:val="0"/>
        </w:rPr>
      </w:pPr>
      <w:r>
        <w:rPr>
          <w:snapToGrid w:val="0"/>
        </w:rPr>
        <w:tab/>
      </w:r>
      <w:r>
        <w:rPr>
          <w:snapToGrid w:val="0"/>
        </w:rPr>
        <w:tab/>
        <w:t>Any person not registered under this Act who —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 xml:space="preserve">[Section 4A inserted by No. 6 of 1966 s.2.] </w:t>
      </w:r>
    </w:p>
    <w:p>
      <w:pPr>
        <w:pStyle w:val="Heading5"/>
        <w:keepLines w:val="0"/>
        <w:rPr>
          <w:snapToGrid w:val="0"/>
        </w:rPr>
      </w:pPr>
      <w:bookmarkStart w:id="16" w:name="_Toc449510819"/>
      <w:bookmarkStart w:id="17" w:name="_Toc103141596"/>
      <w:bookmarkStart w:id="18" w:name="_Toc152474072"/>
      <w:r>
        <w:rPr>
          <w:rStyle w:val="CharSectno"/>
        </w:rPr>
        <w:t>5</w:t>
      </w:r>
      <w:r>
        <w:rPr>
          <w:snapToGrid w:val="0"/>
        </w:rPr>
        <w:t>.</w:t>
      </w:r>
      <w:r>
        <w:rPr>
          <w:snapToGrid w:val="0"/>
        </w:rPr>
        <w:tab/>
        <w:t>Establishment of Painters’ Registration Board</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9" w:name="_Toc449510820"/>
      <w:bookmarkStart w:id="20" w:name="_Toc103141597"/>
      <w:bookmarkStart w:id="21" w:name="_Toc152474073"/>
      <w:r>
        <w:rPr>
          <w:rStyle w:val="CharSectno"/>
        </w:rPr>
        <w:t>6</w:t>
      </w:r>
      <w:r>
        <w:rPr>
          <w:snapToGrid w:val="0"/>
        </w:rPr>
        <w:t>.</w:t>
      </w:r>
      <w:r>
        <w:rPr>
          <w:snapToGrid w:val="0"/>
        </w:rPr>
        <w:tab/>
        <w:t>Board to be body corporate</w:t>
      </w:r>
      <w:bookmarkEnd w:id="19"/>
      <w:bookmarkEnd w:id="20"/>
      <w:bookmarkEnd w:id="21"/>
      <w:r>
        <w:rPr>
          <w:snapToGrid w:val="0"/>
        </w:rPr>
        <w:t xml:space="preserve"> </w:t>
      </w:r>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22" w:name="_Toc449510821"/>
      <w:bookmarkStart w:id="23" w:name="_Toc103141598"/>
      <w:bookmarkStart w:id="24" w:name="_Toc152474074"/>
      <w:r>
        <w:rPr>
          <w:rStyle w:val="CharSectno"/>
        </w:rPr>
        <w:t>7</w:t>
      </w:r>
      <w:r>
        <w:rPr>
          <w:snapToGrid w:val="0"/>
        </w:rPr>
        <w:t>.</w:t>
      </w:r>
      <w:r>
        <w:rPr>
          <w:snapToGrid w:val="0"/>
        </w:rPr>
        <w:tab/>
        <w:t>Constitution of Board</w:t>
      </w:r>
      <w:bookmarkEnd w:id="22"/>
      <w:bookmarkEnd w:id="23"/>
      <w:bookmarkEnd w:id="24"/>
      <w:r>
        <w:rPr>
          <w:snapToGrid w:val="0"/>
        </w:rPr>
        <w:t xml:space="preserve"> </w:t>
      </w:r>
    </w:p>
    <w:p>
      <w:pPr>
        <w:pStyle w:val="Subsection"/>
        <w:rPr>
          <w:snapToGrid w:val="0"/>
        </w:rPr>
      </w:pPr>
      <w:r>
        <w:rPr>
          <w:snapToGrid w:val="0"/>
        </w:rPr>
        <w:tab/>
        <w:t>(1)</w:t>
      </w:r>
      <w:r>
        <w:rPr>
          <w:snapToGrid w:val="0"/>
        </w:rPr>
        <w:tab/>
        <w:t>The Board shall consist of 5 members appointed by the Governor, of whom one shall be —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 xml:space="preserve">[Section 7 amended by No. 42 of 1962 s.3; No. 33 of 1983 s.5.] </w:t>
      </w:r>
    </w:p>
    <w:p>
      <w:pPr>
        <w:pStyle w:val="Heading5"/>
        <w:rPr>
          <w:snapToGrid w:val="0"/>
        </w:rPr>
      </w:pPr>
      <w:bookmarkStart w:id="25" w:name="_Toc449510822"/>
      <w:bookmarkStart w:id="26" w:name="_Toc103141599"/>
      <w:bookmarkStart w:id="27" w:name="_Toc152474075"/>
      <w:r>
        <w:rPr>
          <w:rStyle w:val="CharSectno"/>
        </w:rPr>
        <w:t>7A</w:t>
      </w:r>
      <w:r>
        <w:rPr>
          <w:snapToGrid w:val="0"/>
        </w:rPr>
        <w:t>.</w:t>
      </w:r>
      <w:r>
        <w:rPr>
          <w:snapToGrid w:val="0"/>
        </w:rPr>
        <w:tab/>
        <w:t>Deputies of chairman and members</w:t>
      </w:r>
      <w:bookmarkEnd w:id="25"/>
      <w:bookmarkEnd w:id="26"/>
      <w:bookmarkEnd w:id="27"/>
      <w:r>
        <w:rPr>
          <w:snapToGrid w:val="0"/>
        </w:rPr>
        <w:t xml:space="preserve"> </w:t>
      </w:r>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 xml:space="preserve">[Section 7A inserted by No. 33 of 1983 s.6.] </w:t>
      </w:r>
    </w:p>
    <w:p>
      <w:pPr>
        <w:pStyle w:val="Heading5"/>
        <w:rPr>
          <w:snapToGrid w:val="0"/>
        </w:rPr>
      </w:pPr>
      <w:bookmarkStart w:id="28" w:name="_Toc449510823"/>
      <w:bookmarkStart w:id="29" w:name="_Toc103141600"/>
      <w:bookmarkStart w:id="30" w:name="_Toc152474076"/>
      <w:r>
        <w:rPr>
          <w:rStyle w:val="CharSectno"/>
        </w:rPr>
        <w:t>8</w:t>
      </w:r>
      <w:r>
        <w:rPr>
          <w:snapToGrid w:val="0"/>
        </w:rPr>
        <w:t>.</w:t>
      </w:r>
      <w:r>
        <w:rPr>
          <w:snapToGrid w:val="0"/>
        </w:rPr>
        <w:tab/>
        <w:t>Remuneration of Board members</w:t>
      </w:r>
      <w:bookmarkEnd w:id="28"/>
      <w:bookmarkEnd w:id="29"/>
      <w:bookmarkEnd w:id="30"/>
      <w:r>
        <w:rPr>
          <w:snapToGrid w:val="0"/>
        </w:rPr>
        <w:t xml:space="preserve"> </w:t>
      </w:r>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Public Service Board</w:t>
      </w:r>
      <w:r>
        <w:rPr>
          <w:snapToGrid w:val="0"/>
          <w:vertAlign w:val="superscript"/>
        </w:rPr>
        <w:t xml:space="preserve"> 2</w:t>
      </w:r>
      <w:r>
        <w:rPr>
          <w:snapToGrid w:val="0"/>
        </w:rPr>
        <w:t>.</w:t>
      </w:r>
    </w:p>
    <w:p>
      <w:pPr>
        <w:pStyle w:val="Footnotesection"/>
      </w:pPr>
      <w:r>
        <w:tab/>
        <w:t xml:space="preserve">[Section 8 inserted by No. 33 of 1983 s.7.] </w:t>
      </w:r>
    </w:p>
    <w:p>
      <w:pPr>
        <w:pStyle w:val="Heading5"/>
        <w:rPr>
          <w:snapToGrid w:val="0"/>
        </w:rPr>
      </w:pPr>
      <w:bookmarkStart w:id="31" w:name="_Toc449510824"/>
      <w:bookmarkStart w:id="32" w:name="_Toc103141601"/>
      <w:bookmarkStart w:id="33" w:name="_Toc152474077"/>
      <w:r>
        <w:rPr>
          <w:rStyle w:val="CharSectno"/>
        </w:rPr>
        <w:t>9</w:t>
      </w:r>
      <w:r>
        <w:rPr>
          <w:snapToGrid w:val="0"/>
        </w:rPr>
        <w:t>.</w:t>
      </w:r>
      <w:r>
        <w:rPr>
          <w:snapToGrid w:val="0"/>
        </w:rPr>
        <w:tab/>
        <w:t>Appointment of officers</w:t>
      </w:r>
      <w:bookmarkEnd w:id="31"/>
      <w:bookmarkEnd w:id="32"/>
      <w:bookmarkEnd w:id="33"/>
      <w:r>
        <w:rPr>
          <w:snapToGrid w:val="0"/>
        </w:rPr>
        <w:t xml:space="preserve"> </w:t>
      </w:r>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34" w:name="_Toc449510825"/>
      <w:bookmarkStart w:id="35" w:name="_Toc103141602"/>
      <w:bookmarkStart w:id="36" w:name="_Toc152474078"/>
      <w:r>
        <w:rPr>
          <w:rStyle w:val="CharSectno"/>
        </w:rPr>
        <w:t>10</w:t>
      </w:r>
      <w:r>
        <w:rPr>
          <w:snapToGrid w:val="0"/>
        </w:rPr>
        <w:t>.</w:t>
      </w:r>
      <w:r>
        <w:rPr>
          <w:snapToGrid w:val="0"/>
        </w:rPr>
        <w:tab/>
        <w:t>Register of Painters</w:t>
      </w:r>
      <w:bookmarkEnd w:id="34"/>
      <w:bookmarkEnd w:id="35"/>
      <w:bookmarkEnd w:id="36"/>
      <w:r>
        <w:rPr>
          <w:snapToGrid w:val="0"/>
        </w:rPr>
        <w:t xml:space="preserve"> </w:t>
      </w:r>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37" w:name="_Toc449510826"/>
      <w:bookmarkStart w:id="38" w:name="_Toc103141603"/>
      <w:bookmarkStart w:id="39" w:name="_Toc152474079"/>
      <w:r>
        <w:rPr>
          <w:rStyle w:val="CharSectno"/>
        </w:rPr>
        <w:t>11</w:t>
      </w:r>
      <w:r>
        <w:rPr>
          <w:snapToGrid w:val="0"/>
        </w:rPr>
        <w:t>.</w:t>
      </w:r>
      <w:r>
        <w:rPr>
          <w:snapToGrid w:val="0"/>
        </w:rPr>
        <w:tab/>
        <w:t>Application for registration</w:t>
      </w:r>
      <w:bookmarkEnd w:id="37"/>
      <w:bookmarkEnd w:id="38"/>
      <w:bookmarkEnd w:id="39"/>
      <w:r>
        <w:rPr>
          <w:snapToGrid w:val="0"/>
        </w:rPr>
        <w:t xml:space="preserve"> </w:t>
      </w:r>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pPr>
      <w:r>
        <w:tab/>
        <w:t xml:space="preserve">[Section 11 amended by No. 68 of 1974 s.3.] </w:t>
      </w:r>
    </w:p>
    <w:p>
      <w:pPr>
        <w:pStyle w:val="Heading5"/>
        <w:spacing w:before="180"/>
        <w:rPr>
          <w:snapToGrid w:val="0"/>
        </w:rPr>
      </w:pPr>
      <w:bookmarkStart w:id="40" w:name="_Toc449510827"/>
      <w:bookmarkStart w:id="41" w:name="_Toc103141604"/>
      <w:bookmarkStart w:id="42" w:name="_Toc152474080"/>
      <w:r>
        <w:rPr>
          <w:rStyle w:val="CharSectno"/>
        </w:rPr>
        <w:t>12</w:t>
      </w:r>
      <w:r>
        <w:rPr>
          <w:snapToGrid w:val="0"/>
        </w:rPr>
        <w:t>.</w:t>
      </w:r>
      <w:r>
        <w:rPr>
          <w:snapToGrid w:val="0"/>
        </w:rPr>
        <w:tab/>
        <w:t>Who may register</w:t>
      </w:r>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 </w:t>
      </w:r>
    </w:p>
    <w:p>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rPr>
          <w:snapToGrid w:val="0"/>
          <w:spacing w:val="-4"/>
        </w:rPr>
      </w:pPr>
      <w:r>
        <w:rPr>
          <w:snapToGrid w:val="0"/>
          <w:spacing w:val="-4"/>
        </w:rPr>
        <w:tab/>
        <w:t>(aa)</w:t>
      </w:r>
      <w:r>
        <w:rPr>
          <w:snapToGrid w:val="0"/>
          <w:spacing w:val="-4"/>
        </w:rPr>
        <w:tab/>
        <w:t xml:space="preserve">has completed the prescribed course of training and has passed the prescribed examination as laid down under the </w:t>
      </w:r>
      <w:r>
        <w:rPr>
          <w:i/>
          <w:snapToGrid w:val="0"/>
          <w:spacing w:val="-4"/>
        </w:rPr>
        <w:t xml:space="preserve">Industrial Training Act 1975 </w:t>
      </w:r>
      <w:r>
        <w:rPr>
          <w:snapToGrid w:val="0"/>
          <w:spacing w:val="-4"/>
          <w:vertAlign w:val="superscript"/>
        </w:rPr>
        <w:t>3</w:t>
      </w:r>
      <w:r>
        <w:rPr>
          <w:snapToGrid w:val="0"/>
          <w:spacing w:val="-4"/>
        </w:rPr>
        <w:t>, for apprentices to the painting trade and has passed the prescribed additional examination laid down by the Board for those persons;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rPr>
          <w:snapToGrid w:val="0"/>
          <w:spacing w:val="-4"/>
        </w:rPr>
      </w:pPr>
      <w:r>
        <w:rPr>
          <w:snapToGrid w:val="0"/>
          <w:spacing w:val="-4"/>
        </w:rPr>
        <w:tab/>
        <w:t>(2)</w:t>
      </w:r>
      <w:r>
        <w:rPr>
          <w:snapToGrid w:val="0"/>
          <w:spacing w:val="-4"/>
        </w:rPr>
        <w:tab/>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 xml:space="preserve">[Section 12 inserted by No. 35 of 1963 s.2; amended by No. 75 of 1965 s.4; No. 68 of 1974 s.4; No. 33 of 1983 s.8.] </w:t>
      </w:r>
    </w:p>
    <w:p>
      <w:pPr>
        <w:pStyle w:val="Heading5"/>
        <w:rPr>
          <w:snapToGrid w:val="0"/>
        </w:rPr>
      </w:pPr>
      <w:bookmarkStart w:id="43" w:name="_Toc449510828"/>
      <w:bookmarkStart w:id="44" w:name="_Toc103141605"/>
      <w:bookmarkStart w:id="45" w:name="_Toc152474081"/>
      <w:r>
        <w:rPr>
          <w:rStyle w:val="CharSectno"/>
        </w:rPr>
        <w:t>13</w:t>
      </w:r>
      <w:r>
        <w:rPr>
          <w:snapToGrid w:val="0"/>
        </w:rPr>
        <w:t>.</w:t>
      </w:r>
      <w:r>
        <w:rPr>
          <w:snapToGrid w:val="0"/>
        </w:rPr>
        <w:tab/>
        <w:t>Examinations</w:t>
      </w:r>
      <w:bookmarkEnd w:id="43"/>
      <w:bookmarkEnd w:id="44"/>
      <w:bookmarkEnd w:id="45"/>
      <w:r>
        <w:rPr>
          <w:snapToGrid w:val="0"/>
        </w:rPr>
        <w:t xml:space="preserve"> </w:t>
      </w:r>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 xml:space="preserve">[Section 13 amended by No. 68 of 1974 s.5.] </w:t>
      </w:r>
    </w:p>
    <w:p>
      <w:pPr>
        <w:pStyle w:val="Heading5"/>
        <w:rPr>
          <w:snapToGrid w:val="0"/>
        </w:rPr>
      </w:pPr>
      <w:bookmarkStart w:id="46" w:name="_Toc449510829"/>
      <w:bookmarkStart w:id="47" w:name="_Toc103141606"/>
      <w:bookmarkStart w:id="48" w:name="_Toc152474082"/>
      <w:r>
        <w:rPr>
          <w:rStyle w:val="CharSectno"/>
        </w:rPr>
        <w:t>14</w:t>
      </w:r>
      <w:r>
        <w:rPr>
          <w:snapToGrid w:val="0"/>
        </w:rPr>
        <w:t>.</w:t>
      </w:r>
      <w:r>
        <w:rPr>
          <w:snapToGrid w:val="0"/>
        </w:rPr>
        <w:tab/>
        <w:t>When partnership, company or other body corporate may register</w:t>
      </w:r>
      <w:bookmarkEnd w:id="46"/>
      <w:bookmarkEnd w:id="47"/>
      <w:bookmarkEnd w:id="48"/>
      <w:r>
        <w:rPr>
          <w:snapToGrid w:val="0"/>
        </w:rPr>
        <w:t xml:space="preserve"> </w:t>
      </w:r>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20"/>
        <w:rPr>
          <w:snapToGrid w:val="0"/>
          <w:spacing w:val="-4"/>
        </w:rPr>
      </w:pPr>
      <w:r>
        <w:rPr>
          <w:snapToGrid w:val="0"/>
          <w:spacing w:val="-4"/>
        </w:rPr>
        <w:tab/>
        <w:t>(2)</w:t>
      </w:r>
      <w:r>
        <w:rPr>
          <w:snapToGrid w:val="0"/>
          <w:spacing w:val="-4"/>
        </w:rPr>
        <w:tab/>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 xml:space="preserve">[Section 14 amended by No. 59 of 1970 s.3.] </w:t>
      </w:r>
    </w:p>
    <w:p>
      <w:pPr>
        <w:pStyle w:val="Heading5"/>
        <w:spacing w:before="180"/>
        <w:rPr>
          <w:snapToGrid w:val="0"/>
        </w:rPr>
      </w:pPr>
      <w:bookmarkStart w:id="49" w:name="_Toc449510830"/>
      <w:bookmarkStart w:id="50" w:name="_Toc103141607"/>
      <w:bookmarkStart w:id="51" w:name="_Toc152474083"/>
      <w:r>
        <w:rPr>
          <w:rStyle w:val="CharSectno"/>
        </w:rPr>
        <w:t>14A</w:t>
      </w:r>
      <w:r>
        <w:rPr>
          <w:snapToGrid w:val="0"/>
        </w:rPr>
        <w:t>.</w:t>
      </w:r>
      <w:r>
        <w:rPr>
          <w:snapToGrid w:val="0"/>
        </w:rPr>
        <w:tab/>
        <w:t>Signs and advertisements</w:t>
      </w:r>
      <w:bookmarkEnd w:id="49"/>
      <w:bookmarkEnd w:id="50"/>
      <w:bookmarkEnd w:id="51"/>
      <w:r>
        <w:rPr>
          <w:snapToGrid w:val="0"/>
        </w:rPr>
        <w:t xml:space="preserve"> </w:t>
      </w:r>
    </w:p>
    <w:p>
      <w:pPr>
        <w:pStyle w:val="Subsection"/>
        <w:spacing w:before="120"/>
        <w:rPr>
          <w:snapToGrid w:val="0"/>
        </w:rPr>
      </w:pPr>
      <w:r>
        <w:rPr>
          <w:snapToGrid w:val="0"/>
        </w:rPr>
        <w:tab/>
      </w:r>
      <w:r>
        <w:rPr>
          <w:snapToGrid w:val="0"/>
        </w:rPr>
        <w:tab/>
        <w:t>Every registered painter shall — </w:t>
      </w:r>
    </w:p>
    <w:p>
      <w:pPr>
        <w:pStyle w:val="Indenta"/>
        <w:rPr>
          <w:snapToGrid w:val="0"/>
          <w:spacing w:val="-4"/>
        </w:rPr>
      </w:pPr>
      <w:r>
        <w:rPr>
          <w:snapToGrid w:val="0"/>
          <w:spacing w:val="-4"/>
        </w:rPr>
        <w:tab/>
        <w:t>(a)</w:t>
      </w:r>
      <w:r>
        <w:rPr>
          <w:snapToGrid w:val="0"/>
          <w:spacing w:val="-4"/>
        </w:rPr>
        <w:tab/>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 xml:space="preserve">[Section 14A inserted by No. 33 of 1983 s.9.] </w:t>
      </w:r>
    </w:p>
    <w:p>
      <w:pPr>
        <w:pStyle w:val="Heading5"/>
        <w:spacing w:before="180"/>
        <w:rPr>
          <w:snapToGrid w:val="0"/>
        </w:rPr>
      </w:pPr>
      <w:bookmarkStart w:id="52" w:name="_Toc449510831"/>
      <w:bookmarkStart w:id="53" w:name="_Toc103141608"/>
      <w:bookmarkStart w:id="54" w:name="_Toc152474084"/>
      <w:r>
        <w:rPr>
          <w:rStyle w:val="CharSectno"/>
        </w:rPr>
        <w:t>14B</w:t>
      </w:r>
      <w:r>
        <w:rPr>
          <w:snapToGrid w:val="0"/>
        </w:rPr>
        <w:t>.</w:t>
      </w:r>
      <w:r>
        <w:rPr>
          <w:snapToGrid w:val="0"/>
        </w:rPr>
        <w:tab/>
        <w:t>Painting carried out by partnership, company, etc.</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Where any painting is carried out by a partnership, the partners therein shall cause —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 xml:space="preserve">[Section 14B inserted by No. 59 of 1970 s.4; amended by No. 68 of 1974 s.6; No. 33 of 1983 s.10; No. 55 of 2004 s. 876.] </w:t>
      </w:r>
    </w:p>
    <w:p>
      <w:pPr>
        <w:pStyle w:val="Heading5"/>
        <w:spacing w:before="180"/>
        <w:rPr>
          <w:snapToGrid w:val="0"/>
        </w:rPr>
      </w:pPr>
      <w:bookmarkStart w:id="55" w:name="_Toc449510832"/>
      <w:bookmarkStart w:id="56" w:name="_Toc103141609"/>
      <w:bookmarkStart w:id="57" w:name="_Toc152474085"/>
      <w:r>
        <w:rPr>
          <w:rStyle w:val="CharSectno"/>
        </w:rPr>
        <w:t>15</w:t>
      </w:r>
      <w:r>
        <w:rPr>
          <w:snapToGrid w:val="0"/>
        </w:rPr>
        <w:t>.</w:t>
      </w:r>
      <w:r>
        <w:rPr>
          <w:snapToGrid w:val="0"/>
        </w:rPr>
        <w:tab/>
        <w:t>Board to supply reasons for refusal to register</w:t>
      </w:r>
      <w:bookmarkEnd w:id="55"/>
      <w:bookmarkEnd w:id="56"/>
      <w:bookmarkEnd w:id="57"/>
      <w:r>
        <w:rPr>
          <w:snapToGrid w:val="0"/>
        </w:rPr>
        <w:t xml:space="preserve"> </w:t>
      </w:r>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58" w:name="_Toc449510833"/>
      <w:bookmarkStart w:id="59" w:name="_Toc103141610"/>
      <w:bookmarkStart w:id="60" w:name="_Toc152474086"/>
      <w:r>
        <w:rPr>
          <w:rStyle w:val="CharSectno"/>
        </w:rPr>
        <w:t>16</w:t>
      </w:r>
      <w:r>
        <w:rPr>
          <w:snapToGrid w:val="0"/>
        </w:rPr>
        <w:t>.</w:t>
      </w:r>
      <w:r>
        <w:rPr>
          <w:snapToGrid w:val="0"/>
        </w:rPr>
        <w:tab/>
        <w:t>Cancellation and suspension of registration</w:t>
      </w:r>
      <w:bookmarkEnd w:id="58"/>
      <w:bookmarkEnd w:id="59"/>
      <w:bookmarkEnd w:id="60"/>
      <w:r>
        <w:rPr>
          <w:snapToGrid w:val="0"/>
        </w:rPr>
        <w:t xml:space="preserve"> </w:t>
      </w:r>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 xml:space="preserve">In a proceeding commenced by an allegation under subsection (1) the State Administrative Tribunal may cancel or suspend the registration of any painter under this Act where —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 xml:space="preserve">[Section 16 inserted by No. 33 of 1983 s.11; amended by No. 55 of 2004 s. 877.] </w:t>
      </w:r>
    </w:p>
    <w:p>
      <w:pPr>
        <w:pStyle w:val="Ednotesection"/>
      </w:pPr>
      <w:r>
        <w:t>[</w:t>
      </w:r>
      <w:r>
        <w:rPr>
          <w:b/>
          <w:bCs/>
        </w:rPr>
        <w:t>16A.</w:t>
      </w:r>
      <w:r>
        <w:rPr>
          <w:b/>
          <w:bCs/>
        </w:rPr>
        <w:tab/>
      </w:r>
      <w:r>
        <w:rPr>
          <w:b/>
          <w:bCs/>
        </w:rPr>
        <w:tab/>
      </w:r>
      <w:r>
        <w:t>Repealed by No. 55 of 2004 s. 878.]</w:t>
      </w:r>
    </w:p>
    <w:p>
      <w:pPr>
        <w:pStyle w:val="Heading5"/>
        <w:rPr>
          <w:snapToGrid w:val="0"/>
        </w:rPr>
      </w:pPr>
      <w:bookmarkStart w:id="61" w:name="_Toc103141611"/>
      <w:bookmarkStart w:id="62" w:name="_Toc152474087"/>
      <w:bookmarkStart w:id="63" w:name="_Toc449510836"/>
      <w:r>
        <w:rPr>
          <w:rStyle w:val="CharSectno"/>
        </w:rPr>
        <w:t>16B</w:t>
      </w:r>
      <w:r>
        <w:t>.</w:t>
      </w:r>
      <w:r>
        <w:tab/>
      </w:r>
      <w:r>
        <w:rPr>
          <w:snapToGrid w:val="0"/>
        </w:rPr>
        <w:t>Re</w:t>
      </w:r>
      <w:r>
        <w:rPr>
          <w:snapToGrid w:val="0"/>
        </w:rPr>
        <w:noBreakHyphen/>
        <w:t>registration of painter</w:t>
      </w:r>
      <w:bookmarkEnd w:id="61"/>
      <w:bookmarkEnd w:id="62"/>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64" w:name="_Toc103141612"/>
      <w:bookmarkStart w:id="65" w:name="_Toc152474088"/>
      <w:r>
        <w:rPr>
          <w:rStyle w:val="CharSectno"/>
        </w:rPr>
        <w:t>16C</w:t>
      </w:r>
      <w:r>
        <w:rPr>
          <w:snapToGrid w:val="0"/>
        </w:rPr>
        <w:t>.</w:t>
      </w:r>
      <w:r>
        <w:rPr>
          <w:snapToGrid w:val="0"/>
        </w:rPr>
        <w:tab/>
        <w:t>Inspection</w:t>
      </w:r>
      <w:bookmarkEnd w:id="63"/>
      <w:bookmarkEnd w:id="64"/>
      <w:bookmarkEnd w:id="65"/>
      <w:r>
        <w:rPr>
          <w:snapToGrid w:val="0"/>
        </w:rPr>
        <w:t xml:space="preserve"> </w:t>
      </w:r>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 xml:space="preserve">[Section 16C inserted by No. 68 of 1974 s.8; amended by No. 33 of 1983 s.12.] </w:t>
      </w:r>
    </w:p>
    <w:p>
      <w:pPr>
        <w:pStyle w:val="Heading5"/>
        <w:rPr>
          <w:snapToGrid w:val="0"/>
        </w:rPr>
      </w:pPr>
      <w:bookmarkStart w:id="66" w:name="_Toc449510837"/>
      <w:bookmarkStart w:id="67" w:name="_Toc103141613"/>
      <w:bookmarkStart w:id="68" w:name="_Toc152474089"/>
      <w:r>
        <w:rPr>
          <w:rStyle w:val="CharSectno"/>
        </w:rPr>
        <w:t>16D</w:t>
      </w:r>
      <w:r>
        <w:rPr>
          <w:snapToGrid w:val="0"/>
        </w:rPr>
        <w:t>.</w:t>
      </w:r>
      <w:r>
        <w:rPr>
          <w:snapToGrid w:val="0"/>
        </w:rPr>
        <w:tab/>
        <w:t>Order to remedy unsatisfactory painting work</w:t>
      </w:r>
      <w:bookmarkEnd w:id="66"/>
      <w:bookmarkEnd w:id="67"/>
      <w:bookmarkEnd w:id="68"/>
      <w:r>
        <w:rPr>
          <w:snapToGrid w:val="0"/>
        </w:rPr>
        <w:t xml:space="preserve"> </w:t>
      </w:r>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 xml:space="preserve">[Section 16D inserted by No. 33 of 1983 s.13.] </w:t>
      </w:r>
    </w:p>
    <w:p>
      <w:pPr>
        <w:pStyle w:val="Heading5"/>
        <w:rPr>
          <w:snapToGrid w:val="0"/>
        </w:rPr>
      </w:pPr>
      <w:bookmarkStart w:id="69" w:name="_Toc449510838"/>
      <w:bookmarkStart w:id="70" w:name="_Toc103141614"/>
      <w:bookmarkStart w:id="71" w:name="_Toc152474090"/>
      <w:r>
        <w:rPr>
          <w:rStyle w:val="CharSectno"/>
        </w:rPr>
        <w:t>16E</w:t>
      </w:r>
      <w:r>
        <w:rPr>
          <w:snapToGrid w:val="0"/>
        </w:rPr>
        <w:t>.</w:t>
      </w:r>
      <w:r>
        <w:rPr>
          <w:snapToGrid w:val="0"/>
        </w:rPr>
        <w:tab/>
        <w:t>Order may be revoked and substituted</w:t>
      </w:r>
      <w:bookmarkEnd w:id="69"/>
      <w:bookmarkEnd w:id="70"/>
      <w:bookmarkEnd w:id="71"/>
      <w:r>
        <w:rPr>
          <w:snapToGrid w:val="0"/>
        </w:rPr>
        <w:t xml:space="preserve"> </w:t>
      </w:r>
    </w:p>
    <w:p>
      <w:pPr>
        <w:pStyle w:val="Subsection"/>
        <w:rPr>
          <w:snapToGrid w:val="0"/>
        </w:rPr>
      </w:pPr>
      <w:r>
        <w:rPr>
          <w:snapToGrid w:val="0"/>
        </w:rPr>
        <w:tab/>
        <w:t>(1)</w:t>
      </w:r>
      <w:r>
        <w:rPr>
          <w:snapToGrid w:val="0"/>
        </w:rPr>
        <w:tab/>
        <w:t>If the Board is satisfied that an order to remedy painting —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spacing w:before="12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 xml:space="preserve">[Section 16E inserted by No. 33 of 1983 s.13; amended by No. 55 of 2004 s. 880.] </w:t>
      </w:r>
    </w:p>
    <w:p>
      <w:pPr>
        <w:pStyle w:val="Heading5"/>
        <w:rPr>
          <w:snapToGrid w:val="0"/>
        </w:rPr>
      </w:pPr>
      <w:bookmarkStart w:id="72" w:name="_Toc449510839"/>
      <w:bookmarkStart w:id="73" w:name="_Toc103141615"/>
      <w:bookmarkStart w:id="74" w:name="_Toc152474091"/>
      <w:r>
        <w:rPr>
          <w:rStyle w:val="CharSectno"/>
        </w:rPr>
        <w:t>16F</w:t>
      </w:r>
      <w:r>
        <w:rPr>
          <w:snapToGrid w:val="0"/>
        </w:rPr>
        <w:t>.</w:t>
      </w:r>
      <w:r>
        <w:rPr>
          <w:snapToGrid w:val="0"/>
        </w:rPr>
        <w:tab/>
        <w:t>Person to be afforded opportunity to be heard</w:t>
      </w:r>
      <w:bookmarkEnd w:id="72"/>
      <w:bookmarkEnd w:id="73"/>
      <w:bookmarkEnd w:id="74"/>
      <w:r>
        <w:rPr>
          <w:snapToGrid w:val="0"/>
        </w:rPr>
        <w:t xml:space="preserve"> </w:t>
      </w:r>
    </w:p>
    <w:p>
      <w:pPr>
        <w:pStyle w:val="Subsection"/>
        <w:spacing w:before="120"/>
        <w:rPr>
          <w:snapToGrid w:val="0"/>
        </w:rPr>
      </w:pPr>
      <w:r>
        <w:rPr>
          <w:snapToGrid w:val="0"/>
        </w:rPr>
        <w:tab/>
      </w:r>
      <w:r>
        <w:rPr>
          <w:snapToGrid w:val="0"/>
        </w:rPr>
        <w:tab/>
        <w:t>Before it makes an order under section 16D or 16E the Board shall —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 xml:space="preserve">[Section 16F inserted by No. 33 of 1983 s.13.] </w:t>
      </w:r>
    </w:p>
    <w:p>
      <w:pPr>
        <w:pStyle w:val="Heading5"/>
        <w:spacing w:before="180"/>
        <w:rPr>
          <w:snapToGrid w:val="0"/>
        </w:rPr>
      </w:pPr>
      <w:bookmarkStart w:id="75" w:name="_Toc449510840"/>
      <w:bookmarkStart w:id="76" w:name="_Toc103141616"/>
      <w:bookmarkStart w:id="77" w:name="_Toc152474092"/>
      <w:r>
        <w:rPr>
          <w:rStyle w:val="CharSectno"/>
        </w:rPr>
        <w:t>16G</w:t>
      </w:r>
      <w:r>
        <w:rPr>
          <w:snapToGrid w:val="0"/>
        </w:rPr>
        <w:t>.</w:t>
      </w:r>
      <w:r>
        <w:rPr>
          <w:snapToGrid w:val="0"/>
        </w:rPr>
        <w:tab/>
        <w:t>Offence to fail to comply with order</w:t>
      </w:r>
      <w:bookmarkEnd w:id="75"/>
      <w:bookmarkEnd w:id="76"/>
      <w:bookmarkEnd w:id="77"/>
      <w:r>
        <w:rPr>
          <w:snapToGrid w:val="0"/>
        </w:rPr>
        <w:t xml:space="preserve"> </w:t>
      </w:r>
    </w:p>
    <w:p>
      <w:pPr>
        <w:pStyle w:val="Subsection"/>
        <w:spacing w:before="120"/>
        <w:rPr>
          <w:snapToGrid w:val="0"/>
        </w:rPr>
      </w:pPr>
      <w:r>
        <w:rPr>
          <w:snapToGrid w:val="0"/>
        </w:rPr>
        <w:tab/>
      </w:r>
      <w:r>
        <w:rPr>
          <w:snapToGrid w:val="0"/>
        </w:rPr>
        <w:tab/>
        <w:t>Any person who fails to comply with —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16G inserted by No. 33 of 1983 s.13; amended by No. 55 of 2004 s. 881.] </w:t>
      </w:r>
    </w:p>
    <w:p>
      <w:pPr>
        <w:pStyle w:val="Heading5"/>
        <w:rPr>
          <w:snapToGrid w:val="0"/>
        </w:rPr>
      </w:pPr>
      <w:bookmarkStart w:id="78" w:name="_Toc449510841"/>
      <w:bookmarkStart w:id="79" w:name="_Toc103141617"/>
      <w:bookmarkStart w:id="80" w:name="_Toc152474093"/>
      <w:r>
        <w:rPr>
          <w:rStyle w:val="CharSectno"/>
        </w:rPr>
        <w:t>16H</w:t>
      </w:r>
      <w:r>
        <w:rPr>
          <w:snapToGrid w:val="0"/>
        </w:rPr>
        <w:t>.</w:t>
      </w:r>
      <w:r>
        <w:rPr>
          <w:snapToGrid w:val="0"/>
        </w:rPr>
        <w:tab/>
        <w:t>Saving of other remedies</w:t>
      </w:r>
      <w:bookmarkEnd w:id="78"/>
      <w:bookmarkEnd w:id="79"/>
      <w:bookmarkEnd w:id="80"/>
      <w:r>
        <w:rPr>
          <w:snapToGrid w:val="0"/>
        </w:rPr>
        <w:t xml:space="preserve"> </w:t>
      </w:r>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 xml:space="preserve">[Section 16H inserted by No. 33 of 1983 s.13; amended by No. 55 of 2004 s. 882.] </w:t>
      </w:r>
    </w:p>
    <w:p>
      <w:pPr>
        <w:pStyle w:val="Heading5"/>
        <w:rPr>
          <w:snapToGrid w:val="0"/>
        </w:rPr>
      </w:pPr>
      <w:bookmarkStart w:id="81" w:name="_Toc449510842"/>
      <w:bookmarkStart w:id="82" w:name="_Toc103141618"/>
      <w:bookmarkStart w:id="83" w:name="_Toc152474094"/>
      <w:r>
        <w:rPr>
          <w:rStyle w:val="CharSectno"/>
        </w:rPr>
        <w:t>16I</w:t>
      </w:r>
      <w:r>
        <w:rPr>
          <w:snapToGrid w:val="0"/>
        </w:rPr>
        <w:t>.</w:t>
      </w:r>
      <w:r>
        <w:rPr>
          <w:snapToGrid w:val="0"/>
        </w:rPr>
        <w:tab/>
        <w:t>Board may recover costs of investigation of frivolous or vexatious complaints</w:t>
      </w:r>
      <w:bookmarkEnd w:id="81"/>
      <w:bookmarkEnd w:id="82"/>
      <w:bookmarkEnd w:id="8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spacing w:val="-4"/>
        </w:rPr>
      </w:pPr>
      <w:r>
        <w:rPr>
          <w:snapToGrid w:val="0"/>
          <w:spacing w:val="-4"/>
        </w:rPr>
        <w:tab/>
      </w:r>
      <w:r>
        <w:rPr>
          <w:snapToGrid w:val="0"/>
          <w:spacing w:val="-4"/>
        </w:rPr>
        <w:tab/>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 xml:space="preserve">[Section 16I inserted by No. 33 of 1983 s.13; amended by No. 55 of 2004 s. 883.] </w:t>
      </w:r>
    </w:p>
    <w:p>
      <w:pPr>
        <w:pStyle w:val="Heading5"/>
        <w:spacing w:before="180"/>
        <w:rPr>
          <w:snapToGrid w:val="0"/>
        </w:rPr>
      </w:pPr>
      <w:bookmarkStart w:id="84" w:name="_Toc449510843"/>
      <w:bookmarkStart w:id="85" w:name="_Toc103141619"/>
      <w:bookmarkStart w:id="86" w:name="_Toc152474095"/>
      <w:r>
        <w:rPr>
          <w:rStyle w:val="CharSectno"/>
        </w:rPr>
        <w:t>16J</w:t>
      </w:r>
      <w:r>
        <w:rPr>
          <w:snapToGrid w:val="0"/>
        </w:rPr>
        <w:t>.</w:t>
      </w:r>
      <w:r>
        <w:rPr>
          <w:snapToGrid w:val="0"/>
        </w:rPr>
        <w:tab/>
        <w:t>Painter may request Board to investigate work</w:t>
      </w:r>
      <w:bookmarkEnd w:id="84"/>
      <w:bookmarkEnd w:id="85"/>
      <w:bookmarkEnd w:id="86"/>
      <w:r>
        <w:rPr>
          <w:snapToGrid w:val="0"/>
        </w:rPr>
        <w:t xml:space="preserve"> </w:t>
      </w:r>
    </w:p>
    <w:p>
      <w:pPr>
        <w:pStyle w:val="Subsection"/>
        <w:spacing w:before="120"/>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 xml:space="preserve">[Section 16J inserted by No. 33 of 1983 s.13.] </w:t>
      </w:r>
    </w:p>
    <w:p>
      <w:pPr>
        <w:pStyle w:val="Ednotesection"/>
        <w:spacing w:before="180"/>
        <w:ind w:left="890" w:hanging="890"/>
      </w:pPr>
      <w:r>
        <w:t>[</w:t>
      </w:r>
      <w:r>
        <w:rPr>
          <w:b/>
        </w:rPr>
        <w:t>17.</w:t>
      </w:r>
      <w:r>
        <w:t xml:space="preserve"> </w:t>
      </w:r>
      <w:r>
        <w:tab/>
      </w:r>
      <w:r>
        <w:tab/>
        <w:t xml:space="preserve">Repealed by No. 33 of 1983 s.14.] </w:t>
      </w:r>
    </w:p>
    <w:p>
      <w:pPr>
        <w:pStyle w:val="Heading5"/>
      </w:pPr>
      <w:bookmarkStart w:id="87" w:name="_Toc103141620"/>
      <w:bookmarkStart w:id="88" w:name="_Toc152474096"/>
      <w:bookmarkStart w:id="89" w:name="_Toc449510845"/>
      <w:r>
        <w:rPr>
          <w:rStyle w:val="CharSectno"/>
        </w:rPr>
        <w:t>18</w:t>
      </w:r>
      <w:r>
        <w:t>.</w:t>
      </w:r>
      <w:r>
        <w:tab/>
        <w:t>Application for review</w:t>
      </w:r>
      <w:bookmarkEnd w:id="87"/>
      <w:bookmarkEnd w:id="88"/>
      <w:r>
        <w:t xml:space="preserve"> </w:t>
      </w:r>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 </w:t>
      </w:r>
    </w:p>
    <w:p>
      <w:pPr>
        <w:pStyle w:val="Defstart"/>
      </w:pPr>
      <w:r>
        <w:rPr>
          <w:b/>
        </w:rPr>
        <w:tab/>
        <w:t>“</w:t>
      </w:r>
      <w:r>
        <w:rPr>
          <w:rStyle w:val="CharDefText"/>
        </w:rPr>
        <w:t>person aggrieved</w:t>
      </w:r>
      <w:r>
        <w:rPr>
          <w:b/>
        </w:rPr>
        <w:t>”</w:t>
      </w:r>
      <w:r>
        <w:t xml:space="preserve"> means a person —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t>“</w:t>
      </w:r>
      <w:r>
        <w:rPr>
          <w:rStyle w:val="CharDefText"/>
        </w:rPr>
        <w:t>reviewable decision</w:t>
      </w:r>
      <w:r>
        <w:rPr>
          <w:b/>
        </w:rPr>
        <w:t>”</w:t>
      </w:r>
      <w:r>
        <w:t xml:space="preserve"> means —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90" w:name="_Toc103141621"/>
      <w:bookmarkStart w:id="91" w:name="_Toc152474097"/>
      <w:r>
        <w:rPr>
          <w:rStyle w:val="CharSectno"/>
        </w:rPr>
        <w:t>18A</w:t>
      </w:r>
      <w:r>
        <w:t>.</w:t>
      </w:r>
      <w:r>
        <w:tab/>
        <w:t>Surrender of registration or certificate</w:t>
      </w:r>
      <w:bookmarkEnd w:id="90"/>
      <w:bookmarkEnd w:id="91"/>
    </w:p>
    <w:p>
      <w:pPr>
        <w:pStyle w:val="Subsection"/>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92" w:name="_Toc103141622"/>
      <w:bookmarkStart w:id="93" w:name="_Toc152474098"/>
      <w:r>
        <w:rPr>
          <w:rStyle w:val="CharSectno"/>
        </w:rPr>
        <w:t>18B</w:t>
      </w:r>
      <w:r>
        <w:t>.</w:t>
      </w:r>
      <w:r>
        <w:tab/>
        <w:t>Suspension of registration by State Administrative Tribunal</w:t>
      </w:r>
      <w:bookmarkEnd w:id="92"/>
      <w:bookmarkEnd w:id="93"/>
    </w:p>
    <w:p>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spacing w:before="180"/>
        <w:rPr>
          <w:snapToGrid w:val="0"/>
        </w:rPr>
      </w:pPr>
      <w:bookmarkStart w:id="94" w:name="_Toc103141623"/>
      <w:bookmarkStart w:id="95" w:name="_Toc152474099"/>
      <w:r>
        <w:rPr>
          <w:rStyle w:val="CharSectno"/>
        </w:rPr>
        <w:t>19</w:t>
      </w:r>
      <w:r>
        <w:rPr>
          <w:snapToGrid w:val="0"/>
        </w:rPr>
        <w:t>.</w:t>
      </w:r>
      <w:r>
        <w:rPr>
          <w:snapToGrid w:val="0"/>
        </w:rPr>
        <w:tab/>
        <w:t>Signature of Chairman and Registrar</w:t>
      </w:r>
      <w:bookmarkEnd w:id="89"/>
      <w:bookmarkEnd w:id="94"/>
      <w:bookmarkEnd w:id="95"/>
      <w:r>
        <w:rPr>
          <w:snapToGrid w:val="0"/>
        </w:rPr>
        <w:t xml:space="preserve"> </w:t>
      </w:r>
    </w:p>
    <w:p>
      <w:pPr>
        <w:pStyle w:val="Subsection"/>
        <w:spacing w:before="120"/>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spacing w:before="180"/>
        <w:rPr>
          <w:snapToGrid w:val="0"/>
        </w:rPr>
      </w:pPr>
      <w:bookmarkStart w:id="96" w:name="_Toc449510846"/>
      <w:bookmarkStart w:id="97" w:name="_Toc103141624"/>
      <w:bookmarkStart w:id="98" w:name="_Toc152474100"/>
      <w:r>
        <w:rPr>
          <w:rStyle w:val="CharSectno"/>
        </w:rPr>
        <w:t>20</w:t>
      </w:r>
      <w:r>
        <w:rPr>
          <w:snapToGrid w:val="0"/>
        </w:rPr>
        <w:t>.</w:t>
      </w:r>
      <w:r>
        <w:rPr>
          <w:snapToGrid w:val="0"/>
        </w:rPr>
        <w:tab/>
        <w:t>Proceedings under this Act</w:t>
      </w:r>
      <w:bookmarkEnd w:id="96"/>
      <w:bookmarkEnd w:id="97"/>
      <w:bookmarkEnd w:id="98"/>
      <w:r>
        <w:rPr>
          <w:snapToGrid w:val="0"/>
        </w:rPr>
        <w:t> </w:t>
      </w:r>
    </w:p>
    <w:p>
      <w:pPr>
        <w:pStyle w:val="Subsection"/>
        <w:spacing w:before="120"/>
        <w:rPr>
          <w:snapToGrid w:val="0"/>
        </w:rPr>
      </w:pPr>
      <w:r>
        <w:rPr>
          <w:snapToGrid w:val="0"/>
        </w:rPr>
        <w:tab/>
        <w:t>(1)</w:t>
      </w:r>
      <w:r>
        <w:rPr>
          <w:snapToGrid w:val="0"/>
        </w:rPr>
        <w:tab/>
        <w:t>Proceedings under this Act may be taken by the Registrar or by any other person authorized by the Board either generally or in any particular case.</w:t>
      </w:r>
    </w:p>
    <w:p>
      <w:pPr>
        <w:pStyle w:val="Subsection"/>
        <w:spacing w:before="120"/>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 xml:space="preserve">[Section 20 amended by No. 33 of 1983 s.16; No. 84 of 2004 s. 80.] </w:t>
      </w:r>
    </w:p>
    <w:p>
      <w:pPr>
        <w:pStyle w:val="Heading5"/>
        <w:spacing w:before="180"/>
        <w:rPr>
          <w:snapToGrid w:val="0"/>
        </w:rPr>
      </w:pPr>
      <w:bookmarkStart w:id="99" w:name="_Toc449510847"/>
      <w:bookmarkStart w:id="100" w:name="_Toc103141625"/>
      <w:bookmarkStart w:id="101" w:name="_Toc152474101"/>
      <w:r>
        <w:rPr>
          <w:rStyle w:val="CharSectno"/>
        </w:rPr>
        <w:t>21</w:t>
      </w:r>
      <w:r>
        <w:rPr>
          <w:snapToGrid w:val="0"/>
        </w:rPr>
        <w:t>.</w:t>
      </w:r>
      <w:r>
        <w:rPr>
          <w:snapToGrid w:val="0"/>
        </w:rPr>
        <w:tab/>
        <w:t>Fees payable on registration and annual fee</w:t>
      </w:r>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There shall be paid by or in respect of every registered painter such annual registration fee as is prescribed.</w:t>
      </w:r>
    </w:p>
    <w:p>
      <w:pPr>
        <w:pStyle w:val="Subsection"/>
        <w:spacing w:before="120"/>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spacing w:before="120"/>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 xml:space="preserve">[Section 21 amended by No. 68 of 1974 s.9.] </w:t>
      </w:r>
    </w:p>
    <w:p>
      <w:pPr>
        <w:pStyle w:val="Heading5"/>
        <w:rPr>
          <w:snapToGrid w:val="0"/>
        </w:rPr>
      </w:pPr>
      <w:bookmarkStart w:id="102" w:name="_Toc449510848"/>
      <w:bookmarkStart w:id="103" w:name="_Toc103141626"/>
      <w:bookmarkStart w:id="104" w:name="_Toc152474102"/>
      <w:r>
        <w:rPr>
          <w:rStyle w:val="CharSectno"/>
        </w:rPr>
        <w:t>22</w:t>
      </w:r>
      <w:r>
        <w:rPr>
          <w:snapToGrid w:val="0"/>
        </w:rPr>
        <w:t>.</w:t>
      </w:r>
      <w:r>
        <w:rPr>
          <w:snapToGrid w:val="0"/>
        </w:rPr>
        <w:tab/>
        <w:t>Funds of Board</w:t>
      </w:r>
      <w:bookmarkEnd w:id="102"/>
      <w:bookmarkEnd w:id="103"/>
      <w:bookmarkEnd w:id="104"/>
      <w:r>
        <w:rPr>
          <w:snapToGrid w:val="0"/>
        </w:rPr>
        <w:t xml:space="preserve"> </w:t>
      </w:r>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t>“</w:t>
      </w:r>
      <w:r>
        <w:rPr>
          <w:rStyle w:val="CharDefText"/>
        </w:rPr>
        <w:t>penalties</w:t>
      </w:r>
      <w:r>
        <w:rPr>
          <w:b/>
        </w:rPr>
        <w:t>”</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105" w:name="_Toc449510849"/>
      <w:bookmarkStart w:id="106" w:name="_Toc103141627"/>
      <w:bookmarkStart w:id="107" w:name="_Toc152474103"/>
      <w:r>
        <w:rPr>
          <w:rStyle w:val="CharSectno"/>
        </w:rPr>
        <w:t>23</w:t>
      </w:r>
      <w:r>
        <w:rPr>
          <w:snapToGrid w:val="0"/>
        </w:rPr>
        <w:t>.</w:t>
      </w:r>
      <w:r>
        <w:rPr>
          <w:snapToGrid w:val="0"/>
        </w:rPr>
        <w:tab/>
        <w:t>Accounts</w:t>
      </w:r>
      <w:bookmarkEnd w:id="105"/>
      <w:bookmarkEnd w:id="106"/>
      <w:bookmarkEnd w:id="107"/>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s.3.] </w:t>
      </w:r>
    </w:p>
    <w:p>
      <w:pPr>
        <w:pStyle w:val="Heading5"/>
        <w:rPr>
          <w:snapToGrid w:val="0"/>
        </w:rPr>
      </w:pPr>
      <w:bookmarkStart w:id="108" w:name="_Toc449510850"/>
      <w:bookmarkStart w:id="109" w:name="_Toc103141628"/>
      <w:bookmarkStart w:id="110" w:name="_Toc152474104"/>
      <w:r>
        <w:rPr>
          <w:rStyle w:val="CharSectno"/>
        </w:rPr>
        <w:t>23A</w:t>
      </w:r>
      <w:r>
        <w:rPr>
          <w:snapToGrid w:val="0"/>
        </w:rPr>
        <w:t>.</w:t>
      </w:r>
      <w:r>
        <w:rPr>
          <w:snapToGrid w:val="0"/>
        </w:rPr>
        <w:tab/>
        <w:t>Audit</w:t>
      </w:r>
      <w:bookmarkEnd w:id="108"/>
      <w:bookmarkEnd w:id="109"/>
      <w:bookmarkEnd w:id="110"/>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23A inserted by No. 77 of 1987 s.3.] </w:t>
      </w:r>
    </w:p>
    <w:p>
      <w:pPr>
        <w:pStyle w:val="Heading5"/>
        <w:rPr>
          <w:snapToGrid w:val="0"/>
        </w:rPr>
      </w:pPr>
      <w:bookmarkStart w:id="111" w:name="_Toc449510851"/>
      <w:bookmarkStart w:id="112" w:name="_Toc103141629"/>
      <w:bookmarkStart w:id="113" w:name="_Toc152474105"/>
      <w:r>
        <w:rPr>
          <w:rStyle w:val="CharSectno"/>
        </w:rPr>
        <w:t>23B</w:t>
      </w:r>
      <w:r>
        <w:rPr>
          <w:snapToGrid w:val="0"/>
        </w:rPr>
        <w:t>.</w:t>
      </w:r>
      <w:r>
        <w:rPr>
          <w:snapToGrid w:val="0"/>
        </w:rPr>
        <w:tab/>
        <w:t>Annual report</w:t>
      </w:r>
      <w:bookmarkEnd w:id="111"/>
      <w:bookmarkEnd w:id="112"/>
      <w:bookmarkEnd w:id="113"/>
      <w:r>
        <w:rPr>
          <w:snapToGrid w:val="0"/>
        </w:rPr>
        <w:t xml:space="preserve"> </w:t>
      </w:r>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s.3; amended by No. 55 of 2004 s. 886.] </w:t>
      </w:r>
    </w:p>
    <w:p>
      <w:pPr>
        <w:pStyle w:val="Heading5"/>
        <w:rPr>
          <w:snapToGrid w:val="0"/>
        </w:rPr>
      </w:pPr>
      <w:bookmarkStart w:id="114" w:name="_Toc449510852"/>
      <w:bookmarkStart w:id="115" w:name="_Toc103141630"/>
      <w:bookmarkStart w:id="116" w:name="_Toc152474106"/>
      <w:r>
        <w:rPr>
          <w:rStyle w:val="CharSectno"/>
        </w:rPr>
        <w:t>24</w:t>
      </w:r>
      <w:r>
        <w:rPr>
          <w:snapToGrid w:val="0"/>
        </w:rPr>
        <w:t>.</w:t>
      </w:r>
      <w:r>
        <w:rPr>
          <w:snapToGrid w:val="0"/>
        </w:rPr>
        <w:tab/>
        <w:t>Power to make rules</w:t>
      </w:r>
      <w:bookmarkEnd w:id="114"/>
      <w:bookmarkEnd w:id="115"/>
      <w:bookmarkEnd w:id="116"/>
      <w:r>
        <w:rPr>
          <w:snapToGrid w:val="0"/>
        </w:rPr>
        <w:t xml:space="preserve"> </w:t>
      </w:r>
    </w:p>
    <w:p>
      <w:pPr>
        <w:pStyle w:val="Subsection"/>
        <w:rPr>
          <w:snapToGrid w:val="0"/>
        </w:rPr>
      </w:pPr>
      <w:r>
        <w:rPr>
          <w:snapToGrid w:val="0"/>
        </w:rPr>
        <w:tab/>
      </w:r>
      <w:r>
        <w:rPr>
          <w:snapToGrid w:val="0"/>
        </w:rPr>
        <w:tab/>
        <w:t>The Board with the approval of the Governor may make rules for or in respect to —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authorized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 xml:space="preserve">[Section 24 amended by No. 33 of 1983 s.17.] </w:t>
      </w:r>
    </w:p>
    <w:p>
      <w:pPr>
        <w:pStyle w:val="Heading5"/>
        <w:rPr>
          <w:snapToGrid w:val="0"/>
        </w:rPr>
      </w:pPr>
      <w:bookmarkStart w:id="117" w:name="_Toc449510853"/>
      <w:bookmarkStart w:id="118" w:name="_Toc103141631"/>
      <w:bookmarkStart w:id="119" w:name="_Toc152474107"/>
      <w:r>
        <w:rPr>
          <w:rStyle w:val="CharSectno"/>
        </w:rPr>
        <w:t>25</w:t>
      </w:r>
      <w:r>
        <w:rPr>
          <w:snapToGrid w:val="0"/>
        </w:rPr>
        <w:t>.</w:t>
      </w:r>
      <w:r>
        <w:rPr>
          <w:snapToGrid w:val="0"/>
        </w:rPr>
        <w:tab/>
        <w:t>Registrations not to be transferred or assigned</w:t>
      </w:r>
      <w:bookmarkEnd w:id="117"/>
      <w:bookmarkEnd w:id="118"/>
      <w:bookmarkEnd w:id="119"/>
    </w:p>
    <w:p>
      <w:pPr>
        <w:pStyle w:val="Subsection"/>
        <w:rPr>
          <w:snapToGrid w:val="0"/>
        </w:rPr>
      </w:pPr>
      <w:r>
        <w:rPr>
          <w:snapToGrid w:val="0"/>
        </w:rPr>
        <w:tab/>
      </w:r>
      <w:r>
        <w:rPr>
          <w:snapToGrid w:val="0"/>
        </w:rPr>
        <w:tab/>
        <w:t>Every registration granted under this Act shall be personal to the painter to whom it is granted and the benefit thereof shall not be transferred or assigned whether for consideration or gratuitously.</w:t>
      </w:r>
    </w:p>
    <w:p>
      <w:pPr>
        <w:pStyle w:val="Heading5"/>
        <w:rPr>
          <w:snapToGrid w:val="0"/>
        </w:rPr>
      </w:pPr>
      <w:bookmarkStart w:id="120" w:name="_Toc449510854"/>
      <w:bookmarkStart w:id="121" w:name="_Toc103141632"/>
      <w:bookmarkStart w:id="122" w:name="_Toc152474108"/>
      <w:r>
        <w:rPr>
          <w:rStyle w:val="CharSectno"/>
        </w:rPr>
        <w:t>26</w:t>
      </w:r>
      <w:r>
        <w:rPr>
          <w:snapToGrid w:val="0"/>
        </w:rPr>
        <w:t>.</w:t>
      </w:r>
      <w:r>
        <w:rPr>
          <w:snapToGrid w:val="0"/>
        </w:rPr>
        <w:tab/>
        <w:t>Offences</w:t>
      </w:r>
      <w:bookmarkEnd w:id="120"/>
      <w:bookmarkEnd w:id="121"/>
      <w:bookmarkEnd w:id="122"/>
      <w:r>
        <w:rPr>
          <w:snapToGrid w:val="0"/>
        </w:rPr>
        <w:t xml:space="preserve"> </w:t>
      </w:r>
    </w:p>
    <w:p>
      <w:pPr>
        <w:pStyle w:val="Subsection"/>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 xml:space="preserve">[Section 26 amended by No. 113 of 1965 s.8(1); No. 33 of 1983 s.18.] </w:t>
      </w:r>
    </w:p>
    <w:p>
      <w:pPr>
        <w:pStyle w:val="Heading5"/>
        <w:rPr>
          <w:snapToGrid w:val="0"/>
        </w:rPr>
      </w:pPr>
      <w:bookmarkStart w:id="123" w:name="_Toc449510855"/>
      <w:bookmarkStart w:id="124" w:name="_Toc103141633"/>
      <w:bookmarkStart w:id="125" w:name="_Toc152474109"/>
      <w:r>
        <w:rPr>
          <w:rStyle w:val="CharSectno"/>
        </w:rPr>
        <w:t>26A</w:t>
      </w:r>
      <w:r>
        <w:rPr>
          <w:snapToGrid w:val="0"/>
        </w:rPr>
        <w:t>.</w:t>
      </w:r>
      <w:r>
        <w:rPr>
          <w:snapToGrid w:val="0"/>
        </w:rPr>
        <w:tab/>
        <w:t>Offences by company or body corporate</w:t>
      </w:r>
      <w:bookmarkEnd w:id="123"/>
      <w:bookmarkEnd w:id="124"/>
      <w:bookmarkEnd w:id="125"/>
      <w:r>
        <w:rPr>
          <w:snapToGrid w:val="0"/>
        </w:rPr>
        <w:t xml:space="preserve"> </w:t>
      </w:r>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authorized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 xml:space="preserve">[Section 26A inserted by No. 68 of 1974 s.10; amended by No. 84 of 2004 s. 80.] </w:t>
      </w:r>
    </w:p>
    <w:p>
      <w:pPr>
        <w:pStyle w:val="Heading5"/>
        <w:rPr>
          <w:snapToGrid w:val="0"/>
        </w:rPr>
      </w:pPr>
      <w:bookmarkStart w:id="126" w:name="_Toc449510856"/>
      <w:bookmarkStart w:id="127" w:name="_Toc103141634"/>
      <w:bookmarkStart w:id="128" w:name="_Toc152474110"/>
      <w:r>
        <w:rPr>
          <w:rStyle w:val="CharSectno"/>
        </w:rPr>
        <w:t>26B</w:t>
      </w:r>
      <w:r>
        <w:rPr>
          <w:snapToGrid w:val="0"/>
        </w:rPr>
        <w:t>.</w:t>
      </w:r>
      <w:r>
        <w:rPr>
          <w:snapToGrid w:val="0"/>
        </w:rPr>
        <w:tab/>
        <w:t>Averment as to application of Act</w:t>
      </w:r>
      <w:bookmarkEnd w:id="126"/>
      <w:bookmarkEnd w:id="127"/>
      <w:bookmarkEnd w:id="128"/>
      <w:r>
        <w:rPr>
          <w:snapToGrid w:val="0"/>
        </w:rPr>
        <w:t> </w:t>
      </w:r>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 xml:space="preserve">[Section 26B inserted by No. 33 of 1983 s.19; amended by No. 84 of 2004 s. 80.] </w:t>
      </w:r>
    </w:p>
    <w:p>
      <w:pPr>
        <w:pStyle w:val="Heading5"/>
        <w:rPr>
          <w:snapToGrid w:val="0"/>
        </w:rPr>
      </w:pPr>
      <w:bookmarkStart w:id="129" w:name="_Toc449510857"/>
      <w:bookmarkStart w:id="130" w:name="_Toc103141635"/>
      <w:bookmarkStart w:id="131" w:name="_Toc152474111"/>
      <w:r>
        <w:rPr>
          <w:rStyle w:val="CharSectno"/>
        </w:rPr>
        <w:t>27</w:t>
      </w:r>
      <w:r>
        <w:rPr>
          <w:snapToGrid w:val="0"/>
        </w:rPr>
        <w:t>.</w:t>
      </w:r>
      <w:r>
        <w:rPr>
          <w:snapToGrid w:val="0"/>
        </w:rPr>
        <w:tab/>
        <w:t>Act not to affect Union coverage</w:t>
      </w:r>
      <w:bookmarkEnd w:id="129"/>
      <w:bookmarkEnd w:id="130"/>
      <w:bookmarkEnd w:id="131"/>
      <w:r>
        <w:rPr>
          <w:snapToGrid w:val="0"/>
        </w:rPr>
        <w:t xml:space="preserve"> </w:t>
      </w:r>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2" w:name="_Toc103141636"/>
      <w:bookmarkStart w:id="133" w:name="_Toc152394548"/>
      <w:bookmarkStart w:id="134" w:name="_Toc152474112"/>
      <w:r>
        <w:rPr>
          <w:rStyle w:val="CharSchNo"/>
        </w:rPr>
        <w:t>Schedule</w:t>
      </w:r>
      <w:bookmarkEnd w:id="132"/>
      <w:bookmarkEnd w:id="133"/>
      <w:bookmarkEnd w:id="134"/>
    </w:p>
    <w:p>
      <w:pPr>
        <w:pStyle w:val="yShoulderClause"/>
        <w:rPr>
          <w:snapToGrid w:val="0"/>
        </w:rPr>
      </w:pPr>
      <w:r>
        <w:rPr>
          <w:snapToGrid w:val="0"/>
        </w:rPr>
        <w:t>[Section 3]</w:t>
      </w:r>
    </w:p>
    <w:p>
      <w:pPr>
        <w:pStyle w:val="MiscellaneousHeading"/>
        <w:rPr>
          <w:b/>
          <w:sz w:val="28"/>
        </w:rPr>
      </w:pPr>
      <w:r>
        <w:rPr>
          <w:b/>
          <w:sz w:val="28"/>
        </w:rPr>
        <w:t>Areas within which this Act applies</w:t>
      </w:r>
      <w:r>
        <w:rPr>
          <w:rStyle w:val="CharSchText"/>
        </w:rPr>
        <w:t xml:space="preserve"> </w:t>
      </w:r>
    </w:p>
    <w:p>
      <w:pPr>
        <w:pStyle w:val="MiscellaneousHeading"/>
        <w:spacing w:before="240"/>
        <w:rPr>
          <w:b/>
          <w:snapToGrid w:val="0"/>
          <w:sz w:val="22"/>
        </w:rPr>
      </w:pPr>
      <w:r>
        <w:rPr>
          <w:b/>
          <w:snapToGrid w:val="0"/>
          <w:sz w:val="22"/>
        </w:rPr>
        <w:t>1.</w:t>
      </w:r>
      <w:r>
        <w:rPr>
          <w:b/>
          <w:snapToGrid w:val="0"/>
          <w:sz w:val="22"/>
        </w:rPr>
        <w:tab/>
      </w:r>
      <w:r>
        <w:rPr>
          <w:b/>
          <w:i/>
          <w:snapToGrid w:val="0"/>
          <w:sz w:val="22"/>
        </w:rPr>
        <w:t>The Metropolitan area</w:t>
      </w:r>
    </w:p>
    <w:p>
      <w:pPr>
        <w:pStyle w:val="MiscellaneousBody"/>
        <w:tabs>
          <w:tab w:val="left" w:pos="607"/>
          <w:tab w:val="left" w:pos="890"/>
        </w:tabs>
        <w:ind w:left="890"/>
        <w:rPr>
          <w:snapToGrid w:val="0"/>
          <w:sz w:val="22"/>
        </w:rPr>
      </w:pPr>
      <w:r>
        <w:rPr>
          <w:snapToGrid w:val="0"/>
          <w:sz w:val="22"/>
        </w:rPr>
        <w:t>That is to say, all that portion of the State which lies within the area bounded by a line starting from the south</w:t>
      </w:r>
      <w:r>
        <w:rPr>
          <w:snapToGrid w:val="0"/>
          <w:sz w:val="22"/>
        </w:rPr>
        <w:noBreakHyphen/>
        <w:t>western corner of Swan Location 2745(South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sz w:val="22"/>
        </w:rPr>
        <w:noBreakHyphen/>
        <w:t>western corner of the local government district of Swan; thence generally easterly, generally northerly, generally easterly, southerly, easterly and again southerly along the boundaries of that district to the easternmost south</w:t>
      </w:r>
      <w:r>
        <w:rPr>
          <w:snapToGrid w:val="0"/>
          <w:sz w:val="22"/>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sz w:val="22"/>
        </w:rPr>
        <w:noBreakHyphen/>
        <w:t>westerly along boundaries of the local government district of Mundaring to the intersection of the left bank of the Darkan River with the prolongation northerly of the western boundary of late Pre</w:t>
      </w:r>
      <w:r>
        <w:rPr>
          <w:snapToGrid w:val="0"/>
          <w:sz w:val="22"/>
        </w:rPr>
        <w:noBreakHyphen/>
        <w:t>emptive Poison Right 8/228, being the easternmost north</w:t>
      </w:r>
      <w:r>
        <w:rPr>
          <w:snapToGrid w:val="0"/>
          <w:sz w:val="22"/>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sz w:val="22"/>
        </w:rPr>
        <w:noBreakHyphen/>
        <w:t>eastern corner of the local government district of Armadale; thence generally southerly, generally south</w:t>
      </w:r>
      <w:r>
        <w:rPr>
          <w:snapToGrid w:val="0"/>
          <w:sz w:val="22"/>
        </w:rPr>
        <w:noBreakHyphen/>
        <w:t>easterly, westerly and southwesterly along the boundaries of the local government district of Armadale to the 33 Mile Post on the north</w:t>
      </w:r>
      <w:r>
        <w:rPr>
          <w:snapToGrid w:val="0"/>
          <w:sz w:val="22"/>
        </w:rPr>
        <w:noBreakHyphen/>
        <w:t>eastern side of Albany Highway, being a north</w:t>
      </w:r>
      <w:r>
        <w:rPr>
          <w:snapToGrid w:val="0"/>
          <w:sz w:val="22"/>
        </w:rPr>
        <w:noBreakHyphen/>
        <w:t>eastern corner of the local government district of Serpentine</w:t>
      </w:r>
      <w:r>
        <w:rPr>
          <w:snapToGrid w:val="0"/>
          <w:sz w:val="22"/>
        </w:rPr>
        <w:noBreakHyphen/>
        <w:t>Jarrahdale; thence generally south</w:t>
      </w:r>
      <w:r>
        <w:rPr>
          <w:snapToGrid w:val="0"/>
          <w:sz w:val="22"/>
        </w:rPr>
        <w:noBreakHyphen/>
        <w:t>easterly, southerly, generally westerly and northerly along boundaries of the local government district of Serpentine</w:t>
      </w:r>
      <w:r>
        <w:rPr>
          <w:snapToGrid w:val="0"/>
          <w:sz w:val="22"/>
        </w:rPr>
        <w:noBreakHyphen/>
        <w:t>Jarrahdale to the north</w:t>
      </w:r>
      <w:r>
        <w:rPr>
          <w:snapToGrid w:val="0"/>
          <w:sz w:val="22"/>
        </w:rPr>
        <w:noBreakHyphen/>
        <w:t xml:space="preserve">eastern corner of Lot 3 of Cockburn Sound Location 16, as shown on Department within the meaning of the </w:t>
      </w:r>
      <w:r>
        <w:rPr>
          <w:i/>
          <w:snapToGrid w:val="0"/>
          <w:sz w:val="22"/>
        </w:rPr>
        <w:t>Transfer of Land Act 1893</w:t>
      </w:r>
      <w:r>
        <w:rPr>
          <w:snapToGrid w:val="0"/>
          <w:sz w:val="22"/>
        </w:rPr>
        <w:t xml:space="preserve"> Diagram 2909, being a south</w:t>
      </w:r>
      <w:r>
        <w:rPr>
          <w:snapToGrid w:val="0"/>
          <w:sz w:val="22"/>
        </w:rPr>
        <w:noBreakHyphen/>
        <w:t>eastern corner of the local government district of Rockingham; thence generally westerly along the boundaries of the local government district of Rockingham to the south</w:t>
      </w:r>
      <w:r>
        <w:rPr>
          <w:snapToGrid w:val="0"/>
          <w:sz w:val="22"/>
        </w:rPr>
        <w:noBreakHyphen/>
        <w:t xml:space="preserve">western corner of Lot 236 as shown on Department within the meaning of the </w:t>
      </w:r>
      <w:r>
        <w:rPr>
          <w:i/>
          <w:snapToGrid w:val="0"/>
          <w:sz w:val="22"/>
        </w:rPr>
        <w:t>Transfer of Land Act 1893</w:t>
      </w:r>
      <w:r>
        <w:rPr>
          <w:snapToGrid w:val="0"/>
          <w:sz w:val="22"/>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MiscellaneousHeading"/>
        <w:rPr>
          <w:b/>
          <w:snapToGrid w:val="0"/>
          <w:sz w:val="22"/>
        </w:rPr>
      </w:pPr>
      <w:r>
        <w:rPr>
          <w:b/>
          <w:snapToGrid w:val="0"/>
          <w:sz w:val="22"/>
        </w:rPr>
        <w:t>2.</w:t>
      </w:r>
      <w:r>
        <w:rPr>
          <w:b/>
          <w:snapToGrid w:val="0"/>
          <w:sz w:val="22"/>
        </w:rPr>
        <w:tab/>
      </w:r>
      <w:r>
        <w:rPr>
          <w:b/>
          <w:i/>
          <w:snapToGrid w:val="0"/>
          <w:sz w:val="22"/>
        </w:rPr>
        <w:t>Mandurah</w:t>
      </w:r>
    </w:p>
    <w:p>
      <w:pPr>
        <w:pStyle w:val="MiscellaneousBody"/>
        <w:tabs>
          <w:tab w:val="left" w:pos="607"/>
          <w:tab w:val="left" w:pos="890"/>
        </w:tabs>
        <w:ind w:left="890" w:hanging="890"/>
        <w:rPr>
          <w:snapToGrid w:val="0"/>
          <w:sz w:val="22"/>
        </w:rPr>
      </w:pPr>
      <w:r>
        <w:rPr>
          <w:snapToGrid w:val="0"/>
        </w:rPr>
        <w:tab/>
      </w:r>
      <w:r>
        <w:rPr>
          <w:snapToGrid w:val="0"/>
        </w:rPr>
        <w:tab/>
      </w:r>
      <w:r>
        <w:rPr>
          <w:snapToGrid w:val="0"/>
          <w:sz w:val="22"/>
        </w:rPr>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sz w:val="22"/>
        </w:rPr>
        <w:t>Transfer of Land Act 1893</w:t>
      </w:r>
      <w:r>
        <w:rPr>
          <w:snapToGrid w:val="0"/>
          <w:sz w:val="22"/>
        </w:rPr>
        <w:t xml:space="preserve"> Plan 3064 and extending easterly to and along that boundary and onwards to the north</w:t>
      </w:r>
      <w:r>
        <w:rPr>
          <w:snapToGrid w:val="0"/>
          <w:sz w:val="22"/>
        </w:rPr>
        <w:noBreakHyphen/>
        <w:t xml:space="preserve">western corner of Lot 1, as shown on Department within the meaning of the </w:t>
      </w:r>
      <w:r>
        <w:rPr>
          <w:i/>
          <w:snapToGrid w:val="0"/>
          <w:sz w:val="22"/>
        </w:rPr>
        <w:t>Transfer of Land Act 1893</w:t>
      </w:r>
      <w:r>
        <w:rPr>
          <w:snapToGrid w:val="0"/>
          <w:sz w:val="22"/>
        </w:rPr>
        <w:t xml:space="preserve"> Plan 12382; thence easterly along the northern boundary of that lot and onwards to an eastern side of Stock Road; thence generally southerly, generally south</w:t>
      </w:r>
      <w:r>
        <w:rPr>
          <w:snapToGrid w:val="0"/>
          <w:sz w:val="22"/>
        </w:rPr>
        <w:noBreakHyphen/>
        <w:t>easterly, generally south</w:t>
      </w:r>
      <w:r>
        <w:rPr>
          <w:snapToGrid w:val="0"/>
          <w:sz w:val="22"/>
        </w:rPr>
        <w:noBreakHyphen/>
        <w:t>westerly, south</w:t>
      </w:r>
      <w:r>
        <w:rPr>
          <w:snapToGrid w:val="0"/>
          <w:sz w:val="22"/>
        </w:rPr>
        <w:noBreakHyphen/>
        <w:t>easterly, southerly and again south</w:t>
      </w:r>
      <w:r>
        <w:rPr>
          <w:snapToGrid w:val="0"/>
          <w:sz w:val="22"/>
        </w:rPr>
        <w:noBreakHyphen/>
        <w:t>easterly along sides of that road to a north</w:t>
      </w:r>
      <w:r>
        <w:rPr>
          <w:snapToGrid w:val="0"/>
          <w:sz w:val="22"/>
        </w:rPr>
        <w:noBreakHyphen/>
        <w:t>eastern side of Lakes Road; thence south</w:t>
      </w:r>
      <w:r>
        <w:rPr>
          <w:snapToGrid w:val="0"/>
          <w:sz w:val="22"/>
        </w:rPr>
        <w:noBreakHyphen/>
        <w:t>easterly that side to the right bank of the Serpentine River; thence generally south</w:t>
      </w:r>
      <w:r>
        <w:rPr>
          <w:snapToGrid w:val="0"/>
          <w:sz w:val="22"/>
        </w:rPr>
        <w:noBreakHyphen/>
        <w:t>westerly downwards along that bank to the northernmost northern boundary of Location 2459; thence westerly and south</w:t>
      </w:r>
      <w:r>
        <w:rPr>
          <w:snapToGrid w:val="0"/>
          <w:sz w:val="22"/>
        </w:rPr>
        <w:noBreakHyphen/>
        <w:t>westerly along boundaries of that location and south</w:t>
      </w:r>
      <w:r>
        <w:rPr>
          <w:snapToGrid w:val="0"/>
          <w:sz w:val="22"/>
        </w:rPr>
        <w:noBreakHyphen/>
        <w:t>westerly along the north</w:t>
      </w:r>
      <w:r>
        <w:rPr>
          <w:snapToGrid w:val="0"/>
          <w:sz w:val="22"/>
        </w:rPr>
        <w:noBreakHyphen/>
        <w:t xml:space="preserve">western boundary of Lot 217 of Location 16, as shown on Department within the meaning of the </w:t>
      </w:r>
      <w:r>
        <w:rPr>
          <w:i/>
          <w:snapToGrid w:val="0"/>
          <w:sz w:val="22"/>
        </w:rPr>
        <w:t>Transfer of Land Act 1893</w:t>
      </w:r>
      <w:r>
        <w:rPr>
          <w:snapToGrid w:val="0"/>
          <w:sz w:val="22"/>
        </w:rPr>
        <w:t xml:space="preserve"> Plan 2087 Sheet 1 and onwards to a south</w:t>
      </w:r>
      <w:r>
        <w:rPr>
          <w:snapToGrid w:val="0"/>
          <w:sz w:val="22"/>
        </w:rPr>
        <w:noBreakHyphen/>
        <w:t>western side of Hougham Road; thence south</w:t>
      </w:r>
      <w:r>
        <w:rPr>
          <w:snapToGrid w:val="0"/>
          <w:sz w:val="22"/>
        </w:rPr>
        <w:noBreakHyphen/>
        <w:t>easterly along that side to the right bank of the Serpentine River; thence generally southerly, generally westerly, generally south</w:t>
      </w:r>
      <w:r>
        <w:rPr>
          <w:snapToGrid w:val="0"/>
          <w:sz w:val="22"/>
        </w:rPr>
        <w:noBreakHyphen/>
        <w:t>westerly, generally south</w:t>
      </w:r>
      <w:r>
        <w:rPr>
          <w:snapToGrid w:val="0"/>
          <w:sz w:val="22"/>
        </w:rPr>
        <w:noBreakHyphen/>
        <w:t>easterly and again generally south</w:t>
      </w:r>
      <w:r>
        <w:rPr>
          <w:snapToGrid w:val="0"/>
          <w:sz w:val="22"/>
        </w:rPr>
        <w:noBreakHyphen/>
        <w:t>westerly downwards along that bank to the low water mark of Peel Inlet; thence generally north</w:t>
      </w:r>
      <w:r>
        <w:rPr>
          <w:snapToGrid w:val="0"/>
          <w:sz w:val="22"/>
        </w:rPr>
        <w:noBreakHyphen/>
        <w:t>westerly along that mark to the prolongation southerly of the western side of Kurdal Road; thence south</w:t>
      </w:r>
      <w:r>
        <w:rPr>
          <w:snapToGrid w:val="0"/>
          <w:sz w:val="22"/>
        </w:rPr>
        <w:noBreakHyphen/>
        <w:t>westerly to the low water mark at the eastern extremity of Creery Island; thence generally south</w:t>
      </w:r>
      <w:r>
        <w:rPr>
          <w:snapToGrid w:val="0"/>
          <w:sz w:val="22"/>
        </w:rPr>
        <w:noBreakHyphen/>
        <w:t>westerly along that mark to the southern extremity of Creery Island; thence west to the low water mark of Peel Inlet; thence generally south</w:t>
      </w:r>
      <w:r>
        <w:rPr>
          <w:snapToGrid w:val="0"/>
          <w:sz w:val="22"/>
        </w:rPr>
        <w:noBreakHyphen/>
        <w:t>westerly along that mark and generally south</w:t>
      </w:r>
      <w:r>
        <w:rPr>
          <w:snapToGrid w:val="0"/>
          <w:sz w:val="22"/>
        </w:rPr>
        <w:noBreakHyphen/>
        <w:t>easterly and generally northerly along the low watermark of Harvey Estuary to the left bank of the Harvey River; thence generally southerly upwards along that bank to a point situate east of the easternmost north</w:t>
      </w:r>
      <w:r>
        <w:rPr>
          <w:snapToGrid w:val="0"/>
          <w:sz w:val="22"/>
        </w:rPr>
        <w:noBreakHyphen/>
        <w:t>eastern corner of Murray Location 1209; thence west to and generally south</w:t>
      </w:r>
      <w:r>
        <w:rPr>
          <w:snapToGrid w:val="0"/>
          <w:sz w:val="22"/>
        </w:rPr>
        <w:noBreakHyphen/>
        <w:t>westerly, generally north</w:t>
      </w:r>
      <w:r>
        <w:rPr>
          <w:snapToGrid w:val="0"/>
          <w:sz w:val="22"/>
        </w:rPr>
        <w:noBreakHyphen/>
        <w:t>westerly and westerly along boundaries of the last mentioned location to the north</w:t>
      </w:r>
      <w:r>
        <w:rPr>
          <w:snapToGrid w:val="0"/>
          <w:sz w:val="22"/>
        </w:rPr>
        <w:noBreakHyphen/>
        <w:t>eastern corner of the north</w:t>
      </w:r>
      <w:r>
        <w:rPr>
          <w:snapToGrid w:val="0"/>
          <w:sz w:val="22"/>
        </w:rPr>
        <w:noBreakHyphen/>
        <w:t>eastern severance of Location 793; thence westerly along the northern boundary of that severance and onwards to and along the northernmost northern boundary of the central severance of that location and onwards to the north</w:t>
      </w:r>
      <w:r>
        <w:rPr>
          <w:snapToGrid w:val="0"/>
          <w:sz w:val="22"/>
        </w:rPr>
        <w:noBreakHyphen/>
        <w:t>eastern corner of the western severance of the last mentioned location; thence westerly along the northern boundary of that severance and westerly and south</w:t>
      </w:r>
      <w:r>
        <w:rPr>
          <w:snapToGrid w:val="0"/>
          <w:sz w:val="22"/>
        </w:rPr>
        <w:noBreakHyphen/>
        <w:t>easterly along boundaries of Location 1591 to a north</w:t>
      </w:r>
      <w:r>
        <w:rPr>
          <w:snapToGrid w:val="0"/>
          <w:sz w:val="22"/>
        </w:rPr>
        <w:noBreakHyphen/>
        <w:t>western corner of the western severance of Location 793; thence south</w:t>
      </w:r>
      <w:r>
        <w:rPr>
          <w:snapToGrid w:val="0"/>
          <w:sz w:val="22"/>
        </w:rPr>
        <w:noBreakHyphen/>
        <w:t>easterly, south</w:t>
      </w:r>
      <w:r>
        <w:rPr>
          <w:snapToGrid w:val="0"/>
          <w:sz w:val="22"/>
        </w:rPr>
        <w:noBreakHyphen/>
        <w:t>westerly and generally south</w:t>
      </w:r>
      <w:r>
        <w:rPr>
          <w:snapToGrid w:val="0"/>
          <w:sz w:val="22"/>
        </w:rPr>
        <w:noBreakHyphen/>
        <w:t>easterly along boundaries of that severance to the north</w:t>
      </w:r>
      <w:r>
        <w:rPr>
          <w:snapToGrid w:val="0"/>
          <w:sz w:val="22"/>
        </w:rPr>
        <w:noBreakHyphen/>
        <w:t>western corner of Wellington Location 535; thence south</w:t>
      </w:r>
      <w:r>
        <w:rPr>
          <w:snapToGrid w:val="0"/>
          <w:sz w:val="22"/>
        </w:rPr>
        <w:noBreakHyphen/>
        <w:t>easterly along the south</w:t>
      </w:r>
      <w:r>
        <w:rPr>
          <w:snapToGrid w:val="0"/>
          <w:sz w:val="22"/>
        </w:rPr>
        <w:noBreakHyphen/>
        <w:t>western boundary of that location to its south</w:t>
      </w:r>
      <w:r>
        <w:rPr>
          <w:snapToGrid w:val="0"/>
          <w:sz w:val="22"/>
        </w:rPr>
        <w:noBreakHyphen/>
        <w:t>western corner; thence westerly along the prolongation westerly of the southern boundary of the last mentioned location to an eastern boundary of the eastern severance of Location 4981; thence generally south</w:t>
      </w:r>
      <w:r>
        <w:rPr>
          <w:snapToGrid w:val="0"/>
          <w:sz w:val="22"/>
        </w:rPr>
        <w:noBreakHyphen/>
        <w:t>easterly, generally south</w:t>
      </w:r>
      <w:r>
        <w:rPr>
          <w:snapToGrid w:val="0"/>
          <w:sz w:val="22"/>
        </w:rPr>
        <w:noBreakHyphen/>
        <w:t>westerly and westerly along boundaries of that severance and onwards to the south</w:t>
      </w:r>
      <w:r>
        <w:rPr>
          <w:snapToGrid w:val="0"/>
          <w:sz w:val="22"/>
        </w:rPr>
        <w:noBreakHyphen/>
        <w:t>eastern corner of the south</w:t>
      </w:r>
      <w:r>
        <w:rPr>
          <w:snapToGrid w:val="0"/>
          <w:sz w:val="22"/>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sz w:val="22"/>
        </w:rPr>
        <w:noBreakHyphen/>
        <w:t>easterly, generally easterly crossing the entrance to Peel Inlet and generally southerly along that mark to the starting point.</w:t>
      </w:r>
    </w:p>
    <w:p>
      <w:pPr>
        <w:pStyle w:val="MiscellaneousBody"/>
        <w:tabs>
          <w:tab w:val="left" w:pos="607"/>
          <w:tab w:val="left" w:pos="890"/>
        </w:tabs>
        <w:ind w:left="890" w:hanging="890"/>
        <w:rPr>
          <w:snapToGrid w:val="0"/>
          <w:sz w:val="22"/>
        </w:rPr>
      </w:pPr>
      <w:r>
        <w:rPr>
          <w:b/>
          <w:snapToGrid w:val="0"/>
          <w:sz w:val="22"/>
        </w:rPr>
        <w:t>3.</w:t>
      </w:r>
      <w:r>
        <w:rPr>
          <w:snapToGrid w:val="0"/>
          <w:sz w:val="22"/>
        </w:rPr>
        <w:tab/>
      </w:r>
      <w:r>
        <w:rPr>
          <w:snapToGrid w:val="0"/>
          <w:sz w:val="22"/>
        </w:rPr>
        <w:tab/>
        <w:t>In addition to the areas set out in items 1, 2 and 4, all the remaining area in the South</w:t>
      </w:r>
      <w:r>
        <w:rPr>
          <w:snapToGrid w:val="0"/>
          <w:sz w:val="22"/>
        </w:rPr>
        <w:noBreakHyphen/>
        <w:t xml:space="preserve">West Division of Western Australia, as that Division is described in Schedule 1 to the </w:t>
      </w:r>
      <w:r>
        <w:rPr>
          <w:i/>
          <w:snapToGrid w:val="0"/>
          <w:sz w:val="22"/>
        </w:rPr>
        <w:t>Land Administration Act 1997</w:t>
      </w:r>
      <w:r>
        <w:rPr>
          <w:snapToGrid w:val="0"/>
          <w:sz w:val="22"/>
        </w:rPr>
        <w:t>, other than the local government districts of Mukinbudin, Mt Marshall and Narembeen.</w:t>
      </w:r>
    </w:p>
    <w:p>
      <w:pPr>
        <w:pStyle w:val="MiscellaneousBody"/>
        <w:tabs>
          <w:tab w:val="left" w:pos="607"/>
          <w:tab w:val="left" w:pos="890"/>
        </w:tabs>
        <w:rPr>
          <w:snapToGrid w:val="0"/>
          <w:sz w:val="22"/>
        </w:rPr>
      </w:pPr>
      <w:r>
        <w:rPr>
          <w:b/>
          <w:snapToGrid w:val="0"/>
          <w:sz w:val="22"/>
        </w:rPr>
        <w:t>4.</w:t>
      </w:r>
      <w:r>
        <w:rPr>
          <w:snapToGrid w:val="0"/>
          <w:sz w:val="22"/>
        </w:rPr>
        <w:tab/>
      </w:r>
      <w:r>
        <w:rPr>
          <w:snapToGrid w:val="0"/>
          <w:sz w:val="22"/>
        </w:rPr>
        <w:tab/>
        <w:t>The areas constituted by —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s.20; amended by No. 14 of 1996 s.4; No. 81 of 1996 s.153(3); No. 31 of 1997 s.74 and Gazettes 5 January 1993 p.2; 25 March 1994 p.1306; 20 May 1994 p.2112; 9 December 1994 pp.6660</w:t>
      </w:r>
      <w:r>
        <w:noBreakHyphen/>
        <w:t xml:space="preserve">61.]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5" w:name="_Toc89238097"/>
      <w:bookmarkStart w:id="136" w:name="_Toc89238577"/>
      <w:bookmarkStart w:id="137" w:name="_Toc89511493"/>
      <w:bookmarkStart w:id="138" w:name="_Toc91301585"/>
      <w:bookmarkStart w:id="139" w:name="_Toc92687541"/>
      <w:bookmarkStart w:id="140" w:name="_Toc97005853"/>
      <w:bookmarkStart w:id="141" w:name="_Toc103141637"/>
      <w:bookmarkStart w:id="142" w:name="_Toc152394549"/>
      <w:bookmarkStart w:id="143" w:name="_Toc152474113"/>
      <w:r>
        <w:t>Notes</w:t>
      </w:r>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snapToGrid w:val="0"/>
        </w:rPr>
        <w:t>Painters’ Registration Act 1961</w:t>
      </w:r>
      <w:r>
        <w:rPr>
          <w:snapToGrid w:val="0"/>
        </w:rPr>
        <w:t xml:space="preserve"> and includes the amendments made by the other written laws referred to in the following tables </w:t>
      </w:r>
      <w:r>
        <w:rPr>
          <w:snapToGrid w:val="0"/>
          <w:vertAlign w:val="superscript"/>
        </w:rPr>
        <w:t>1a</w:t>
      </w:r>
      <w:r>
        <w:rPr>
          <w:snapToGrid w:val="0"/>
        </w:rPr>
        <w:t>.</w:t>
      </w:r>
    </w:p>
    <w:p>
      <w:pPr>
        <w:pStyle w:val="nHeading3"/>
        <w:rPr>
          <w:snapToGrid w:val="0"/>
        </w:rPr>
      </w:pPr>
      <w:bookmarkStart w:id="144" w:name="_Toc103141638"/>
      <w:bookmarkStart w:id="145" w:name="_Toc152474114"/>
      <w:r>
        <w:rPr>
          <w:snapToGrid w:val="0"/>
        </w:rP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1 Jan 1963 (see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 2(2)); balance: 21 Dec 1965</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(except section 4): 31 Dec 1975 (see </w:t>
            </w:r>
            <w:r>
              <w:rPr>
                <w:i/>
                <w:sz w:val="19"/>
              </w:rPr>
              <w:t xml:space="preserve">Gazette </w:t>
            </w:r>
            <w:r>
              <w:rPr>
                <w:sz w:val="19"/>
              </w:rPr>
              <w:t>31 Dec 1975 p. 266); s. 4 1 Jan 1976 (see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2268" w:type="dxa"/>
          </w:tcPr>
          <w:p>
            <w:pPr>
              <w:pStyle w:val="nTable"/>
              <w:spacing w:after="40"/>
              <w:ind w:right="170"/>
              <w:rPr>
                <w:iCs/>
                <w:sz w:val="19"/>
                <w:vertAlign w:val="superscript"/>
              </w:rPr>
            </w:pPr>
            <w:r>
              <w:rPr>
                <w:i/>
                <w:sz w:val="19"/>
              </w:rPr>
              <w:t>Painters’ Registration Act Amendment Act 1983</w:t>
            </w:r>
            <w:r>
              <w:rPr>
                <w:iCs/>
                <w:sz w:val="19"/>
                <w:vertAlign w:val="superscript"/>
              </w:rPr>
              <w:t> 3,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Jan 1984 (see </w:t>
            </w:r>
            <w:r>
              <w:rPr>
                <w:i/>
                <w:sz w:val="19"/>
              </w:rPr>
              <w:t>Gazette</w:t>
            </w:r>
            <w:r>
              <w:rPr>
                <w:sz w:val="19"/>
              </w:rPr>
              <w:t xml:space="preserve"> 30 Dec 1983 p. 5015)</w:t>
            </w:r>
          </w:p>
        </w:tc>
      </w:tr>
      <w:tr>
        <w:trPr>
          <w:cantSplit/>
        </w:trPr>
        <w:tc>
          <w:tcPr>
            <w:tcW w:w="2268" w:type="dxa"/>
          </w:tcPr>
          <w:p>
            <w:pPr>
              <w:pStyle w:val="nTable"/>
              <w:spacing w:after="40"/>
              <w:ind w:right="170"/>
              <w:rPr>
                <w:sz w:val="19"/>
              </w:rPr>
            </w:pPr>
            <w:r>
              <w:rPr>
                <w:i/>
                <w:sz w:val="19"/>
              </w:rPr>
              <w:t>Acts Amendment (Financial Provisions of Regulatory Bodies) Act 1987</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Dec1994 p. 6660</w:t>
            </w:r>
            <w:r>
              <w:rPr>
                <w:sz w:val="19"/>
              </w:rPr>
              <w:noBreakHyphen/>
              <w:t>61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w:t>
            </w:r>
            <w:r>
              <w:rPr>
                <w:sz w:val="19"/>
              </w:rPr>
              <w:br/>
              <w:t>Part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pPr>
              <w:pStyle w:val="nTable"/>
              <w:spacing w:after="40"/>
              <w:rPr>
                <w:rFonts w:ascii="Times" w:hAnsi="Times"/>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 w:name="_Toc534778309"/>
      <w:bookmarkStart w:id="147" w:name="_Toc7405063"/>
      <w:bookmarkStart w:id="148" w:name="_Toc87418939"/>
      <w:bookmarkStart w:id="149" w:name="_Toc87419906"/>
      <w:bookmarkStart w:id="150" w:name="_Toc103141639"/>
      <w:bookmarkStart w:id="151" w:name="_Toc152474115"/>
      <w:r>
        <w:rPr>
          <w:snapToGrid w:val="0"/>
        </w:rPr>
        <w:t>Provisions that have not come into operation</w:t>
      </w:r>
      <w:bookmarkEnd w:id="146"/>
      <w:bookmarkEnd w:id="147"/>
      <w:bookmarkEnd w:id="148"/>
      <w:bookmarkEnd w:id="149"/>
      <w:bookmarkEnd w:id="150"/>
      <w:bookmarkEnd w:id="1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27"/>
        <w:gridCol w:w="1134"/>
        <w:gridCol w:w="1275"/>
        <w:gridCol w:w="2552"/>
      </w:tblGrid>
      <w:tr>
        <w:tc>
          <w:tcPr>
            <w:tcW w:w="2127"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127"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5" w:type="dxa"/>
            <w:tcBorders>
              <w:top w:val="single" w:sz="4" w:space="0" w:color="auto"/>
              <w:bottom w:val="nil"/>
            </w:tcBorders>
          </w:tcPr>
          <w:p>
            <w:pPr>
              <w:pStyle w:val="nTable"/>
              <w:rPr>
                <w:snapToGrid w:val="0"/>
                <w:sz w:val="19"/>
                <w:lang w:val="en-US"/>
              </w:rPr>
            </w:pPr>
            <w:r>
              <w:rPr>
                <w:sz w:val="19"/>
              </w:rPr>
              <w:t>23 Nov 2004</w:t>
            </w:r>
          </w:p>
        </w:tc>
        <w:tc>
          <w:tcPr>
            <w:tcW w:w="2552"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rPr>
          <w:ins w:id="152" w:author="svcMRProcess" w:date="2015-11-04T20:23:00Z"/>
        </w:trPr>
        <w:tc>
          <w:tcPr>
            <w:tcW w:w="2127" w:type="dxa"/>
            <w:tcBorders>
              <w:top w:val="nil"/>
              <w:bottom w:val="single" w:sz="4" w:space="0" w:color="auto"/>
            </w:tcBorders>
          </w:tcPr>
          <w:p>
            <w:pPr>
              <w:pStyle w:val="nTable"/>
              <w:spacing w:after="40"/>
              <w:rPr>
                <w:ins w:id="153" w:author="svcMRProcess" w:date="2015-11-04T20:23:00Z"/>
                <w:iCs/>
                <w:snapToGrid w:val="0"/>
                <w:sz w:val="19"/>
                <w:vertAlign w:val="superscript"/>
                <w:lang w:val="en-US"/>
              </w:rPr>
            </w:pPr>
            <w:ins w:id="154" w:author="svcMRProcess" w:date="2015-11-04T20:23:00Z">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8</w:t>
              </w:r>
            </w:ins>
          </w:p>
        </w:tc>
        <w:tc>
          <w:tcPr>
            <w:tcW w:w="1134" w:type="dxa"/>
            <w:tcBorders>
              <w:top w:val="nil"/>
              <w:bottom w:val="single" w:sz="4" w:space="0" w:color="auto"/>
            </w:tcBorders>
          </w:tcPr>
          <w:p>
            <w:pPr>
              <w:pStyle w:val="nTable"/>
              <w:spacing w:after="40"/>
              <w:rPr>
                <w:ins w:id="155" w:author="svcMRProcess" w:date="2015-11-04T20:23:00Z"/>
                <w:snapToGrid w:val="0"/>
                <w:sz w:val="19"/>
                <w:lang w:val="en-US"/>
              </w:rPr>
            </w:pPr>
            <w:ins w:id="156" w:author="svcMRProcess" w:date="2015-11-04T20:23:00Z">
              <w:r>
                <w:rPr>
                  <w:snapToGrid w:val="0"/>
                  <w:sz w:val="19"/>
                  <w:lang w:val="en-US"/>
                </w:rPr>
                <w:t>60 of 2006</w:t>
              </w:r>
            </w:ins>
          </w:p>
        </w:tc>
        <w:tc>
          <w:tcPr>
            <w:tcW w:w="1275" w:type="dxa"/>
            <w:tcBorders>
              <w:top w:val="nil"/>
              <w:bottom w:val="single" w:sz="4" w:space="0" w:color="auto"/>
            </w:tcBorders>
          </w:tcPr>
          <w:p>
            <w:pPr>
              <w:pStyle w:val="nTable"/>
              <w:spacing w:after="40"/>
              <w:rPr>
                <w:ins w:id="157" w:author="svcMRProcess" w:date="2015-11-04T20:23:00Z"/>
                <w:snapToGrid w:val="0"/>
                <w:sz w:val="19"/>
                <w:lang w:val="en-US"/>
              </w:rPr>
            </w:pPr>
            <w:ins w:id="158" w:author="svcMRProcess" w:date="2015-11-04T20:23:00Z">
              <w:r>
                <w:rPr>
                  <w:snapToGrid w:val="0"/>
                  <w:sz w:val="19"/>
                  <w:lang w:val="en-US"/>
                </w:rPr>
                <w:t>16 Nov 2006</w:t>
              </w:r>
            </w:ins>
          </w:p>
        </w:tc>
        <w:tc>
          <w:tcPr>
            <w:tcW w:w="2552" w:type="dxa"/>
            <w:tcBorders>
              <w:top w:val="nil"/>
              <w:bottom w:val="single" w:sz="4" w:space="0" w:color="auto"/>
            </w:tcBorders>
          </w:tcPr>
          <w:p>
            <w:pPr>
              <w:pStyle w:val="nTable"/>
              <w:spacing w:after="40"/>
              <w:rPr>
                <w:ins w:id="159" w:author="svcMRProcess" w:date="2015-11-04T20:23:00Z"/>
                <w:snapToGrid w:val="0"/>
                <w:sz w:val="19"/>
                <w:lang w:val="en-US"/>
              </w:rPr>
            </w:pPr>
            <w:ins w:id="160" w:author="svcMRProcess" w:date="2015-11-04T20:23:00Z">
              <w:r>
                <w:rPr>
                  <w:snapToGrid w:val="0"/>
                  <w:sz w:val="19"/>
                  <w:lang w:val="en-US"/>
                </w:rPr>
                <w:t>To be proclaimed (see s. 2(1))</w:t>
              </w:r>
            </w:ins>
          </w:p>
        </w:tc>
      </w:tr>
    </w:tbl>
    <w:p>
      <w:pPr>
        <w:pStyle w:val="nSubsection"/>
        <w:rPr>
          <w:ins w:id="161" w:author="svcMRProcess" w:date="2015-11-04T20:23:00Z"/>
          <w:snapToGrid w:val="0"/>
          <w:vertAlign w:val="superscript"/>
        </w:rPr>
      </w:pPr>
    </w:p>
    <w:p>
      <w:pPr>
        <w:pStyle w:val="nSubsection"/>
        <w:rPr>
          <w:snapToGrid w:val="0"/>
        </w:rPr>
      </w:pPr>
      <w:bookmarkStart w:id="162" w:name="UpToHere"/>
      <w:bookmarkEnd w:id="162"/>
      <w:r>
        <w:rPr>
          <w:snapToGrid w:val="0"/>
          <w:vertAlign w:val="superscript"/>
        </w:rPr>
        <w:t>2</w:t>
      </w:r>
      <w:r>
        <w:rPr>
          <w:snapToGrid w:val="0"/>
        </w:rPr>
        <w:tab/>
        <w:t xml:space="preserve">To be read as a reference to the Minister for Public Sector Management  in accordance with section 112(2) of the </w:t>
      </w:r>
      <w:r>
        <w:rPr>
          <w:i/>
          <w:snapToGrid w:val="0"/>
        </w:rPr>
        <w:t>Acts Amendment (Public Sector Management) Act 1994.</w:t>
      </w:r>
    </w:p>
    <w:p>
      <w:pPr>
        <w:pStyle w:val="nSubsection"/>
        <w:rPr>
          <w:snapToGrid w:val="0"/>
        </w:rPr>
      </w:pPr>
      <w:r>
        <w:rPr>
          <w:snapToGrid w:val="0"/>
          <w:vertAlign w:val="superscript"/>
        </w:rPr>
        <w:t>3</w:t>
      </w:r>
      <w:r>
        <w:rPr>
          <w:snapToGrid w:val="0"/>
        </w:rPr>
        <w:tab/>
        <w:t>Repealed by No. 42 of 1996.</w:t>
      </w:r>
    </w:p>
    <w:p>
      <w:pPr>
        <w:pStyle w:val="nSubsection"/>
        <w:keepNext/>
        <w:rPr>
          <w:snapToGrid w:val="0"/>
        </w:rPr>
      </w:pPr>
      <w:r>
        <w:rPr>
          <w:snapToGrid w:val="0"/>
          <w:vertAlign w:val="superscript"/>
        </w:rPr>
        <w:t>4</w:t>
      </w:r>
      <w:r>
        <w:rPr>
          <w:snapToGrid w:val="0"/>
        </w:rPr>
        <w:tab/>
        <w:t>Section 3(2) and (3) of Act No. 33 of 1983 read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 (</w:t>
      </w:r>
      <w:r>
        <w:rPr>
          <w:snapToGrid w:val="0"/>
        </w:rPr>
        <w:t xml:space="preserve">in this subsection called </w:t>
      </w:r>
      <w:r>
        <w:rPr>
          <w:b/>
          <w:snapToGrid w:val="0"/>
        </w:rPr>
        <w:t>“</w:t>
      </w:r>
      <w:r>
        <w:rPr>
          <w:rStyle w:val="CharDefText"/>
        </w:rPr>
        <w:t>the amending Act</w:t>
      </w:r>
      <w:r>
        <w:rPr>
          <w:b/>
          <w:snapToGrid w:val="0"/>
        </w:rPr>
        <w:t>”</w:t>
      </w:r>
      <w:r>
        <w:rPr>
          <w:snapToGrid w:val="0"/>
        </w:rPr>
        <w:t>) and the provisions of section 3 of the principal Act, as those provisions existed during the period commencing with the coming into operation of the amending Act and ending immediately before the coming into operation of this Act — </w:t>
      </w:r>
    </w:p>
    <w:p>
      <w:pPr>
        <w:pStyle w:val="nz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the principal Act to have been the area within which the principal Act applied during that period; and</w:t>
      </w:r>
    </w:p>
    <w:p>
      <w:pPr>
        <w:pStyle w:val="nzIndenta"/>
        <w:rPr>
          <w:snapToGrid w:val="0"/>
        </w:rPr>
      </w:pPr>
      <w:r>
        <w:rPr>
          <w:snapToGrid w:val="0"/>
        </w:rPr>
        <w:tab/>
        <w:t>(b)</w:t>
      </w:r>
      <w:r>
        <w:rPr>
          <w:snapToGrid w:val="0"/>
        </w:rPr>
        <w:tab/>
        <w:t>any Act or thing done during that period in the area within the boundaries referred to in paragraph (a) in purported exercise of any power conferred by the principal Act shall not be deemed to be invalid by reason only of that repeal and those provisions.</w:t>
      </w:r>
    </w:p>
    <w:p>
      <w:pPr>
        <w:pStyle w:val="nzSubsection"/>
        <w:rPr>
          <w:snapToGrid w:val="0"/>
        </w:rPr>
      </w:pPr>
      <w:r>
        <w:rPr>
          <w:snapToGrid w:val="0"/>
        </w:rPr>
        <w:tab/>
        <w:t>(3)</w:t>
      </w:r>
      <w:r>
        <w:rPr>
          <w:snapToGrid w:val="0"/>
        </w:rPr>
        <w:tab/>
        <w:t>Notwithstanding the coming into operation of this Act, any Act or thing lawfully commenced, and not discontinued or abandoned, before that coming into operation in an area to which the principal Act did not apply before that coming into operation but to which the principal Act applies after that coming into operation may be continued and completed as if this Act had not come into operation.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Section 13(2) of Act No. 33 of 1983 reads as follows — </w:t>
      </w:r>
    </w:p>
    <w:p>
      <w:pPr>
        <w:pStyle w:val="MiscOpen"/>
        <w:keepNext w:val="0"/>
        <w:keepLines w:val="0"/>
        <w:rPr>
          <w:snapToGrid w:val="0"/>
        </w:rPr>
      </w:pPr>
      <w:r>
        <w:rPr>
          <w:snapToGrid w:val="0"/>
        </w:rPr>
        <w:t>“</w:t>
      </w:r>
    </w:p>
    <w:p>
      <w:pPr>
        <w:pStyle w:val="nzSubsection"/>
        <w:spacing w:before="120"/>
        <w:rPr>
          <w:snapToGrid w:val="0"/>
        </w:rPr>
      </w:pPr>
      <w:r>
        <w:rPr>
          <w:snapToGrid w:val="0"/>
        </w:rPr>
        <w:tab/>
        <w:t>(2)</w:t>
      </w:r>
      <w:r>
        <w:rPr>
          <w:snapToGrid w:val="0"/>
        </w:rPr>
        <w:tab/>
        <w:t>The powers conferred on the Board by sections 16D and 16E, inserted in the principal Act by subsection (1) of this section, shall not be exercisable in respect of painting work completed before that subsection came into operation; nor shall the power conferred on the Board by section 16I, inserted as above</w:t>
      </w:r>
      <w:r>
        <w:rPr>
          <w:snapToGrid w:val="0"/>
        </w:rPr>
        <w:noBreakHyphen/>
        <w:t xml:space="preserve">mentioned, be exercisable in respect of a complaint made before that coming into operation.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63" w:name="_Toc448803174"/>
      <w:bookmarkStart w:id="164" w:name="_Toc491766624"/>
      <w:bookmarkStart w:id="165" w:name="_Toc88630544"/>
      <w:r>
        <w:rPr>
          <w:rStyle w:val="CharSectno"/>
        </w:rPr>
        <w:t>142</w:t>
      </w:r>
      <w:r>
        <w:t>.</w:t>
      </w:r>
      <w:r>
        <w:tab/>
        <w:t xml:space="preserve">Other amendments to various Acts </w:t>
      </w:r>
      <w:bookmarkEnd w:id="163"/>
      <w:bookmarkEnd w:id="164"/>
      <w:bookmarkEnd w:id="16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36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166" w:name="_Toc491766761"/>
      <w:bookmarkStart w:id="167" w:name="_Toc497185884"/>
      <w:bookmarkStart w:id="168" w:name="_Toc88630758"/>
      <w:r>
        <w:t>36.</w:t>
      </w:r>
      <w:r>
        <w:tab/>
      </w:r>
      <w:r>
        <w:rPr>
          <w:i/>
        </w:rPr>
        <w:t>Painters’ Registration Act 1961</w:t>
      </w:r>
      <w:bookmarkEnd w:id="166"/>
      <w:bookmarkEnd w:id="167"/>
      <w:bookmarkEnd w:id="16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tblGrid>
      <w:tr>
        <w:trPr>
          <w:cantSplit/>
        </w:trPr>
        <w:tc>
          <w:tcPr>
            <w:tcW w:w="1276" w:type="dxa"/>
          </w:tcPr>
          <w:p>
            <w:pPr>
              <w:pStyle w:val="nzTable"/>
            </w:pPr>
            <w:r>
              <w:t>s. 16E(1)(b)</w:t>
            </w:r>
          </w:p>
          <w:p>
            <w:pPr>
              <w:pStyle w:val="nzTable"/>
            </w:pPr>
            <w:r>
              <w:t>s. 16G(b)</w:t>
            </w:r>
          </w:p>
          <w:p>
            <w:pPr>
              <w:pStyle w:val="nzTable"/>
            </w:pPr>
            <w:r>
              <w:t>s. 16H(2)</w:t>
            </w:r>
          </w:p>
        </w:tc>
        <w:tc>
          <w:tcPr>
            <w:tcW w:w="5245" w:type="dxa"/>
          </w:tcPr>
          <w:p>
            <w:pPr>
              <w:pStyle w:val="nzTable"/>
            </w:pPr>
            <w:r>
              <w:t>In each provision delete “a magistrate” and insert instead —</w:t>
            </w:r>
          </w:p>
          <w:p>
            <w:pPr>
              <w:pStyle w:val="nzTable"/>
            </w:pPr>
            <w:r>
              <w:t>“    the Magistrates Court    ”.</w:t>
            </w:r>
          </w:p>
        </w:tc>
      </w:tr>
      <w:tr>
        <w:trPr>
          <w:cantSplit/>
        </w:trPr>
        <w:tc>
          <w:tcPr>
            <w:tcW w:w="1276" w:type="dxa"/>
          </w:tcPr>
          <w:p>
            <w:pPr>
              <w:pStyle w:val="nzTable"/>
            </w:pPr>
            <w:r>
              <w:t>s. 18(1)</w:t>
            </w:r>
          </w:p>
        </w:tc>
        <w:tc>
          <w:tcPr>
            <w:tcW w:w="5245" w:type="dxa"/>
          </w:tcPr>
          <w:p>
            <w:pPr>
              <w:pStyle w:val="nzTable"/>
            </w:pPr>
            <w:r>
              <w:t xml:space="preserve">Delete “therefrom to a stipendiary magistrate of the Local Court” and insert instead — </w:t>
            </w:r>
          </w:p>
          <w:p>
            <w:pPr>
              <w:pStyle w:val="nzTable"/>
            </w:pPr>
            <w:r>
              <w:t>“    to the Magistrates Court at the place    ”.</w:t>
            </w:r>
          </w:p>
          <w:p>
            <w:pPr>
              <w:pStyle w:val="nzTable"/>
            </w:pPr>
            <w:r>
              <w:t>Delete “clerk of that”.</w:t>
            </w:r>
          </w:p>
        </w:tc>
      </w:tr>
      <w:tr>
        <w:trPr>
          <w:cantSplit/>
        </w:trPr>
        <w:tc>
          <w:tcPr>
            <w:tcW w:w="1276" w:type="dxa"/>
          </w:tcPr>
          <w:p>
            <w:pPr>
              <w:pStyle w:val="nzTable"/>
            </w:pPr>
            <w:r>
              <w:t>s. 18(2)</w:t>
            </w:r>
          </w:p>
        </w:tc>
        <w:tc>
          <w:tcPr>
            <w:tcW w:w="5245" w:type="dxa"/>
          </w:tcPr>
          <w:p>
            <w:pPr>
              <w:pStyle w:val="nzTable"/>
            </w:pPr>
            <w:r>
              <w:t xml:space="preserve">Delete “magistrate” and insert instead — </w:t>
            </w:r>
          </w:p>
          <w:p>
            <w:pPr>
              <w:pStyle w:val="nzTable"/>
            </w:pPr>
            <w:r>
              <w:t>“    Court, constituted by a magistrate,    ”.</w:t>
            </w:r>
          </w:p>
          <w:p>
            <w:pPr>
              <w:pStyle w:val="nzTable"/>
            </w:pPr>
            <w:r>
              <w:t xml:space="preserve">Delete “he” and insert instead — </w:t>
            </w:r>
          </w:p>
          <w:p>
            <w:pPr>
              <w:pStyle w:val="nzTable"/>
            </w:pPr>
            <w:r>
              <w:t>“    it    ”.</w:t>
            </w:r>
          </w:p>
          <w:p>
            <w:pPr>
              <w:pStyle w:val="nzTable"/>
            </w:pPr>
            <w:r>
              <w:t xml:space="preserve">Delete “his” and insert instead — </w:t>
            </w:r>
          </w:p>
          <w:p>
            <w:pPr>
              <w:pStyle w:val="nzTable"/>
            </w:pPr>
            <w:r>
              <w:t>“    its    ”.</w:t>
            </w:r>
          </w:p>
        </w:tc>
      </w:tr>
      <w:tr>
        <w:trPr>
          <w:cantSplit/>
        </w:trPr>
        <w:tc>
          <w:tcPr>
            <w:tcW w:w="1276" w:type="dxa"/>
          </w:tcPr>
          <w:p>
            <w:pPr>
              <w:pStyle w:val="nzTable"/>
            </w:pPr>
            <w:r>
              <w:t>s. 18(3)</w:t>
            </w:r>
          </w:p>
        </w:tc>
        <w:tc>
          <w:tcPr>
            <w:tcW w:w="5245" w:type="dxa"/>
          </w:tcPr>
          <w:p>
            <w:pPr>
              <w:pStyle w:val="nzTable"/>
            </w:pPr>
            <w:r>
              <w:t xml:space="preserve">Delete “magistrate” and insert instead — </w:t>
            </w:r>
          </w:p>
          <w:p>
            <w:pPr>
              <w:pStyle w:val="nzTable"/>
            </w:pPr>
            <w:r>
              <w:t>“    Court    ”.</w:t>
            </w:r>
          </w:p>
          <w:p>
            <w:pPr>
              <w:pStyle w:val="nzTable"/>
            </w:pPr>
            <w:r>
              <w:t xml:space="preserve">Delete “he” and insert instead — </w:t>
            </w:r>
          </w:p>
          <w:p>
            <w:pPr>
              <w:pStyle w:val="nzTable"/>
            </w:pPr>
            <w:r>
              <w:t>“    it    ”.</w:t>
            </w:r>
          </w:p>
          <w:p>
            <w:pPr>
              <w:pStyle w:val="nzTable"/>
            </w:pPr>
            <w:r>
              <w:t xml:space="preserve">Delete “magistrate’s” and insert instead — </w:t>
            </w:r>
          </w:p>
          <w:p>
            <w:pPr>
              <w:pStyle w:val="nzTable"/>
            </w:pPr>
            <w:r>
              <w:t>“    Court’s    ”.</w:t>
            </w:r>
          </w:p>
        </w:tc>
      </w:tr>
      <w:tr>
        <w:trPr>
          <w:cantSplit/>
        </w:trPr>
        <w:tc>
          <w:tcPr>
            <w:tcW w:w="1276" w:type="dxa"/>
          </w:tcPr>
          <w:p>
            <w:pPr>
              <w:pStyle w:val="nzTable"/>
            </w:pPr>
            <w:r>
              <w:t>s. 18(4)</w:t>
            </w:r>
          </w:p>
        </w:tc>
        <w:tc>
          <w:tcPr>
            <w:tcW w:w="5245" w:type="dxa"/>
          </w:tcPr>
          <w:p>
            <w:pPr>
              <w:pStyle w:val="nzTable"/>
            </w:pPr>
            <w:r>
              <w:t xml:space="preserve">Delete “magistrate” and insert instead — </w:t>
            </w:r>
          </w:p>
          <w:p>
            <w:pPr>
              <w:pStyle w:val="nzTable"/>
            </w:pPr>
            <w:r>
              <w:t>“    Court    ”.</w:t>
            </w:r>
          </w:p>
        </w:tc>
      </w:tr>
    </w:tbl>
    <w:p>
      <w:pPr>
        <w:pStyle w:val="MiscClose"/>
        <w:rPr>
          <w:snapToGrid w:val="0"/>
        </w:rPr>
      </w:pPr>
      <w:r>
        <w:rPr>
          <w:snapToGrid w:val="0"/>
        </w:rP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69" w:author="svcMRProcess" w:date="2015-11-04T20:23:00Z"/>
          <w:snapToGrid w:val="0"/>
        </w:rPr>
      </w:pPr>
      <w:ins w:id="170" w:author="svcMRProcess" w:date="2015-11-04T20:23: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119 </w:t>
        </w:r>
        <w:r>
          <w:rPr>
            <w:snapToGrid w:val="0"/>
          </w:rPr>
          <w:t>had not come into operation.  It reads as follows:</w:t>
        </w:r>
      </w:ins>
    </w:p>
    <w:p>
      <w:pPr>
        <w:pStyle w:val="MiscOpen"/>
        <w:rPr>
          <w:ins w:id="171" w:author="svcMRProcess" w:date="2015-11-04T20:23:00Z"/>
          <w:snapToGrid w:val="0"/>
        </w:rPr>
      </w:pPr>
      <w:ins w:id="172" w:author="svcMRProcess" w:date="2015-11-04T20:23:00Z">
        <w:r>
          <w:rPr>
            <w:snapToGrid w:val="0"/>
          </w:rPr>
          <w:t>“</w:t>
        </w:r>
      </w:ins>
    </w:p>
    <w:p>
      <w:pPr>
        <w:pStyle w:val="nzHeading5"/>
        <w:rPr>
          <w:ins w:id="173" w:author="svcMRProcess" w:date="2015-11-04T20:23:00Z"/>
        </w:rPr>
      </w:pPr>
      <w:bookmarkStart w:id="174" w:name="_Toc134253624"/>
      <w:bookmarkStart w:id="175" w:name="_Toc149720331"/>
      <w:ins w:id="176" w:author="svcMRProcess" w:date="2015-11-04T20:23:00Z">
        <w:r>
          <w:rPr>
            <w:rStyle w:val="CharSectno"/>
          </w:rPr>
          <w:t>119</w:t>
        </w:r>
        <w:r>
          <w:t>.</w:t>
        </w:r>
        <w:r>
          <w:tab/>
          <w:t>Certain references in other Acts to plans and diagrams amended</w:t>
        </w:r>
        <w:bookmarkEnd w:id="174"/>
        <w:bookmarkEnd w:id="175"/>
      </w:ins>
    </w:p>
    <w:p>
      <w:pPr>
        <w:pStyle w:val="nzSubsection"/>
        <w:rPr>
          <w:ins w:id="177" w:author="svcMRProcess" w:date="2015-11-04T20:23:00Z"/>
        </w:rPr>
      </w:pPr>
      <w:ins w:id="178" w:author="svcMRProcess" w:date="2015-11-04T20:23:00Z">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ins>
    </w:p>
    <w:p>
      <w:pPr>
        <w:pStyle w:val="nzSubsection"/>
        <w:rPr>
          <w:ins w:id="179" w:author="svcMRProcess" w:date="2015-11-04T20:23:00Z"/>
        </w:rPr>
      </w:pPr>
      <w:ins w:id="180" w:author="svcMRProcess" w:date="2015-11-04T20:23:00Z">
        <w:r>
          <w:tab/>
        </w:r>
        <w:r>
          <w:tab/>
          <w:t>“    Land Titles Office Plan    ”.</w:t>
        </w:r>
      </w:ins>
    </w:p>
    <w:p>
      <w:pPr>
        <w:pStyle w:val="nzMiscellaneousHeading"/>
        <w:spacing w:before="120" w:after="120"/>
        <w:rPr>
          <w:ins w:id="181" w:author="svcMRProcess" w:date="2015-11-04T20:23:00Z"/>
          <w:b/>
          <w:bCs/>
        </w:rPr>
      </w:pPr>
      <w:ins w:id="182" w:author="svcMRProcess" w:date="2015-11-04T20:23:00Z">
        <w:r>
          <w:rPr>
            <w:b/>
            <w:bCs/>
          </w:rPr>
          <w:t>Table</w:t>
        </w:r>
      </w:ins>
    </w:p>
    <w:tbl>
      <w:tblPr>
        <w:tblW w:w="0" w:type="auto"/>
        <w:tblInd w:w="675" w:type="dxa"/>
        <w:tblLayout w:type="fixed"/>
        <w:tblLook w:val="0000" w:firstRow="0" w:lastRow="0" w:firstColumn="0" w:lastColumn="0" w:noHBand="0" w:noVBand="0"/>
      </w:tblPr>
      <w:tblGrid>
        <w:gridCol w:w="6153"/>
      </w:tblGrid>
      <w:tr>
        <w:trPr>
          <w:ins w:id="183" w:author="svcMRProcess" w:date="2015-11-04T20:23:00Z"/>
        </w:trPr>
        <w:tc>
          <w:tcPr>
            <w:tcW w:w="6153" w:type="dxa"/>
          </w:tcPr>
          <w:p>
            <w:pPr>
              <w:pStyle w:val="nzTable"/>
              <w:ind w:left="645"/>
              <w:rPr>
                <w:ins w:id="184" w:author="svcMRProcess" w:date="2015-11-04T20:23:00Z"/>
                <w:i/>
                <w:iCs/>
              </w:rPr>
            </w:pPr>
            <w:ins w:id="185" w:author="svcMRProcess" w:date="2015-11-04T20:23:00Z">
              <w:r>
                <w:t>....................</w:t>
              </w:r>
            </w:ins>
          </w:p>
        </w:tc>
      </w:tr>
      <w:tr>
        <w:trPr>
          <w:ins w:id="186" w:author="svcMRProcess" w:date="2015-11-04T20:23:00Z"/>
        </w:trPr>
        <w:tc>
          <w:tcPr>
            <w:tcW w:w="6153" w:type="dxa"/>
          </w:tcPr>
          <w:p>
            <w:pPr>
              <w:pStyle w:val="nzTable"/>
              <w:ind w:left="645"/>
              <w:rPr>
                <w:ins w:id="187" w:author="svcMRProcess" w:date="2015-11-04T20:23:00Z"/>
              </w:rPr>
            </w:pPr>
            <w:ins w:id="188" w:author="svcMRProcess" w:date="2015-11-04T20:23:00Z">
              <w:r>
                <w:rPr>
                  <w:i/>
                  <w:iCs/>
                </w:rPr>
                <w:t>Painters’ Registration Act 1961</w:t>
              </w:r>
              <w:r>
                <w:t xml:space="preserve"> Schedule</w:t>
              </w:r>
            </w:ins>
          </w:p>
        </w:tc>
      </w:tr>
      <w:tr>
        <w:trPr>
          <w:ins w:id="189" w:author="svcMRProcess" w:date="2015-11-04T20:23:00Z"/>
        </w:trPr>
        <w:tc>
          <w:tcPr>
            <w:tcW w:w="6153" w:type="dxa"/>
          </w:tcPr>
          <w:p>
            <w:pPr>
              <w:pStyle w:val="nzTable"/>
              <w:ind w:left="645"/>
              <w:rPr>
                <w:ins w:id="190" w:author="svcMRProcess" w:date="2015-11-04T20:23:00Z"/>
                <w:i/>
                <w:iCs/>
              </w:rPr>
            </w:pPr>
            <w:ins w:id="191" w:author="svcMRProcess" w:date="2015-11-04T20:23:00Z">
              <w:r>
                <w:t>....................</w:t>
              </w:r>
            </w:ins>
          </w:p>
        </w:tc>
      </w:tr>
    </w:tbl>
    <w:p>
      <w:pPr>
        <w:pStyle w:val="nzSubsection"/>
        <w:rPr>
          <w:ins w:id="192" w:author="svcMRProcess" w:date="2015-11-04T20:23:00Z"/>
        </w:rPr>
      </w:pPr>
      <w:ins w:id="193" w:author="svcMRProcess" w:date="2015-11-04T20:23:00Z">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ins>
    </w:p>
    <w:p>
      <w:pPr>
        <w:pStyle w:val="nzSubsection"/>
        <w:rPr>
          <w:ins w:id="194" w:author="svcMRProcess" w:date="2015-11-04T20:23:00Z"/>
        </w:rPr>
      </w:pPr>
      <w:ins w:id="195" w:author="svcMRProcess" w:date="2015-11-04T20:23:00Z">
        <w:r>
          <w:tab/>
        </w:r>
        <w:r>
          <w:tab/>
          <w:t>“    Land Titles Office Diagram    ”.</w:t>
        </w:r>
      </w:ins>
    </w:p>
    <w:p>
      <w:pPr>
        <w:pStyle w:val="nzMiscellaneousHeading"/>
        <w:spacing w:before="120" w:after="120"/>
        <w:rPr>
          <w:ins w:id="196" w:author="svcMRProcess" w:date="2015-11-04T20:23:00Z"/>
          <w:b/>
        </w:rPr>
      </w:pPr>
      <w:ins w:id="197" w:author="svcMRProcess" w:date="2015-11-04T20:23:00Z">
        <w:r>
          <w:rPr>
            <w:b/>
            <w:bCs/>
          </w:rPr>
          <w:t>Table</w:t>
        </w:r>
      </w:ins>
    </w:p>
    <w:tbl>
      <w:tblPr>
        <w:tblW w:w="0" w:type="auto"/>
        <w:tblInd w:w="675" w:type="dxa"/>
        <w:tblLayout w:type="fixed"/>
        <w:tblLook w:val="0000" w:firstRow="0" w:lastRow="0" w:firstColumn="0" w:lastColumn="0" w:noHBand="0" w:noVBand="0"/>
      </w:tblPr>
      <w:tblGrid>
        <w:gridCol w:w="6153"/>
      </w:tblGrid>
      <w:tr>
        <w:trPr>
          <w:ins w:id="198" w:author="svcMRProcess" w:date="2015-11-04T20:23:00Z"/>
        </w:trPr>
        <w:tc>
          <w:tcPr>
            <w:tcW w:w="6153" w:type="dxa"/>
          </w:tcPr>
          <w:p>
            <w:pPr>
              <w:pStyle w:val="nzTable"/>
              <w:ind w:left="645"/>
              <w:rPr>
                <w:ins w:id="199" w:author="svcMRProcess" w:date="2015-11-04T20:23:00Z"/>
                <w:i/>
                <w:iCs/>
              </w:rPr>
            </w:pPr>
            <w:ins w:id="200" w:author="svcMRProcess" w:date="2015-11-04T20:23:00Z">
              <w:r>
                <w:t>....................</w:t>
              </w:r>
            </w:ins>
          </w:p>
        </w:tc>
      </w:tr>
      <w:tr>
        <w:trPr>
          <w:ins w:id="201" w:author="svcMRProcess" w:date="2015-11-04T20:23:00Z"/>
        </w:trPr>
        <w:tc>
          <w:tcPr>
            <w:tcW w:w="6153" w:type="dxa"/>
          </w:tcPr>
          <w:p>
            <w:pPr>
              <w:pStyle w:val="nzTable"/>
              <w:ind w:left="645"/>
              <w:rPr>
                <w:ins w:id="202" w:author="svcMRProcess" w:date="2015-11-04T20:23:00Z"/>
              </w:rPr>
            </w:pPr>
            <w:ins w:id="203" w:author="svcMRProcess" w:date="2015-11-04T20:23:00Z">
              <w:r>
                <w:rPr>
                  <w:i/>
                  <w:iCs/>
                </w:rPr>
                <w:t>Painters’ Registration Act 1961</w:t>
              </w:r>
              <w:r>
                <w:t xml:space="preserve"> Schedule</w:t>
              </w:r>
            </w:ins>
          </w:p>
        </w:tc>
      </w:tr>
      <w:tr>
        <w:trPr>
          <w:ins w:id="204" w:author="svcMRProcess" w:date="2015-11-04T20:23:00Z"/>
        </w:trPr>
        <w:tc>
          <w:tcPr>
            <w:tcW w:w="6153" w:type="dxa"/>
          </w:tcPr>
          <w:p>
            <w:pPr>
              <w:pStyle w:val="nzTable"/>
              <w:ind w:left="645"/>
              <w:rPr>
                <w:ins w:id="205" w:author="svcMRProcess" w:date="2015-11-04T20:23:00Z"/>
                <w:i/>
                <w:iCs/>
              </w:rPr>
            </w:pPr>
            <w:ins w:id="206" w:author="svcMRProcess" w:date="2015-11-04T20:23:00Z">
              <w:r>
                <w:t>....................</w:t>
              </w:r>
            </w:ins>
          </w:p>
        </w:tc>
      </w:tr>
    </w:tbl>
    <w:p>
      <w:pPr>
        <w:pStyle w:val="MiscClose"/>
        <w:rPr>
          <w:ins w:id="207" w:author="svcMRProcess" w:date="2015-11-04T20:23:00Z"/>
          <w:snapToGrid w:val="0"/>
        </w:rPr>
      </w:pPr>
      <w:ins w:id="208" w:author="svcMRProcess" w:date="2015-11-04T20:23:00Z">
        <w:r>
          <w:rPr>
            <w:snapToGrid w:val="0"/>
          </w:rPr>
          <w:t>”.</w:t>
        </w:r>
      </w:ins>
    </w:p>
    <w:p/>
    <w:p>
      <w:pPr>
        <w:sectPr>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rPr>
              <w:b w:val="0"/>
            </w:rPr>
          </w:pPr>
          <w:r>
            <w:rPr>
              <w:b w:val="0"/>
            </w:rPr>
            <w:fldChar w:fldCharType="begin"/>
          </w:r>
          <w:r>
            <w:rPr>
              <w:b w:val="0"/>
            </w:rPr>
            <w:instrText xml:space="preserve"> styleref CharSchNo</w:instrText>
          </w:r>
          <w:r>
            <w:rPr>
              <w:b w:val="0"/>
            </w:rPr>
            <w:fldChar w:fldCharType="end"/>
          </w:r>
        </w:p>
      </w:tc>
      <w:tc>
        <w:tcPr>
          <w:tcW w:w="5822" w:type="dxa"/>
        </w:tcPr>
        <w:p>
          <w:pPr>
            <w:pStyle w:val="HeaderSection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Painters’ Registration Act 1961</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rPr>
              <w:b w:val="0"/>
            </w:rPr>
          </w:pPr>
          <w:r>
            <w:rPr>
              <w:b w:val="0"/>
            </w:rPr>
            <w:fldChar w:fldCharType="begin"/>
          </w:r>
          <w:r>
            <w:rPr>
              <w:b w:val="0"/>
            </w:rPr>
            <w:instrText xml:space="preserve"> STYLEREF CharSchText \* MERGEFORMAT </w:instrText>
          </w:r>
          <w:r>
            <w:rPr>
              <w:b w:val="0"/>
            </w:rPr>
            <w:fldChar w:fldCharType="end"/>
          </w:r>
        </w:p>
      </w:tc>
      <w:tc>
        <w:tcPr>
          <w:tcW w:w="1534" w:type="dxa"/>
          <w:gridSpan w:val="2"/>
        </w:tcPr>
        <w:p>
          <w:pPr>
            <w:pStyle w:val="HeaderSectionRight"/>
            <w:rPr>
              <w:b w:val="0"/>
            </w:rPr>
          </w:pPr>
          <w:r>
            <w:rPr>
              <w:b w:val="0"/>
            </w:rPr>
            <w:fldChar w:fldCharType="begin"/>
          </w:r>
          <w:r>
            <w:rPr>
              <w:b w:val="0"/>
            </w:rPr>
            <w:instrText xml:space="preserve"> styleref CharSchNo </w:instrText>
          </w:r>
          <w:r>
            <w:rPr>
              <w:b w:val="0"/>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9364</Words>
  <Characters>45139</Characters>
  <Application>Microsoft Office Word</Application>
  <DocSecurity>0</DocSecurity>
  <Lines>1187</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03-c0-02 - 03-d0-02</dc:title>
  <dc:subject/>
  <dc:creator/>
  <cp:keywords/>
  <dc:description/>
  <cp:lastModifiedBy>svcMRProcess</cp:lastModifiedBy>
  <cp:revision>2</cp:revision>
  <cp:lastPrinted>1999-04-01T02:23:00Z</cp:lastPrinted>
  <dcterms:created xsi:type="dcterms:W3CDTF">2015-11-04T12:23:00Z</dcterms:created>
  <dcterms:modified xsi:type="dcterms:W3CDTF">2015-11-04T12:23:00Z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566</vt:i4>
  </property>
  <property fmtid="{D5CDD505-2E9C-101B-9397-08002B2CF9AE}" pid="6" name="FromSuffix">
    <vt:lpwstr>03-c0-02</vt:lpwstr>
  </property>
  <property fmtid="{D5CDD505-2E9C-101B-9397-08002B2CF9AE}" pid="7" name="FromAsAtDate">
    <vt:lpwstr>02 May 2005</vt:lpwstr>
  </property>
  <property fmtid="{D5CDD505-2E9C-101B-9397-08002B2CF9AE}" pid="8" name="ToSuffix">
    <vt:lpwstr>03-d0-02</vt:lpwstr>
  </property>
  <property fmtid="{D5CDD505-2E9C-101B-9397-08002B2CF9AE}" pid="9" name="ToAsAtDate">
    <vt:lpwstr>16 Nov 2006</vt:lpwstr>
  </property>
</Properties>
</file>