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and Bank Holidays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2008</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1:30:00Z"/>
        </w:trPr>
        <w:tc>
          <w:tcPr>
            <w:tcW w:w="2434" w:type="dxa"/>
            <w:vMerge w:val="restart"/>
          </w:tcPr>
          <w:p>
            <w:pPr>
              <w:rPr>
                <w:del w:id="1" w:author="svcMRProcess" w:date="2015-11-04T21:30:00Z"/>
              </w:rPr>
            </w:pPr>
          </w:p>
        </w:tc>
        <w:tc>
          <w:tcPr>
            <w:tcW w:w="2434" w:type="dxa"/>
            <w:vMerge w:val="restart"/>
          </w:tcPr>
          <w:p>
            <w:pPr>
              <w:jc w:val="center"/>
              <w:rPr>
                <w:del w:id="2" w:author="svcMRProcess" w:date="2015-11-04T21:30:00Z"/>
              </w:rPr>
            </w:pPr>
            <w:del w:id="3" w:author="svcMRProcess" w:date="2015-11-04T21:3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1:30:00Z"/>
              </w:rPr>
            </w:pPr>
            <w:del w:id="5" w:author="svcMRProcess" w:date="2015-11-04T21: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4T21:30:00Z"/>
        </w:trPr>
        <w:tc>
          <w:tcPr>
            <w:tcW w:w="2434" w:type="dxa"/>
            <w:vMerge/>
          </w:tcPr>
          <w:p>
            <w:pPr>
              <w:rPr>
                <w:del w:id="7" w:author="svcMRProcess" w:date="2015-11-04T21:30:00Z"/>
              </w:rPr>
            </w:pPr>
          </w:p>
        </w:tc>
        <w:tc>
          <w:tcPr>
            <w:tcW w:w="2434" w:type="dxa"/>
            <w:vMerge/>
          </w:tcPr>
          <w:p>
            <w:pPr>
              <w:jc w:val="center"/>
              <w:rPr>
                <w:del w:id="8" w:author="svcMRProcess" w:date="2015-11-04T21:30:00Z"/>
              </w:rPr>
            </w:pPr>
          </w:p>
        </w:tc>
        <w:tc>
          <w:tcPr>
            <w:tcW w:w="2434" w:type="dxa"/>
          </w:tcPr>
          <w:p>
            <w:pPr>
              <w:keepNext/>
              <w:rPr>
                <w:del w:id="9" w:author="svcMRProcess" w:date="2015-11-04T21:30:00Z"/>
                <w:b/>
                <w:sz w:val="22"/>
              </w:rPr>
            </w:pPr>
            <w:del w:id="10" w:author="svcMRProcess" w:date="2015-11-04T21:30:00Z">
              <w:r>
                <w:rPr>
                  <w:b/>
                  <w:sz w:val="22"/>
                </w:rPr>
                <w:delText>at 18</w:delText>
              </w:r>
              <w:r>
                <w:rPr>
                  <w:b/>
                  <w:snapToGrid w:val="0"/>
                  <w:sz w:val="22"/>
                </w:rPr>
                <w:delText xml:space="preserve"> April 2008</w:delText>
              </w:r>
            </w:del>
          </w:p>
        </w:tc>
      </w:tr>
    </w:tbl>
    <w:p>
      <w:pPr>
        <w:pStyle w:val="WA"/>
        <w:spacing w:before="120"/>
      </w:pPr>
      <w:r>
        <w:t>Western Australia</w:t>
      </w:r>
    </w:p>
    <w:p>
      <w:pPr>
        <w:pStyle w:val="NameofActReg"/>
      </w:pPr>
      <w:r>
        <w:t xml:space="preserve">Public and Bank Holidays Act 1972 </w:t>
      </w:r>
    </w:p>
    <w:p>
      <w:pPr>
        <w:pStyle w:val="LongTitle"/>
        <w:spacing w:after="240"/>
        <w:rPr>
          <w:snapToGrid w:val="0"/>
        </w:rPr>
      </w:pPr>
      <w:r>
        <w:rPr>
          <w:snapToGrid w:val="0"/>
        </w:rPr>
        <w:t>A</w:t>
      </w:r>
      <w:bookmarkStart w:id="11" w:name="_GoBack"/>
      <w:bookmarkEnd w:id="11"/>
      <w:r>
        <w:rPr>
          <w:snapToGrid w:val="0"/>
        </w:rPr>
        <w:t xml:space="preserve">n Act to rationalise public and bank holidays and for purposes incidental thereto. </w:t>
      </w:r>
    </w:p>
    <w:p>
      <w:pPr>
        <w:pStyle w:val="Heading5"/>
        <w:rPr>
          <w:snapToGrid w:val="0"/>
        </w:rPr>
      </w:pPr>
      <w:bookmarkStart w:id="12" w:name="_Toc459175639"/>
      <w:bookmarkStart w:id="13" w:name="_Toc532969412"/>
      <w:bookmarkStart w:id="14" w:name="_Toc85872434"/>
      <w:bookmarkStart w:id="15" w:name="_Toc85872527"/>
      <w:bookmarkStart w:id="16" w:name="_Toc197484390"/>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pPr>
        <w:pStyle w:val="Heading5"/>
        <w:rPr>
          <w:snapToGrid w:val="0"/>
        </w:rPr>
      </w:pPr>
      <w:bookmarkStart w:id="17" w:name="_Toc459175640"/>
      <w:bookmarkStart w:id="18" w:name="_Toc532969413"/>
      <w:bookmarkStart w:id="19" w:name="_Toc85872435"/>
      <w:bookmarkStart w:id="20" w:name="_Toc85872528"/>
      <w:bookmarkStart w:id="21" w:name="_Toc197484391"/>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pPr>
        <w:pStyle w:val="Heading5"/>
        <w:rPr>
          <w:snapToGrid w:val="0"/>
        </w:rPr>
      </w:pPr>
      <w:bookmarkStart w:id="22" w:name="_Toc459175641"/>
      <w:bookmarkStart w:id="23" w:name="_Toc532969414"/>
      <w:bookmarkStart w:id="24" w:name="_Toc85872436"/>
      <w:bookmarkStart w:id="25" w:name="_Toc85872529"/>
      <w:bookmarkStart w:id="26" w:name="_Toc197484392"/>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 by No. 71 of 1987 s. 4; No. 13 of 1993 s. 103; No. 20 of 2002 s. 24; amended in Gazette 15 Aug 2003 p. 3690.]</w:t>
      </w:r>
    </w:p>
    <w:p>
      <w:pPr>
        <w:pStyle w:val="Ednotesection"/>
        <w:keepNext/>
        <w:rPr>
          <w:i w:val="0"/>
        </w:rPr>
      </w:pPr>
      <w:r>
        <w:t>[</w:t>
      </w:r>
      <w:r>
        <w:rPr>
          <w:b/>
        </w:rPr>
        <w:t>4.</w:t>
      </w:r>
      <w:r>
        <w:tab/>
        <w:t>Omitted under the Reprints Act 1984 s. 7(4)(f).]</w:t>
      </w:r>
    </w:p>
    <w:p>
      <w:pPr>
        <w:pStyle w:val="Heading5"/>
        <w:rPr>
          <w:snapToGrid w:val="0"/>
        </w:rPr>
      </w:pPr>
      <w:bookmarkStart w:id="27" w:name="_Toc459175643"/>
      <w:bookmarkStart w:id="28" w:name="_Toc532969416"/>
      <w:bookmarkStart w:id="29" w:name="_Toc85872437"/>
      <w:bookmarkStart w:id="30" w:name="_Toc85872530"/>
      <w:bookmarkStart w:id="31" w:name="_Toc197484393"/>
      <w:r>
        <w:rPr>
          <w:rStyle w:val="CharSectno"/>
        </w:rPr>
        <w:t>5</w:t>
      </w:r>
      <w:r>
        <w:rPr>
          <w:snapToGrid w:val="0"/>
        </w:rPr>
        <w:t>.</w:t>
      </w:r>
      <w:r>
        <w:rPr>
          <w:snapToGrid w:val="0"/>
        </w:rPr>
        <w:tab/>
        <w:t>Days fixed as public and bank holidays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by No. 53 of 1983 s. 2.] </w:t>
      </w:r>
    </w:p>
    <w:p>
      <w:pPr>
        <w:pStyle w:val="Heading5"/>
      </w:pPr>
      <w:bookmarkStart w:id="32" w:name="_Toc85872438"/>
      <w:bookmarkStart w:id="33" w:name="_Toc85872531"/>
      <w:bookmarkStart w:id="34" w:name="_Toc197484394"/>
      <w:bookmarkStart w:id="35" w:name="_Toc459175645"/>
      <w:bookmarkStart w:id="36" w:name="_Toc532969418"/>
      <w:r>
        <w:rPr>
          <w:rStyle w:val="CharSectno"/>
        </w:rPr>
        <w:t>6</w:t>
      </w:r>
      <w:r>
        <w:t>.</w:t>
      </w:r>
      <w:r>
        <w:tab/>
        <w:t>Saturdays to be bank holidays</w:t>
      </w:r>
      <w:bookmarkEnd w:id="32"/>
      <w:bookmarkEnd w:id="33"/>
      <w:bookmarkEnd w:id="34"/>
    </w:p>
    <w:p>
      <w:pPr>
        <w:pStyle w:val="Subsection"/>
      </w:pPr>
      <w:r>
        <w:tab/>
      </w:r>
      <w:r>
        <w:tab/>
        <w:t>Saturday shall be a bank holiday throughout the State.</w:t>
      </w:r>
    </w:p>
    <w:p>
      <w:pPr>
        <w:pStyle w:val="Footnotesection"/>
      </w:pPr>
      <w:r>
        <w:tab/>
        <w:t>[Section 6 inserted by No. 32 of 2004 s. 4.]</w:t>
      </w:r>
    </w:p>
    <w:p>
      <w:pPr>
        <w:pStyle w:val="Heading5"/>
        <w:rPr>
          <w:snapToGrid w:val="0"/>
        </w:rPr>
      </w:pPr>
      <w:bookmarkStart w:id="37" w:name="_Toc85872439"/>
      <w:bookmarkStart w:id="38" w:name="_Toc85872532"/>
      <w:bookmarkStart w:id="39" w:name="_Toc197484395"/>
      <w:r>
        <w:rPr>
          <w:rStyle w:val="CharSectno"/>
        </w:rPr>
        <w:t>7</w:t>
      </w:r>
      <w:r>
        <w:rPr>
          <w:snapToGrid w:val="0"/>
        </w:rPr>
        <w:t>.</w:t>
      </w:r>
      <w:r>
        <w:rPr>
          <w:snapToGrid w:val="0"/>
        </w:rPr>
        <w:tab/>
        <w:t>Special public or bank holidays and half</w:t>
      </w:r>
      <w:r>
        <w:rPr>
          <w:snapToGrid w:val="0"/>
        </w:rPr>
        <w:noBreakHyphen/>
        <w:t>holidays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40" w:name="_Toc459175646"/>
      <w:bookmarkStart w:id="41" w:name="_Toc532969419"/>
      <w:bookmarkStart w:id="42" w:name="_Toc85872440"/>
      <w:bookmarkStart w:id="43" w:name="_Toc85872533"/>
      <w:bookmarkStart w:id="44" w:name="_Toc197484396"/>
      <w:r>
        <w:rPr>
          <w:rStyle w:val="CharSectno"/>
        </w:rPr>
        <w:t>8</w:t>
      </w:r>
      <w:r>
        <w:rPr>
          <w:snapToGrid w:val="0"/>
        </w:rPr>
        <w:t>.</w:t>
      </w:r>
      <w:r>
        <w:rPr>
          <w:snapToGrid w:val="0"/>
        </w:rPr>
        <w:tab/>
        <w:t>Power of Governor to alter day appointed for a public holiday or bank holiday</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by No. 6 of 1976 s. 2; No. 53 of 1983 s. 3; No. 71 of 1987 s. 5; No. 74 of 2003 s. 96.] </w:t>
      </w:r>
    </w:p>
    <w:p>
      <w:pPr>
        <w:pStyle w:val="Heading5"/>
        <w:rPr>
          <w:snapToGrid w:val="0"/>
        </w:rPr>
      </w:pPr>
      <w:bookmarkStart w:id="45" w:name="_Toc459175647"/>
      <w:bookmarkStart w:id="46" w:name="_Toc532969420"/>
      <w:bookmarkStart w:id="47" w:name="_Toc85872441"/>
      <w:bookmarkStart w:id="48" w:name="_Toc85872534"/>
      <w:bookmarkStart w:id="49" w:name="_Toc197484397"/>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by No. 71 of 1987 s. 6.] </w:t>
      </w:r>
    </w:p>
    <w:p>
      <w:pPr>
        <w:pStyle w:val="Heading5"/>
        <w:rPr>
          <w:snapToGrid w:val="0"/>
        </w:rPr>
      </w:pPr>
      <w:bookmarkStart w:id="50" w:name="_Toc459175648"/>
      <w:bookmarkStart w:id="51" w:name="_Toc532969421"/>
      <w:bookmarkStart w:id="52" w:name="_Toc85872442"/>
      <w:bookmarkStart w:id="53" w:name="_Toc85872535"/>
      <w:bookmarkStart w:id="54" w:name="_Toc197484398"/>
      <w:r>
        <w:rPr>
          <w:rStyle w:val="CharSectno"/>
        </w:rPr>
        <w:t>10</w:t>
      </w:r>
      <w:r>
        <w:rPr>
          <w:snapToGrid w:val="0"/>
        </w:rPr>
        <w:t>.</w:t>
      </w:r>
      <w:r>
        <w:rPr>
          <w:snapToGrid w:val="0"/>
        </w:rPr>
        <w:tab/>
        <w:t>Banks to be closed on bank holidays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 by No. 32 of 2004 s. 5.]</w:t>
      </w:r>
    </w:p>
    <w:p>
      <w:pPr>
        <w:pStyle w:val="Ednotedivision"/>
      </w:pPr>
      <w:r>
        <w:t>[First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5" w:name="_Toc85872443"/>
      <w:bookmarkStart w:id="56" w:name="_Toc85872536"/>
      <w:bookmarkStart w:id="57" w:name="_Toc195434192"/>
      <w:bookmarkStart w:id="58" w:name="_Toc195434239"/>
      <w:bookmarkStart w:id="59" w:name="_Toc195434272"/>
      <w:bookmarkStart w:id="60" w:name="_Toc195434284"/>
      <w:bookmarkStart w:id="61" w:name="_Toc195434514"/>
      <w:bookmarkStart w:id="62" w:name="_Toc195505969"/>
      <w:bookmarkStart w:id="63" w:name="_Toc196019935"/>
      <w:bookmarkStart w:id="64" w:name="_Toc196107561"/>
    </w:p>
    <w:p>
      <w:pPr>
        <w:pStyle w:val="yScheduleHeading"/>
      </w:pPr>
      <w:bookmarkStart w:id="65" w:name="_Toc196193062"/>
      <w:bookmarkStart w:id="66" w:name="_Toc197228278"/>
      <w:bookmarkStart w:id="67" w:name="_Toc197484399"/>
      <w:r>
        <w:rPr>
          <w:rStyle w:val="CharSchNo"/>
        </w:rPr>
        <w:t>Second Schedule</w:t>
      </w:r>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rPr>
          <w:spacing w:val="-2"/>
        </w:rPr>
      </w:pPr>
      <w:r>
        <w:rPr>
          <w:snapToGrid w:val="0"/>
        </w:rPr>
        <w:t>s. 5</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t>Foundation Day (Monday on or first Monday following the 1st June).</w:t>
      </w:r>
    </w:p>
    <w:p>
      <w:pPr>
        <w:pStyle w:val="yNumberedItem"/>
      </w:pPr>
      <w:r>
        <w:tab/>
        <w:t xml:space="preserve">Celebration Day for the Anniversary of the Birthday of the Reigning Sovereign (day to be appointed </w:t>
      </w:r>
      <w:del w:id="68" w:author="svcMRProcess" w:date="2015-11-04T21:30:00Z">
        <w:r>
          <w:delText>annually</w:delText>
        </w:r>
      </w:del>
      <w:ins w:id="69" w:author="svcMRProcess" w:date="2015-11-04T21:30:00Z">
        <w:r>
          <w:t>for each year</w:t>
        </w:r>
      </w:ins>
      <w:r>
        <w:t xml:space="preserve">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by No. 6 of 1976 s. 3; No. 53 of 1983 s. 4; No. 20 of 1992 s. </w:t>
      </w:r>
      <w:del w:id="70" w:author="svcMRProcess" w:date="2015-11-04T21:30:00Z">
        <w:r>
          <w:delText>4</w:delText>
        </w:r>
      </w:del>
      <w:ins w:id="71" w:author="svcMRProcess" w:date="2015-11-04T21:30:00Z">
        <w:r>
          <w:t>4; No. 8 of 2009 s. 103</w:t>
        </w:r>
      </w:ins>
      <w:r>
        <w:t>.]</w:t>
      </w:r>
    </w:p>
    <w:p>
      <w:pPr>
        <w:pStyle w:val="CentredBaseLine"/>
        <w:jc w:val="center"/>
        <w:rPr>
          <w:del w:id="72" w:author="svcMRProcess" w:date="2015-11-04T21:30:00Z"/>
        </w:rPr>
      </w:pPr>
      <w:bookmarkStart w:id="73" w:name="_Toc85872444"/>
      <w:bookmarkStart w:id="74" w:name="_Toc85872537"/>
      <w:bookmarkStart w:id="75" w:name="_Toc195434193"/>
      <w:bookmarkStart w:id="76" w:name="_Toc195434240"/>
      <w:bookmarkStart w:id="77" w:name="_Toc195434273"/>
      <w:bookmarkStart w:id="78" w:name="_Toc195434285"/>
      <w:bookmarkStart w:id="79" w:name="_Toc195434515"/>
      <w:bookmarkStart w:id="80" w:name="_Toc195505970"/>
      <w:bookmarkStart w:id="81" w:name="_Toc196019936"/>
      <w:bookmarkStart w:id="82" w:name="_Toc196107562"/>
      <w:del w:id="83" w:author="svcMRProcess" w:date="2015-11-04T21:3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84" w:author="svcMRProcess" w:date="2015-11-04T21:30: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5" w:name="_Toc196193063"/>
      <w:bookmarkStart w:id="86" w:name="_Toc197228279"/>
      <w:bookmarkStart w:id="87" w:name="_Toc197484400"/>
      <w:r>
        <w:t>Notes</w:t>
      </w:r>
      <w:bookmarkEnd w:id="73"/>
      <w:bookmarkEnd w:id="74"/>
      <w:bookmarkEnd w:id="75"/>
      <w:bookmarkEnd w:id="76"/>
      <w:bookmarkEnd w:id="77"/>
      <w:bookmarkEnd w:id="78"/>
      <w:bookmarkEnd w:id="79"/>
      <w:bookmarkEnd w:id="80"/>
      <w:bookmarkEnd w:id="81"/>
      <w:bookmarkEnd w:id="82"/>
      <w:bookmarkEnd w:id="85"/>
      <w:bookmarkEnd w:id="86"/>
      <w:bookmarkEnd w:id="87"/>
    </w:p>
    <w:p>
      <w:pPr>
        <w:pStyle w:val="nSubsection"/>
        <w:rPr>
          <w:snapToGrid w:val="0"/>
        </w:rPr>
      </w:pPr>
      <w:r>
        <w:rPr>
          <w:snapToGrid w:val="0"/>
          <w:vertAlign w:val="superscript"/>
        </w:rPr>
        <w:t>1</w:t>
      </w:r>
      <w:r>
        <w:rPr>
          <w:snapToGrid w:val="0"/>
        </w:rPr>
        <w:tab/>
        <w:t xml:space="preserve">This </w:t>
      </w:r>
      <w:del w:id="88" w:author="svcMRProcess" w:date="2015-11-04T21:30:00Z">
        <w:r>
          <w:rPr>
            <w:snapToGrid w:val="0"/>
          </w:rPr>
          <w:delText xml:space="preserve">reprint </w:delText>
        </w:r>
      </w:del>
      <w:r>
        <w:rPr>
          <w:snapToGrid w:val="0"/>
        </w:rPr>
        <w:t>is a compilation</w:t>
      </w:r>
      <w:del w:id="89" w:author="svcMRProcess" w:date="2015-11-04T21:30:00Z">
        <w:r>
          <w:rPr>
            <w:snapToGrid w:val="0"/>
          </w:rPr>
          <w:delText xml:space="preserve"> as at 18 April 2008</w:delText>
        </w:r>
      </w:del>
      <w:r>
        <w:rPr>
          <w:snapToGrid w:val="0"/>
        </w:rPr>
        <w:t xml:space="preserve"> of the </w:t>
      </w:r>
      <w:r>
        <w:rPr>
          <w:i/>
          <w:iCs/>
          <w:snapToGrid w:val="0"/>
        </w:rPr>
        <w:t>Public and Bank Holidays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197484401"/>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1134"/>
        <w:gridCol w:w="1134"/>
        <w:gridCol w:w="52"/>
        <w:gridCol w:w="2500"/>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86" w:type="dxa"/>
            <w:gridSpan w:val="2"/>
            <w:tcBorders>
              <w:top w:val="single" w:sz="8" w:space="0" w:color="auto"/>
              <w:bottom w:val="single" w:sz="8" w:space="0" w:color="auto"/>
            </w:tcBorders>
          </w:tcPr>
          <w:p>
            <w:pPr>
              <w:pStyle w:val="nTable"/>
              <w:spacing w:after="40"/>
              <w:ind w:left="57"/>
              <w:rPr>
                <w:b/>
                <w:sz w:val="19"/>
              </w:rPr>
            </w:pPr>
            <w:r>
              <w:rPr>
                <w:b/>
                <w:sz w:val="19"/>
              </w:rPr>
              <w:t>Assent</w:t>
            </w:r>
          </w:p>
        </w:tc>
        <w:tc>
          <w:tcPr>
            <w:tcW w:w="2500" w:type="dxa"/>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1"/>
          <w:wAfter w:w="29" w:type="dxa"/>
          <w:cantSplit/>
        </w:trPr>
        <w:tc>
          <w:tcPr>
            <w:tcW w:w="2268" w:type="dxa"/>
            <w:gridSpan w:val="2"/>
            <w:tcBorders>
              <w:top w:val="single" w:sz="8" w:space="0" w:color="auto"/>
            </w:tcBorders>
          </w:tcPr>
          <w:p>
            <w:pPr>
              <w:pStyle w:val="nTable"/>
              <w:spacing w:after="40"/>
              <w:ind w:right="113"/>
              <w:rPr>
                <w:sz w:val="19"/>
              </w:rPr>
            </w:pPr>
            <w:r>
              <w:rPr>
                <w:i/>
                <w:sz w:val="19"/>
              </w:rPr>
              <w:t>Public and Bank Holidays Act 1972</w:t>
            </w:r>
          </w:p>
        </w:tc>
        <w:tc>
          <w:tcPr>
            <w:tcW w:w="1134" w:type="dxa"/>
            <w:tcBorders>
              <w:top w:val="single" w:sz="8" w:space="0" w:color="auto"/>
            </w:tcBorders>
          </w:tcPr>
          <w:p>
            <w:pPr>
              <w:pStyle w:val="nTable"/>
              <w:spacing w:after="40"/>
              <w:ind w:left="57"/>
              <w:rPr>
                <w:sz w:val="19"/>
              </w:rPr>
            </w:pPr>
            <w:r>
              <w:rPr>
                <w:sz w:val="19"/>
              </w:rPr>
              <w:t>63 of 1972</w:t>
            </w:r>
          </w:p>
        </w:tc>
        <w:tc>
          <w:tcPr>
            <w:tcW w:w="1186" w:type="dxa"/>
            <w:gridSpan w:val="2"/>
            <w:tcBorders>
              <w:top w:val="single" w:sz="8" w:space="0" w:color="auto"/>
            </w:tcBorders>
          </w:tcPr>
          <w:p>
            <w:pPr>
              <w:pStyle w:val="nTable"/>
              <w:spacing w:after="40"/>
              <w:ind w:left="57"/>
              <w:rPr>
                <w:sz w:val="19"/>
              </w:rPr>
            </w:pPr>
            <w:r>
              <w:rPr>
                <w:sz w:val="19"/>
              </w:rPr>
              <w:t>31 Oct 1972</w:t>
            </w:r>
          </w:p>
        </w:tc>
        <w:tc>
          <w:tcPr>
            <w:tcW w:w="2500" w:type="dxa"/>
            <w:tcBorders>
              <w:top w:val="single" w:sz="8" w:space="0" w:color="auto"/>
            </w:tcBorders>
          </w:tcPr>
          <w:p>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trPr>
          <w:gridAfter w:val="1"/>
          <w:wAfter w:w="29" w:type="dxa"/>
          <w:cantSplit/>
        </w:trPr>
        <w:tc>
          <w:tcPr>
            <w:tcW w:w="2268" w:type="dxa"/>
            <w:gridSpan w:val="2"/>
          </w:tcPr>
          <w:p>
            <w:pPr>
              <w:pStyle w:val="nTable"/>
              <w:spacing w:after="40"/>
              <w:ind w:right="113"/>
              <w:rPr>
                <w:sz w:val="19"/>
              </w:rPr>
            </w:pPr>
            <w:r>
              <w:rPr>
                <w:i/>
                <w:sz w:val="19"/>
              </w:rPr>
              <w:t>Public and Bank Holidays Act Amendment Act 1976</w:t>
            </w:r>
          </w:p>
        </w:tc>
        <w:tc>
          <w:tcPr>
            <w:tcW w:w="1134" w:type="dxa"/>
          </w:tcPr>
          <w:p>
            <w:pPr>
              <w:pStyle w:val="nTable"/>
              <w:spacing w:after="40"/>
              <w:ind w:left="57"/>
              <w:rPr>
                <w:sz w:val="19"/>
              </w:rPr>
            </w:pPr>
            <w:r>
              <w:rPr>
                <w:sz w:val="19"/>
              </w:rPr>
              <w:t>6 of 1976</w:t>
            </w:r>
          </w:p>
        </w:tc>
        <w:tc>
          <w:tcPr>
            <w:tcW w:w="1186" w:type="dxa"/>
            <w:gridSpan w:val="2"/>
          </w:tcPr>
          <w:p>
            <w:pPr>
              <w:pStyle w:val="nTable"/>
              <w:spacing w:after="40"/>
              <w:ind w:left="57"/>
              <w:rPr>
                <w:sz w:val="19"/>
              </w:rPr>
            </w:pPr>
            <w:r>
              <w:rPr>
                <w:sz w:val="19"/>
              </w:rPr>
              <w:t>25 May 1976</w:t>
            </w:r>
          </w:p>
        </w:tc>
        <w:tc>
          <w:tcPr>
            <w:tcW w:w="2500" w:type="dxa"/>
          </w:tcPr>
          <w:p>
            <w:pPr>
              <w:pStyle w:val="nTable"/>
              <w:spacing w:after="40"/>
              <w:ind w:left="57"/>
              <w:rPr>
                <w:sz w:val="19"/>
              </w:rPr>
            </w:pPr>
            <w:r>
              <w:rPr>
                <w:sz w:val="19"/>
              </w:rPr>
              <w:t>25 May 1976</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1983</w:t>
            </w:r>
          </w:p>
        </w:tc>
        <w:tc>
          <w:tcPr>
            <w:tcW w:w="1134" w:type="dxa"/>
          </w:tcPr>
          <w:p>
            <w:pPr>
              <w:pStyle w:val="nTable"/>
              <w:spacing w:after="40"/>
              <w:ind w:left="57"/>
              <w:rPr>
                <w:sz w:val="19"/>
              </w:rPr>
            </w:pPr>
            <w:r>
              <w:rPr>
                <w:sz w:val="19"/>
              </w:rPr>
              <w:t>53 of 1983</w:t>
            </w:r>
          </w:p>
        </w:tc>
        <w:tc>
          <w:tcPr>
            <w:tcW w:w="1186" w:type="dxa"/>
            <w:gridSpan w:val="2"/>
          </w:tcPr>
          <w:p>
            <w:pPr>
              <w:pStyle w:val="nTable"/>
              <w:spacing w:after="40"/>
              <w:ind w:left="57"/>
              <w:rPr>
                <w:sz w:val="19"/>
              </w:rPr>
            </w:pPr>
            <w:r>
              <w:rPr>
                <w:sz w:val="19"/>
              </w:rPr>
              <w:t>13 Dec 1983</w:t>
            </w:r>
          </w:p>
        </w:tc>
        <w:tc>
          <w:tcPr>
            <w:tcW w:w="2500" w:type="dxa"/>
          </w:tcPr>
          <w:p>
            <w:pPr>
              <w:pStyle w:val="nTable"/>
              <w:spacing w:after="40"/>
              <w:ind w:left="57"/>
              <w:rPr>
                <w:sz w:val="19"/>
              </w:rPr>
            </w:pPr>
            <w:r>
              <w:rPr>
                <w:sz w:val="19"/>
              </w:rPr>
              <w:t>13 Dec 1983</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1987</w:t>
            </w:r>
          </w:p>
        </w:tc>
        <w:tc>
          <w:tcPr>
            <w:tcW w:w="1134" w:type="dxa"/>
          </w:tcPr>
          <w:p>
            <w:pPr>
              <w:pStyle w:val="nTable"/>
              <w:spacing w:after="40"/>
              <w:ind w:left="57"/>
              <w:rPr>
                <w:sz w:val="19"/>
              </w:rPr>
            </w:pPr>
            <w:r>
              <w:rPr>
                <w:sz w:val="19"/>
              </w:rPr>
              <w:t>71 of 1987</w:t>
            </w:r>
          </w:p>
        </w:tc>
        <w:tc>
          <w:tcPr>
            <w:tcW w:w="1186" w:type="dxa"/>
            <w:gridSpan w:val="2"/>
          </w:tcPr>
          <w:p>
            <w:pPr>
              <w:pStyle w:val="nTable"/>
              <w:spacing w:after="40"/>
              <w:ind w:left="57"/>
              <w:rPr>
                <w:sz w:val="19"/>
              </w:rPr>
            </w:pPr>
            <w:r>
              <w:rPr>
                <w:sz w:val="19"/>
              </w:rPr>
              <w:t>22 Nov 1987</w:t>
            </w:r>
          </w:p>
        </w:tc>
        <w:tc>
          <w:tcPr>
            <w:tcW w:w="2500" w:type="dxa"/>
          </w:tcPr>
          <w:p>
            <w:pPr>
              <w:pStyle w:val="nTable"/>
              <w:spacing w:after="40"/>
              <w:ind w:left="57"/>
              <w:rPr>
                <w:sz w:val="19"/>
              </w:rPr>
            </w:pPr>
            <w:r>
              <w:rPr>
                <w:sz w:val="19"/>
              </w:rPr>
              <w:t>22 Nov 1987 (see s. 2)</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1992</w:t>
            </w:r>
          </w:p>
        </w:tc>
        <w:tc>
          <w:tcPr>
            <w:tcW w:w="1134" w:type="dxa"/>
          </w:tcPr>
          <w:p>
            <w:pPr>
              <w:pStyle w:val="nTable"/>
              <w:spacing w:after="40"/>
              <w:ind w:left="57"/>
              <w:rPr>
                <w:sz w:val="19"/>
              </w:rPr>
            </w:pPr>
            <w:r>
              <w:rPr>
                <w:sz w:val="19"/>
              </w:rPr>
              <w:t>20 of 1992</w:t>
            </w:r>
          </w:p>
        </w:tc>
        <w:tc>
          <w:tcPr>
            <w:tcW w:w="1186" w:type="dxa"/>
            <w:gridSpan w:val="2"/>
          </w:tcPr>
          <w:p>
            <w:pPr>
              <w:pStyle w:val="nTable"/>
              <w:spacing w:after="40"/>
              <w:ind w:left="57"/>
              <w:rPr>
                <w:sz w:val="19"/>
              </w:rPr>
            </w:pPr>
            <w:r>
              <w:rPr>
                <w:sz w:val="19"/>
              </w:rPr>
              <w:t>17 Jun 1992</w:t>
            </w:r>
          </w:p>
        </w:tc>
        <w:tc>
          <w:tcPr>
            <w:tcW w:w="2500" w:type="dxa"/>
          </w:tcPr>
          <w:p>
            <w:pPr>
              <w:pStyle w:val="nTable"/>
              <w:spacing w:after="40"/>
              <w:ind w:left="57"/>
              <w:rPr>
                <w:sz w:val="19"/>
              </w:rPr>
            </w:pPr>
            <w:r>
              <w:rPr>
                <w:sz w:val="19"/>
              </w:rPr>
              <w:t>1 Jan 1994 (see s. 2)</w:t>
            </w:r>
          </w:p>
        </w:tc>
      </w:tr>
      <w:tr>
        <w:trPr>
          <w:gridAfter w:val="1"/>
          <w:wAfter w:w="29" w:type="dxa"/>
          <w:cantSplit/>
        </w:trPr>
        <w:tc>
          <w:tcPr>
            <w:tcW w:w="2268" w:type="dxa"/>
            <w:gridSpan w:val="2"/>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ind w:left="57"/>
              <w:rPr>
                <w:sz w:val="19"/>
              </w:rPr>
            </w:pPr>
            <w:r>
              <w:rPr>
                <w:sz w:val="19"/>
              </w:rPr>
              <w:t>13 of 1993</w:t>
            </w:r>
          </w:p>
        </w:tc>
        <w:tc>
          <w:tcPr>
            <w:tcW w:w="1186" w:type="dxa"/>
            <w:gridSpan w:val="2"/>
          </w:tcPr>
          <w:p>
            <w:pPr>
              <w:pStyle w:val="nTable"/>
              <w:spacing w:after="40"/>
              <w:ind w:left="57"/>
              <w:rPr>
                <w:sz w:val="19"/>
              </w:rPr>
            </w:pPr>
            <w:r>
              <w:rPr>
                <w:sz w:val="19"/>
              </w:rPr>
              <w:t>23 Nov 1993</w:t>
            </w:r>
          </w:p>
        </w:tc>
        <w:tc>
          <w:tcPr>
            <w:tcW w:w="2500" w:type="dxa"/>
          </w:tcPr>
          <w:p>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trPr>
          <w:gridAfter w:val="1"/>
          <w:wAfter w:w="29" w:type="dxa"/>
          <w:cantSplit/>
        </w:trPr>
        <w:tc>
          <w:tcPr>
            <w:tcW w:w="7088" w:type="dxa"/>
            <w:gridSpan w:val="6"/>
          </w:tcPr>
          <w:p>
            <w:pPr>
              <w:pStyle w:val="nTable"/>
              <w:spacing w:after="40"/>
              <w:ind w:left="57"/>
              <w:rPr>
                <w:sz w:val="19"/>
              </w:rPr>
            </w:pPr>
            <w:r>
              <w:rPr>
                <w:b/>
                <w:sz w:val="19"/>
              </w:rPr>
              <w:t xml:space="preserve">Reprint of the </w:t>
            </w:r>
            <w:r>
              <w:rPr>
                <w:b/>
                <w:i/>
                <w:sz w:val="19"/>
              </w:rPr>
              <w:t>Public and Bank Holidays Act 1972</w:t>
            </w:r>
            <w:r>
              <w:rPr>
                <w:b/>
                <w:sz w:val="19"/>
              </w:rPr>
              <w:t xml:space="preserve"> as at 4 Jan 2002 </w:t>
            </w:r>
            <w:r>
              <w:rPr>
                <w:sz w:val="19"/>
              </w:rPr>
              <w:t>(includes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Labour Relations Reform Act 2002</w:t>
            </w:r>
            <w:r>
              <w:rPr>
                <w:sz w:val="19"/>
              </w:rPr>
              <w:t xml:space="preserve"> s. 24</w:t>
            </w:r>
          </w:p>
        </w:tc>
        <w:tc>
          <w:tcPr>
            <w:tcW w:w="1134" w:type="dxa"/>
          </w:tcPr>
          <w:p>
            <w:pPr>
              <w:pStyle w:val="nTable"/>
              <w:spacing w:after="40"/>
              <w:ind w:left="57"/>
              <w:rPr>
                <w:sz w:val="19"/>
              </w:rPr>
            </w:pPr>
            <w:bookmarkStart w:id="91" w:name="UpToHere"/>
            <w:bookmarkEnd w:id="91"/>
            <w:r>
              <w:rPr>
                <w:sz w:val="19"/>
              </w:rPr>
              <w:t>20 of 2002</w:t>
            </w:r>
          </w:p>
        </w:tc>
        <w:tc>
          <w:tcPr>
            <w:tcW w:w="1186" w:type="dxa"/>
            <w:gridSpan w:val="2"/>
          </w:tcPr>
          <w:p>
            <w:pPr>
              <w:pStyle w:val="nTable"/>
              <w:spacing w:after="40"/>
              <w:ind w:left="57"/>
              <w:rPr>
                <w:sz w:val="19"/>
              </w:rPr>
            </w:pPr>
            <w:r>
              <w:rPr>
                <w:sz w:val="19"/>
              </w:rPr>
              <w:t>8 Jul 2002</w:t>
            </w:r>
          </w:p>
        </w:tc>
        <w:tc>
          <w:tcPr>
            <w:tcW w:w="2500" w:type="dxa"/>
          </w:tcPr>
          <w:p>
            <w:pPr>
              <w:pStyle w:val="nTable"/>
              <w:spacing w:after="40"/>
              <w:ind w:left="57"/>
              <w:rPr>
                <w:caps/>
                <w:sz w:val="19"/>
              </w:rPr>
            </w:pPr>
            <w:r>
              <w:rPr>
                <w:sz w:val="19"/>
              </w:rPr>
              <w:t xml:space="preserve">15 Sep 2002 (see s. 2(1) and </w:t>
            </w:r>
            <w:r>
              <w:rPr>
                <w:i/>
                <w:sz w:val="19"/>
              </w:rPr>
              <w:t>Gazette</w:t>
            </w:r>
            <w:r>
              <w:rPr>
                <w:sz w:val="19"/>
              </w:rPr>
              <w:t xml:space="preserve"> 6 Sep 2002 p. 4487)</w:t>
            </w:r>
          </w:p>
        </w:tc>
      </w:tr>
      <w:tr>
        <w:trPr>
          <w:gridBefore w:val="1"/>
          <w:wBefore w:w="28" w:type="dxa"/>
          <w:cantSplit/>
        </w:trPr>
        <w:tc>
          <w:tcPr>
            <w:tcW w:w="4560" w:type="dxa"/>
            <w:gridSpan w:val="4"/>
          </w:tcPr>
          <w:p>
            <w:pPr>
              <w:pStyle w:val="nTable"/>
              <w:spacing w:after="40"/>
              <w:rPr>
                <w:sz w:val="19"/>
              </w:rPr>
            </w:pPr>
            <w:r>
              <w:rPr>
                <w:i/>
                <w:spacing w:val="-2"/>
                <w:sz w:val="19"/>
              </w:rPr>
              <w:t>Labour Relations Reform (Consequential Amendments) Regulations 2003</w:t>
            </w:r>
            <w:r>
              <w:rPr>
                <w:spacing w:val="-2"/>
                <w:sz w:val="19"/>
              </w:rPr>
              <w:t xml:space="preserve"> r. 13 published in </w:t>
            </w:r>
            <w:r>
              <w:rPr>
                <w:i/>
                <w:spacing w:val="-2"/>
                <w:sz w:val="19"/>
              </w:rPr>
              <w:t>Gazette</w:t>
            </w:r>
            <w:r>
              <w:rPr>
                <w:spacing w:val="-2"/>
                <w:sz w:val="19"/>
              </w:rPr>
              <w:t xml:space="preserve"> </w:t>
            </w:r>
            <w:r>
              <w:rPr>
                <w:sz w:val="19"/>
              </w:rPr>
              <w:t>15 Aug 2003 p. 3685</w:t>
            </w:r>
            <w:r>
              <w:rPr>
                <w:sz w:val="19"/>
              </w:rPr>
              <w:noBreakHyphen/>
              <w:t>92</w:t>
            </w:r>
          </w:p>
        </w:tc>
        <w:tc>
          <w:tcPr>
            <w:tcW w:w="2529" w:type="dxa"/>
            <w:gridSpan w:val="2"/>
          </w:tcPr>
          <w:p>
            <w:pPr>
              <w:pStyle w:val="nTable"/>
              <w:spacing w:after="40"/>
              <w:rPr>
                <w:sz w:val="19"/>
              </w:rPr>
            </w:pPr>
            <w:r>
              <w:rPr>
                <w:spacing w:val="-2"/>
                <w:sz w:val="19"/>
              </w:rPr>
              <w:t>15 Sep 2003 (see r. 2)</w:t>
            </w:r>
          </w:p>
        </w:tc>
      </w:tr>
      <w:tr>
        <w:trPr>
          <w:gridAfter w:val="1"/>
          <w:wAfter w:w="29"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96</w:t>
            </w:r>
          </w:p>
        </w:tc>
        <w:tc>
          <w:tcPr>
            <w:tcW w:w="1134" w:type="dxa"/>
          </w:tcPr>
          <w:p>
            <w:pPr>
              <w:pStyle w:val="nTable"/>
              <w:spacing w:after="40"/>
              <w:ind w:left="57"/>
              <w:rPr>
                <w:sz w:val="19"/>
              </w:rPr>
            </w:pPr>
            <w:r>
              <w:rPr>
                <w:sz w:val="19"/>
              </w:rPr>
              <w:t>74 of 2003</w:t>
            </w:r>
          </w:p>
        </w:tc>
        <w:tc>
          <w:tcPr>
            <w:tcW w:w="1186" w:type="dxa"/>
            <w:gridSpan w:val="2"/>
          </w:tcPr>
          <w:p>
            <w:pPr>
              <w:pStyle w:val="nTable"/>
              <w:spacing w:after="40"/>
              <w:ind w:left="57"/>
              <w:rPr>
                <w:sz w:val="19"/>
              </w:rPr>
            </w:pPr>
            <w:r>
              <w:rPr>
                <w:sz w:val="19"/>
              </w:rPr>
              <w:t>15 Dec 2003</w:t>
            </w:r>
          </w:p>
        </w:tc>
        <w:tc>
          <w:tcPr>
            <w:tcW w:w="2500" w:type="dxa"/>
          </w:tcPr>
          <w:p>
            <w:pPr>
              <w:pStyle w:val="nTable"/>
              <w:spacing w:after="40"/>
              <w:ind w:left="57"/>
              <w:rPr>
                <w:caps/>
                <w:sz w:val="19"/>
              </w:rPr>
            </w:pPr>
            <w:r>
              <w:rPr>
                <w:spacing w:val="-2"/>
                <w:sz w:val="19"/>
              </w:rPr>
              <w:t>15 Dec 2003 (see s. 2)</w:t>
            </w:r>
          </w:p>
        </w:tc>
      </w:tr>
      <w:tr>
        <w:trPr>
          <w:gridAfter w:val="1"/>
          <w:wAfter w:w="29" w:type="dxa"/>
          <w:cantSplit/>
        </w:trPr>
        <w:tc>
          <w:tcPr>
            <w:tcW w:w="2268" w:type="dxa"/>
            <w:gridSpan w:val="2"/>
          </w:tcPr>
          <w:p>
            <w:pPr>
              <w:pStyle w:val="nTable"/>
              <w:spacing w:after="40"/>
              <w:ind w:right="113"/>
              <w:rPr>
                <w:i/>
                <w:sz w:val="19"/>
              </w:rPr>
            </w:pPr>
            <w:r>
              <w:rPr>
                <w:i/>
                <w:sz w:val="19"/>
              </w:rPr>
              <w:t>Public and Bank Holidays Amendment Act 2004</w:t>
            </w:r>
          </w:p>
        </w:tc>
        <w:tc>
          <w:tcPr>
            <w:tcW w:w="1134" w:type="dxa"/>
          </w:tcPr>
          <w:p>
            <w:pPr>
              <w:pStyle w:val="nTable"/>
              <w:spacing w:after="40"/>
              <w:ind w:left="57"/>
              <w:rPr>
                <w:sz w:val="19"/>
              </w:rPr>
            </w:pPr>
            <w:r>
              <w:rPr>
                <w:sz w:val="19"/>
              </w:rPr>
              <w:t>32 of 2004</w:t>
            </w:r>
          </w:p>
        </w:tc>
        <w:tc>
          <w:tcPr>
            <w:tcW w:w="1186" w:type="dxa"/>
            <w:gridSpan w:val="2"/>
          </w:tcPr>
          <w:p>
            <w:pPr>
              <w:pStyle w:val="nTable"/>
              <w:spacing w:after="40"/>
              <w:ind w:left="57"/>
              <w:rPr>
                <w:sz w:val="19"/>
              </w:rPr>
            </w:pPr>
            <w:r>
              <w:rPr>
                <w:sz w:val="19"/>
              </w:rPr>
              <w:t>14 Oct 2004</w:t>
            </w:r>
          </w:p>
        </w:tc>
        <w:tc>
          <w:tcPr>
            <w:tcW w:w="2500" w:type="dxa"/>
          </w:tcPr>
          <w:p>
            <w:pPr>
              <w:pStyle w:val="nTable"/>
              <w:spacing w:after="40"/>
              <w:ind w:left="57"/>
              <w:rPr>
                <w:spacing w:val="-2"/>
                <w:sz w:val="19"/>
              </w:rPr>
            </w:pPr>
            <w:r>
              <w:rPr>
                <w:spacing w:val="-2"/>
                <w:sz w:val="19"/>
              </w:rPr>
              <w:t>14 Oct 2004 (see s. 2)</w:t>
            </w:r>
          </w:p>
        </w:tc>
      </w:tr>
      <w:tr>
        <w:trPr>
          <w:gridAfter w:val="1"/>
          <w:wAfter w:w="29" w:type="dxa"/>
          <w:cantSplit/>
        </w:trPr>
        <w:tc>
          <w:tcPr>
            <w:tcW w:w="7088" w:type="dxa"/>
            <w:gridSpan w:val="6"/>
          </w:tcPr>
          <w:p>
            <w:pPr>
              <w:pStyle w:val="nTable"/>
              <w:spacing w:after="40"/>
              <w:ind w:left="-28"/>
              <w:rPr>
                <w:spacing w:val="-2"/>
                <w:sz w:val="19"/>
              </w:rPr>
            </w:pPr>
            <w:r>
              <w:rPr>
                <w:b/>
                <w:sz w:val="19"/>
              </w:rPr>
              <w:t xml:space="preserve">Reprint 2:  The </w:t>
            </w:r>
            <w:r>
              <w:rPr>
                <w:b/>
                <w:i/>
                <w:sz w:val="19"/>
              </w:rPr>
              <w:t>Public and Bank Holidays Act 1972</w:t>
            </w:r>
            <w:r>
              <w:rPr>
                <w:b/>
                <w:sz w:val="19"/>
              </w:rPr>
              <w:t xml:space="preserve"> as at 18 Apr 2008 </w:t>
            </w:r>
            <w:r>
              <w:rPr>
                <w:sz w:val="19"/>
              </w:rPr>
              <w:t>(includes amendments listed above)</w:t>
            </w:r>
          </w:p>
        </w:tc>
      </w:tr>
      <w:tr>
        <w:trPr>
          <w:gridAfter w:val="1"/>
          <w:wAfter w:w="29" w:type="dxa"/>
          <w:cantSplit/>
          <w:ins w:id="92" w:author="svcMRProcess" w:date="2015-11-04T21:30:00Z"/>
        </w:trPr>
        <w:tc>
          <w:tcPr>
            <w:tcW w:w="2268" w:type="dxa"/>
            <w:gridSpan w:val="2"/>
            <w:tcBorders>
              <w:bottom w:val="single" w:sz="8" w:space="0" w:color="auto"/>
            </w:tcBorders>
          </w:tcPr>
          <w:p>
            <w:pPr>
              <w:pStyle w:val="nTable"/>
              <w:spacing w:after="40"/>
              <w:ind w:right="113"/>
              <w:rPr>
                <w:ins w:id="93" w:author="svcMRProcess" w:date="2015-11-04T21:30:00Z"/>
                <w:iCs/>
                <w:sz w:val="19"/>
              </w:rPr>
            </w:pPr>
            <w:ins w:id="94" w:author="svcMRProcess" w:date="2015-11-04T21:30:00Z">
              <w:r>
                <w:rPr>
                  <w:i/>
                  <w:sz w:val="19"/>
                </w:rPr>
                <w:t>Statutes (Repeals and Miscellaneous Amendments) Act 2009</w:t>
              </w:r>
              <w:r>
                <w:rPr>
                  <w:iCs/>
                  <w:sz w:val="19"/>
                </w:rPr>
                <w:t xml:space="preserve"> s. 103</w:t>
              </w:r>
            </w:ins>
          </w:p>
        </w:tc>
        <w:tc>
          <w:tcPr>
            <w:tcW w:w="1134" w:type="dxa"/>
            <w:tcBorders>
              <w:bottom w:val="single" w:sz="8" w:space="0" w:color="auto"/>
            </w:tcBorders>
          </w:tcPr>
          <w:p>
            <w:pPr>
              <w:pStyle w:val="nTable"/>
              <w:spacing w:after="40"/>
              <w:rPr>
                <w:ins w:id="95" w:author="svcMRProcess" w:date="2015-11-04T21:30:00Z"/>
                <w:sz w:val="19"/>
              </w:rPr>
            </w:pPr>
            <w:ins w:id="96" w:author="svcMRProcess" w:date="2015-11-04T21:30:00Z">
              <w:r>
                <w:rPr>
                  <w:sz w:val="19"/>
                </w:rPr>
                <w:t xml:space="preserve">8 of 2009 </w:t>
              </w:r>
            </w:ins>
          </w:p>
        </w:tc>
        <w:tc>
          <w:tcPr>
            <w:tcW w:w="1134" w:type="dxa"/>
            <w:tcBorders>
              <w:bottom w:val="single" w:sz="8" w:space="0" w:color="auto"/>
            </w:tcBorders>
          </w:tcPr>
          <w:p>
            <w:pPr>
              <w:pStyle w:val="nTable"/>
              <w:spacing w:after="40"/>
              <w:rPr>
                <w:ins w:id="97" w:author="svcMRProcess" w:date="2015-11-04T21:30:00Z"/>
                <w:sz w:val="19"/>
              </w:rPr>
            </w:pPr>
            <w:ins w:id="98" w:author="svcMRProcess" w:date="2015-11-04T21:30:00Z">
              <w:r>
                <w:rPr>
                  <w:sz w:val="19"/>
                </w:rPr>
                <w:t>21 May 2009</w:t>
              </w:r>
            </w:ins>
          </w:p>
        </w:tc>
        <w:tc>
          <w:tcPr>
            <w:tcW w:w="2551" w:type="dxa"/>
            <w:gridSpan w:val="2"/>
            <w:tcBorders>
              <w:bottom w:val="single" w:sz="8" w:space="0" w:color="auto"/>
            </w:tcBorders>
          </w:tcPr>
          <w:p>
            <w:pPr>
              <w:pStyle w:val="nTable"/>
              <w:spacing w:after="40"/>
              <w:rPr>
                <w:ins w:id="99" w:author="svcMRProcess" w:date="2015-11-04T21:30:00Z"/>
                <w:sz w:val="19"/>
              </w:rPr>
            </w:pPr>
            <w:ins w:id="100" w:author="svcMRProcess" w:date="2015-11-04T21:30:00Z">
              <w:r>
                <w:rPr>
                  <w:sz w:val="19"/>
                </w:rPr>
                <w:t>22 May 2009 (see s. 2(b))</w:t>
              </w:r>
            </w:ins>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and Bank Holidays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and Bank Holidays Act 1972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and Bank Holidays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Public and Bank Holidays Act 1972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204C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187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8B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049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89A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E8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4F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60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4EFA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6D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F4EA6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2E2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5932</Characters>
  <Application>Microsoft Office Word</Application>
  <DocSecurity>0</DocSecurity>
  <Lines>211</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7125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02-a0-03 - 02-b0-01</dc:title>
  <dc:subject/>
  <dc:creator/>
  <cp:keywords/>
  <dc:description/>
  <cp:lastModifiedBy>svcMRProcess</cp:lastModifiedBy>
  <cp:revision>2</cp:revision>
  <cp:lastPrinted>2008-04-29T02:43:00Z</cp:lastPrinted>
  <dcterms:created xsi:type="dcterms:W3CDTF">2015-11-04T13:30:00Z</dcterms:created>
  <dcterms:modified xsi:type="dcterms:W3CDTF">2015-11-04T13:30:00Z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639</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18 Apr 2008</vt:lpwstr>
  </property>
  <property fmtid="{D5CDD505-2E9C-101B-9397-08002B2CF9AE}" pid="9" name="ToSuffix">
    <vt:lpwstr>02-b0-01</vt:lpwstr>
  </property>
  <property fmtid="{D5CDD505-2E9C-101B-9397-08002B2CF9AE}" pid="10" name="ToAsAtDate">
    <vt:lpwstr>22 May 2009</vt:lpwstr>
  </property>
</Properties>
</file>