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2:34:00Z"/>
        </w:trPr>
        <w:tc>
          <w:tcPr>
            <w:tcW w:w="2434" w:type="dxa"/>
            <w:vMerge w:val="restart"/>
          </w:tcPr>
          <w:p>
            <w:pPr>
              <w:rPr>
                <w:del w:id="1" w:author="svcMRProcess" w:date="2018-09-07T22:34:00Z"/>
              </w:rPr>
            </w:pPr>
          </w:p>
        </w:tc>
        <w:tc>
          <w:tcPr>
            <w:tcW w:w="2434" w:type="dxa"/>
            <w:vMerge w:val="restart"/>
          </w:tcPr>
          <w:p>
            <w:pPr>
              <w:jc w:val="center"/>
              <w:rPr>
                <w:del w:id="2" w:author="svcMRProcess" w:date="2018-09-07T22:34:00Z"/>
              </w:rPr>
            </w:pPr>
            <w:del w:id="3" w:author="svcMRProcess" w:date="2018-09-07T22:3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22:34:00Z"/>
              </w:rPr>
            </w:pPr>
            <w:del w:id="5" w:author="svcMRProcess" w:date="2018-09-07T22:3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22:34:00Z"/>
        </w:trPr>
        <w:tc>
          <w:tcPr>
            <w:tcW w:w="2434" w:type="dxa"/>
            <w:vMerge/>
          </w:tcPr>
          <w:p>
            <w:pPr>
              <w:rPr>
                <w:del w:id="7" w:author="svcMRProcess" w:date="2018-09-07T22:34:00Z"/>
              </w:rPr>
            </w:pPr>
          </w:p>
        </w:tc>
        <w:tc>
          <w:tcPr>
            <w:tcW w:w="2434" w:type="dxa"/>
            <w:vMerge/>
          </w:tcPr>
          <w:p>
            <w:pPr>
              <w:jc w:val="center"/>
              <w:rPr>
                <w:del w:id="8" w:author="svcMRProcess" w:date="2018-09-07T22:34:00Z"/>
              </w:rPr>
            </w:pPr>
          </w:p>
        </w:tc>
        <w:tc>
          <w:tcPr>
            <w:tcW w:w="2434" w:type="dxa"/>
          </w:tcPr>
          <w:p>
            <w:pPr>
              <w:keepNext/>
              <w:rPr>
                <w:del w:id="9" w:author="svcMRProcess" w:date="2018-09-07T22:34:00Z"/>
                <w:b/>
                <w:sz w:val="22"/>
              </w:rPr>
            </w:pPr>
            <w:del w:id="10" w:author="svcMRProcess" w:date="2018-09-07T22:34:00Z">
              <w:r>
                <w:rPr>
                  <w:b/>
                  <w:sz w:val="22"/>
                </w:rPr>
                <w:delText>at 6</w:delText>
              </w:r>
              <w:r>
                <w:rPr>
                  <w:b/>
                  <w:snapToGrid w:val="0"/>
                  <w:sz w:val="22"/>
                </w:rPr>
                <w:delText xml:space="preserve"> February 2009</w:delText>
              </w:r>
            </w:del>
          </w:p>
        </w:tc>
      </w:tr>
    </w:tbl>
    <w:p>
      <w:pPr>
        <w:pStyle w:val="WA"/>
        <w:spacing w:before="120"/>
      </w:pPr>
      <w:r>
        <w:t>Western Australia</w:t>
      </w:r>
    </w:p>
    <w:p>
      <w:pPr>
        <w:pStyle w:val="NameofActReg"/>
      </w:pPr>
      <w:r>
        <w:t>Queen Elizabeth II Medical Centre Act 1966</w:t>
      </w:r>
    </w:p>
    <w:p>
      <w:pPr>
        <w:pStyle w:val="LongTitle"/>
        <w:rPr>
          <w:snapToGrid w:val="0"/>
        </w:rPr>
      </w:pPr>
      <w:r>
        <w:rPr>
          <w:snapToGrid w:val="0"/>
        </w:rPr>
        <w:t>A</w:t>
      </w:r>
      <w:bookmarkStart w:id="11" w:name="_GoBack"/>
      <w:bookmarkEnd w:id="11"/>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2" w:name="_Toc411737198"/>
      <w:bookmarkStart w:id="13" w:name="_Toc518886979"/>
      <w:bookmarkStart w:id="14" w:name="_Toc90098260"/>
      <w:bookmarkStart w:id="15" w:name="_Toc221335733"/>
      <w:r>
        <w:rPr>
          <w:rStyle w:val="CharSectno"/>
        </w:rPr>
        <w:t>1</w:t>
      </w:r>
      <w:r>
        <w:rPr>
          <w:snapToGrid w:val="0"/>
        </w:rPr>
        <w:t>.</w:t>
      </w:r>
      <w:r>
        <w:rPr>
          <w:snapToGrid w:val="0"/>
        </w:rPr>
        <w:tab/>
        <w:t>Short title</w:t>
      </w:r>
      <w:bookmarkEnd w:id="12"/>
      <w:bookmarkEnd w:id="13"/>
      <w:bookmarkEnd w:id="14"/>
      <w:bookmarkEnd w:id="1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16" w:name="_Toc411737199"/>
      <w:bookmarkStart w:id="17" w:name="_Toc518886980"/>
      <w:bookmarkStart w:id="18" w:name="_Toc90098261"/>
      <w:bookmarkStart w:id="19" w:name="_Toc221335734"/>
      <w:r>
        <w:rPr>
          <w:rStyle w:val="CharSectno"/>
        </w:rPr>
        <w:t>2</w:t>
      </w:r>
      <w:r>
        <w:rPr>
          <w:snapToGrid w:val="0"/>
        </w:rPr>
        <w:t>.</w:t>
      </w:r>
      <w:r>
        <w:rPr>
          <w:snapToGrid w:val="0"/>
        </w:rPr>
        <w:tab/>
        <w:t>Commencement</w:t>
      </w:r>
      <w:bookmarkEnd w:id="16"/>
      <w:bookmarkEnd w:id="17"/>
      <w:bookmarkEnd w:id="18"/>
      <w:bookmarkEnd w:id="19"/>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0" w:name="_Toc411737200"/>
      <w:bookmarkStart w:id="21" w:name="_Toc518886981"/>
      <w:bookmarkStart w:id="22" w:name="_Toc90098262"/>
      <w:bookmarkStart w:id="23" w:name="_Toc221335735"/>
      <w:r>
        <w:rPr>
          <w:rStyle w:val="CharSectno"/>
        </w:rPr>
        <w:t>3</w:t>
      </w:r>
      <w:r>
        <w:rPr>
          <w:snapToGrid w:val="0"/>
        </w:rPr>
        <w:t>.</w:t>
      </w:r>
      <w:r>
        <w:rPr>
          <w:snapToGrid w:val="0"/>
        </w:rPr>
        <w:tab/>
      </w:r>
      <w:bookmarkEnd w:id="20"/>
      <w:bookmarkEnd w:id="21"/>
      <w:bookmarkEnd w:id="22"/>
      <w:r>
        <w:rPr>
          <w:snapToGrid w:val="0"/>
        </w:rPr>
        <w:t>Terms used</w:t>
      </w:r>
      <w:bookmarkEnd w:id="23"/>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lastRenderedPageBreak/>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24" w:name="_Toc411737201"/>
      <w:bookmarkStart w:id="25" w:name="_Toc518886982"/>
      <w:bookmarkStart w:id="26" w:name="_Toc90098263"/>
      <w:bookmarkStart w:id="27" w:name="_Toc221335736"/>
      <w:r>
        <w:rPr>
          <w:rStyle w:val="CharSectno"/>
        </w:rPr>
        <w:t>4</w:t>
      </w:r>
      <w:r>
        <w:rPr>
          <w:snapToGrid w:val="0"/>
        </w:rPr>
        <w:t>.</w:t>
      </w:r>
      <w:r>
        <w:rPr>
          <w:snapToGrid w:val="0"/>
        </w:rPr>
        <w:tab/>
        <w:t>Vesting of land</w:t>
      </w:r>
      <w:bookmarkEnd w:id="24"/>
      <w:bookmarkEnd w:id="25"/>
      <w:bookmarkEnd w:id="26"/>
      <w:bookmarkEnd w:id="27"/>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28" w:name="_Toc411737202"/>
      <w:bookmarkStart w:id="29" w:name="_Toc518886983"/>
      <w:bookmarkStart w:id="30" w:name="_Toc90098264"/>
      <w:bookmarkStart w:id="31" w:name="_Toc221335737"/>
      <w:r>
        <w:rPr>
          <w:rStyle w:val="CharSectno"/>
        </w:rPr>
        <w:t>5</w:t>
      </w:r>
      <w:r>
        <w:rPr>
          <w:snapToGrid w:val="0"/>
        </w:rPr>
        <w:t>.</w:t>
      </w:r>
      <w:r>
        <w:rPr>
          <w:snapToGrid w:val="0"/>
        </w:rPr>
        <w:tab/>
        <w:t>Excision of certain land for drainage or road purposes</w:t>
      </w:r>
      <w:bookmarkEnd w:id="28"/>
      <w:bookmarkEnd w:id="29"/>
      <w:bookmarkEnd w:id="30"/>
      <w:bookmarkEnd w:id="31"/>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32" w:name="_Toc411737203"/>
      <w:bookmarkStart w:id="33" w:name="_Toc518886984"/>
      <w:bookmarkStart w:id="34" w:name="_Toc90098265"/>
      <w:bookmarkStart w:id="35" w:name="_Toc221335738"/>
      <w:r>
        <w:rPr>
          <w:rStyle w:val="CharSectno"/>
        </w:rPr>
        <w:t>6</w:t>
      </w:r>
      <w:r>
        <w:rPr>
          <w:snapToGrid w:val="0"/>
        </w:rPr>
        <w:t>.</w:t>
      </w:r>
      <w:r>
        <w:rPr>
          <w:snapToGrid w:val="0"/>
        </w:rPr>
        <w:tab/>
        <w:t>Creation of reserve</w:t>
      </w:r>
      <w:bookmarkEnd w:id="32"/>
      <w:bookmarkEnd w:id="33"/>
      <w:bookmarkEnd w:id="34"/>
      <w:bookmarkEnd w:id="35"/>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6" w:name="_Toc411737204"/>
      <w:bookmarkStart w:id="37" w:name="_Toc518886985"/>
      <w:bookmarkStart w:id="38" w:name="_Toc90098266"/>
      <w:bookmarkStart w:id="39" w:name="_Toc221335739"/>
      <w:r>
        <w:rPr>
          <w:rStyle w:val="CharSectno"/>
        </w:rPr>
        <w:t>7</w:t>
      </w:r>
      <w:r>
        <w:rPr>
          <w:snapToGrid w:val="0"/>
        </w:rPr>
        <w:t>.</w:t>
      </w:r>
      <w:r>
        <w:rPr>
          <w:snapToGrid w:val="0"/>
        </w:rPr>
        <w:tab/>
        <w:t>Constitution of The Queen Elizabeth II Medical Centre Trust</w:t>
      </w:r>
      <w:bookmarkEnd w:id="36"/>
      <w:bookmarkEnd w:id="37"/>
      <w:bookmarkEnd w:id="38"/>
      <w:bookmarkEnd w:id="39"/>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40" w:name="_Toc411737205"/>
      <w:bookmarkStart w:id="41" w:name="_Toc518886986"/>
      <w:bookmarkStart w:id="42" w:name="_Toc90098267"/>
      <w:bookmarkStart w:id="43" w:name="_Toc221335740"/>
      <w:r>
        <w:rPr>
          <w:rStyle w:val="CharSectno"/>
        </w:rPr>
        <w:t>8</w:t>
      </w:r>
      <w:r>
        <w:rPr>
          <w:snapToGrid w:val="0"/>
        </w:rPr>
        <w:t>.</w:t>
      </w:r>
      <w:r>
        <w:rPr>
          <w:snapToGrid w:val="0"/>
        </w:rPr>
        <w:tab/>
        <w:t>Quorum</w:t>
      </w:r>
      <w:bookmarkEnd w:id="40"/>
      <w:bookmarkEnd w:id="41"/>
      <w:bookmarkEnd w:id="42"/>
      <w:bookmarkEnd w:id="43"/>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44" w:name="_Toc411737206"/>
      <w:bookmarkStart w:id="45" w:name="_Toc518886987"/>
      <w:bookmarkStart w:id="46" w:name="_Toc90098268"/>
      <w:bookmarkStart w:id="47" w:name="_Toc221335741"/>
      <w:r>
        <w:rPr>
          <w:rStyle w:val="CharSectno"/>
        </w:rPr>
        <w:t>9</w:t>
      </w:r>
      <w:r>
        <w:rPr>
          <w:snapToGrid w:val="0"/>
        </w:rPr>
        <w:t>.</w:t>
      </w:r>
      <w:r>
        <w:rPr>
          <w:snapToGrid w:val="0"/>
        </w:rPr>
        <w:tab/>
        <w:t>Vacancies</w:t>
      </w:r>
      <w:bookmarkEnd w:id="44"/>
      <w:bookmarkEnd w:id="45"/>
      <w:bookmarkEnd w:id="46"/>
      <w:bookmarkEnd w:id="47"/>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48" w:name="_Toc411737207"/>
      <w:bookmarkStart w:id="49" w:name="_Toc518886988"/>
      <w:bookmarkStart w:id="50" w:name="_Toc90098269"/>
      <w:bookmarkStart w:id="51" w:name="_Toc221335742"/>
      <w:r>
        <w:rPr>
          <w:rStyle w:val="CharSectno"/>
        </w:rPr>
        <w:t>10</w:t>
      </w:r>
      <w:r>
        <w:rPr>
          <w:snapToGrid w:val="0"/>
        </w:rPr>
        <w:t>.</w:t>
      </w:r>
      <w:r>
        <w:rPr>
          <w:snapToGrid w:val="0"/>
        </w:rPr>
        <w:tab/>
        <w:t>Meetings of Trust</w:t>
      </w:r>
      <w:bookmarkEnd w:id="48"/>
      <w:bookmarkEnd w:id="49"/>
      <w:bookmarkEnd w:id="50"/>
      <w:bookmarkEnd w:id="51"/>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52" w:name="_Toc411737208"/>
      <w:bookmarkStart w:id="53" w:name="_Toc518886989"/>
      <w:bookmarkStart w:id="54" w:name="_Toc90098270"/>
      <w:bookmarkStart w:id="55" w:name="_Toc221335743"/>
      <w:r>
        <w:rPr>
          <w:rStyle w:val="CharSectno"/>
        </w:rPr>
        <w:t>11</w:t>
      </w:r>
      <w:r>
        <w:rPr>
          <w:snapToGrid w:val="0"/>
        </w:rPr>
        <w:t>.</w:t>
      </w:r>
      <w:r>
        <w:rPr>
          <w:snapToGrid w:val="0"/>
        </w:rPr>
        <w:tab/>
        <w:t>Use of common seal</w:t>
      </w:r>
      <w:bookmarkEnd w:id="52"/>
      <w:bookmarkEnd w:id="53"/>
      <w:bookmarkEnd w:id="54"/>
      <w:bookmarkEnd w:id="5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56" w:name="_Toc411737209"/>
      <w:bookmarkStart w:id="57" w:name="_Toc518886990"/>
      <w:bookmarkStart w:id="58" w:name="_Toc90098271"/>
      <w:bookmarkStart w:id="59" w:name="_Toc221335744"/>
      <w:r>
        <w:rPr>
          <w:rStyle w:val="CharSectno"/>
        </w:rPr>
        <w:t>12</w:t>
      </w:r>
      <w:r>
        <w:rPr>
          <w:snapToGrid w:val="0"/>
        </w:rPr>
        <w:t>.</w:t>
      </w:r>
      <w:r>
        <w:rPr>
          <w:snapToGrid w:val="0"/>
        </w:rPr>
        <w:tab/>
        <w:t>Delegation</w:t>
      </w:r>
      <w:bookmarkEnd w:id="56"/>
      <w:bookmarkEnd w:id="57"/>
      <w:bookmarkEnd w:id="58"/>
      <w:bookmarkEnd w:id="59"/>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60" w:name="_Toc411737210"/>
      <w:bookmarkStart w:id="61" w:name="_Toc518886991"/>
      <w:bookmarkStart w:id="62" w:name="_Toc90098272"/>
      <w:bookmarkStart w:id="63" w:name="_Toc221335745"/>
      <w:r>
        <w:rPr>
          <w:rStyle w:val="CharSectno"/>
        </w:rPr>
        <w:t>13</w:t>
      </w:r>
      <w:r>
        <w:rPr>
          <w:snapToGrid w:val="0"/>
        </w:rPr>
        <w:t>.</w:t>
      </w:r>
      <w:r>
        <w:rPr>
          <w:snapToGrid w:val="0"/>
        </w:rPr>
        <w:tab/>
        <w:t>Functions of the Trust</w:t>
      </w:r>
      <w:bookmarkEnd w:id="60"/>
      <w:bookmarkEnd w:id="61"/>
      <w:bookmarkEnd w:id="62"/>
      <w:bookmarkEnd w:id="63"/>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64" w:name="_Toc411737211"/>
      <w:bookmarkStart w:id="65" w:name="_Toc518886992"/>
      <w:bookmarkStart w:id="66" w:name="_Toc90098273"/>
      <w:bookmarkStart w:id="67" w:name="_Toc221335746"/>
      <w:r>
        <w:rPr>
          <w:rStyle w:val="CharSectno"/>
        </w:rPr>
        <w:t>13A</w:t>
      </w:r>
      <w:r>
        <w:rPr>
          <w:snapToGrid w:val="0"/>
        </w:rPr>
        <w:t>.</w:t>
      </w:r>
      <w:r>
        <w:rPr>
          <w:snapToGrid w:val="0"/>
        </w:rPr>
        <w:tab/>
        <w:t>Additional land for Queen Elizabeth II Medical Centre Reserve</w:t>
      </w:r>
      <w:bookmarkEnd w:id="64"/>
      <w:bookmarkEnd w:id="65"/>
      <w:bookmarkEnd w:id="66"/>
      <w:bookmarkEnd w:id="67"/>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68" w:name="_Toc411737212"/>
      <w:bookmarkStart w:id="69" w:name="_Toc518886993"/>
      <w:bookmarkStart w:id="70" w:name="_Toc90098274"/>
      <w:bookmarkStart w:id="71" w:name="_Toc221335747"/>
      <w:r>
        <w:rPr>
          <w:rStyle w:val="CharSectno"/>
        </w:rPr>
        <w:t>14</w:t>
      </w:r>
      <w:r>
        <w:rPr>
          <w:snapToGrid w:val="0"/>
        </w:rPr>
        <w:t>.</w:t>
      </w:r>
      <w:r>
        <w:rPr>
          <w:snapToGrid w:val="0"/>
        </w:rPr>
        <w:tab/>
        <w:t>Officers and employees</w:t>
      </w:r>
      <w:bookmarkEnd w:id="68"/>
      <w:bookmarkEnd w:id="69"/>
      <w:bookmarkEnd w:id="70"/>
      <w:bookmarkEnd w:id="71"/>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72" w:name="_Toc411737213"/>
      <w:bookmarkStart w:id="73" w:name="_Toc518886994"/>
      <w:bookmarkStart w:id="74" w:name="_Toc90098275"/>
      <w:bookmarkStart w:id="75" w:name="_Toc221335748"/>
      <w:r>
        <w:rPr>
          <w:rStyle w:val="CharSectno"/>
        </w:rPr>
        <w:t>15</w:t>
      </w:r>
      <w:r>
        <w:rPr>
          <w:snapToGrid w:val="0"/>
        </w:rPr>
        <w:t>.</w:t>
      </w:r>
      <w:r>
        <w:rPr>
          <w:snapToGrid w:val="0"/>
        </w:rPr>
        <w:tab/>
        <w:t xml:space="preserve">Application of </w:t>
      </w:r>
      <w:bookmarkEnd w:id="72"/>
      <w:bookmarkEnd w:id="73"/>
      <w:bookmarkEnd w:id="74"/>
      <w:r>
        <w:rPr>
          <w:i/>
        </w:rPr>
        <w:t>Financial Management Act 2006</w:t>
      </w:r>
      <w:r>
        <w:t xml:space="preserve"> and </w:t>
      </w:r>
      <w:r>
        <w:rPr>
          <w:i/>
        </w:rPr>
        <w:t>Auditor General Act 2006</w:t>
      </w:r>
      <w:bookmarkEnd w:id="7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76" w:name="_Toc411737214"/>
      <w:bookmarkStart w:id="77" w:name="_Toc518886995"/>
      <w:bookmarkStart w:id="78" w:name="_Toc90098276"/>
      <w:bookmarkStart w:id="79" w:name="_Toc221335749"/>
      <w:r>
        <w:rPr>
          <w:rStyle w:val="CharSectno"/>
        </w:rPr>
        <w:t>16</w:t>
      </w:r>
      <w:r>
        <w:rPr>
          <w:snapToGrid w:val="0"/>
        </w:rPr>
        <w:t>.</w:t>
      </w:r>
      <w:r>
        <w:rPr>
          <w:snapToGrid w:val="0"/>
        </w:rPr>
        <w:tab/>
        <w:t>Teaching hospitals on reserve</w:t>
      </w:r>
      <w:bookmarkEnd w:id="76"/>
      <w:bookmarkEnd w:id="77"/>
      <w:bookmarkEnd w:id="78"/>
      <w:bookmarkEnd w:id="79"/>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 xml:space="preserve">3 shall be persons appointed by the Senate and of those 3 persons one at least shall be a member of the Faculty of Medicine at </w:t>
      </w:r>
      <w:del w:id="80" w:author="svcMRProcess" w:date="2018-09-07T22:34:00Z">
        <w:r>
          <w:rPr>
            <w:snapToGrid w:val="0"/>
          </w:rPr>
          <w:delText>the</w:delText>
        </w:r>
      </w:del>
      <w:ins w:id="81" w:author="svcMRProcess" w:date="2018-09-07T22:34:00Z">
        <w:r>
          <w:rPr>
            <w:snapToGrid w:val="0"/>
          </w:rPr>
          <w:t>The</w:t>
        </w:r>
      </w:ins>
      <w:r>
        <w:rPr>
          <w:snapToGrid w:val="0"/>
        </w:rPr>
        <w:t xml:space="preserv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w:t>
      </w:r>
      <w:ins w:id="82" w:author="svcMRProcess" w:date="2018-09-07T22:34:00Z">
        <w:r>
          <w:t>; No. 8 of 2009 s. 105</w:t>
        </w:r>
      </w:ins>
      <w:r>
        <w:t>.]</w:t>
      </w:r>
    </w:p>
    <w:p>
      <w:pPr>
        <w:pStyle w:val="Heading5"/>
        <w:rPr>
          <w:snapToGrid w:val="0"/>
        </w:rPr>
      </w:pPr>
      <w:bookmarkStart w:id="83" w:name="_Toc411737215"/>
      <w:bookmarkStart w:id="84" w:name="_Toc518886996"/>
      <w:bookmarkStart w:id="85" w:name="_Toc90098277"/>
      <w:bookmarkStart w:id="86" w:name="_Toc221335750"/>
      <w:r>
        <w:rPr>
          <w:rStyle w:val="CharSectno"/>
        </w:rPr>
        <w:t>17</w:t>
      </w:r>
      <w:r>
        <w:rPr>
          <w:snapToGrid w:val="0"/>
        </w:rPr>
        <w:t>.</w:t>
      </w:r>
      <w:r>
        <w:rPr>
          <w:snapToGrid w:val="0"/>
        </w:rPr>
        <w:tab/>
        <w:t>Indemnity</w:t>
      </w:r>
      <w:bookmarkEnd w:id="83"/>
      <w:bookmarkEnd w:id="84"/>
      <w:bookmarkEnd w:id="85"/>
      <w:bookmarkEnd w:id="86"/>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87" w:name="_Toc411737216"/>
      <w:bookmarkStart w:id="88" w:name="_Toc518886997"/>
      <w:bookmarkStart w:id="89" w:name="_Toc90098278"/>
      <w:bookmarkStart w:id="90" w:name="_Toc221335751"/>
      <w:r>
        <w:rPr>
          <w:rStyle w:val="CharSectno"/>
        </w:rPr>
        <w:t>18</w:t>
      </w:r>
      <w:r>
        <w:rPr>
          <w:snapToGrid w:val="0"/>
        </w:rPr>
        <w:t>.</w:t>
      </w:r>
      <w:r>
        <w:rPr>
          <w:snapToGrid w:val="0"/>
        </w:rPr>
        <w:tab/>
        <w:t>Power of Senate to apply fees and other money to reserve</w:t>
      </w:r>
      <w:bookmarkEnd w:id="87"/>
      <w:bookmarkEnd w:id="88"/>
      <w:bookmarkEnd w:id="89"/>
      <w:bookmarkEnd w:id="90"/>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91" w:name="_Toc411737217"/>
      <w:bookmarkStart w:id="92" w:name="_Toc518886998"/>
      <w:bookmarkStart w:id="93" w:name="_Toc90098279"/>
      <w:bookmarkStart w:id="94" w:name="_Toc221335752"/>
      <w:r>
        <w:rPr>
          <w:rStyle w:val="CharSectno"/>
        </w:rPr>
        <w:t>19</w:t>
      </w:r>
      <w:r>
        <w:rPr>
          <w:snapToGrid w:val="0"/>
        </w:rPr>
        <w:t>.</w:t>
      </w:r>
      <w:r>
        <w:rPr>
          <w:snapToGrid w:val="0"/>
        </w:rPr>
        <w:tab/>
        <w:t>Saving</w:t>
      </w:r>
      <w:bookmarkEnd w:id="91"/>
      <w:bookmarkEnd w:id="92"/>
      <w:bookmarkEnd w:id="93"/>
      <w:bookmarkEnd w:id="94"/>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95" w:name="_Toc411737218"/>
      <w:bookmarkStart w:id="96" w:name="_Toc518886999"/>
      <w:bookmarkStart w:id="97" w:name="_Toc90098280"/>
      <w:bookmarkStart w:id="98" w:name="_Toc221335753"/>
      <w:r>
        <w:rPr>
          <w:rStyle w:val="CharSectno"/>
        </w:rPr>
        <w:t>20</w:t>
      </w:r>
      <w:r>
        <w:rPr>
          <w:snapToGrid w:val="0"/>
        </w:rPr>
        <w:t>.</w:t>
      </w:r>
      <w:r>
        <w:rPr>
          <w:snapToGrid w:val="0"/>
        </w:rPr>
        <w:tab/>
        <w:t>By</w:t>
      </w:r>
      <w:r>
        <w:rPr>
          <w:snapToGrid w:val="0"/>
        </w:rPr>
        <w:noBreakHyphen/>
        <w:t>laws</w:t>
      </w:r>
      <w:bookmarkEnd w:id="95"/>
      <w:bookmarkEnd w:id="96"/>
      <w:bookmarkEnd w:id="97"/>
      <w:bookmarkEnd w:id="98"/>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99" w:name="_Toc411737219"/>
      <w:bookmarkStart w:id="100" w:name="_Toc518887000"/>
      <w:bookmarkStart w:id="101" w:name="_Toc90098281"/>
      <w:bookmarkStart w:id="102" w:name="_Toc221335754"/>
      <w:r>
        <w:rPr>
          <w:rStyle w:val="CharSectno"/>
        </w:rPr>
        <w:t>21</w:t>
      </w:r>
      <w:r>
        <w:rPr>
          <w:snapToGrid w:val="0"/>
        </w:rPr>
        <w:t>.</w:t>
      </w:r>
      <w:r>
        <w:rPr>
          <w:snapToGrid w:val="0"/>
        </w:rPr>
        <w:tab/>
        <w:t>Review of Act</w:t>
      </w:r>
      <w:bookmarkEnd w:id="99"/>
      <w:bookmarkEnd w:id="100"/>
      <w:bookmarkEnd w:id="101"/>
      <w:bookmarkEnd w:id="102"/>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3" w:name="_Toc90098282"/>
      <w:bookmarkStart w:id="104" w:name="_Toc156985899"/>
      <w:bookmarkStart w:id="105" w:name="_Toc158001688"/>
      <w:bookmarkStart w:id="106" w:name="_Toc199817732"/>
      <w:bookmarkStart w:id="107" w:name="_Toc215549212"/>
      <w:bookmarkStart w:id="108" w:name="_Toc215549239"/>
      <w:bookmarkStart w:id="109" w:name="_Toc219688642"/>
      <w:bookmarkStart w:id="110" w:name="_Toc219688669"/>
      <w:bookmarkStart w:id="111" w:name="_Toc219695414"/>
      <w:bookmarkStart w:id="112" w:name="_Toc221335755"/>
      <w:r>
        <w:rPr>
          <w:rStyle w:val="CharSchNo"/>
        </w:rPr>
        <w:t>The Schedule</w:t>
      </w:r>
      <w:bookmarkEnd w:id="103"/>
      <w:bookmarkEnd w:id="104"/>
      <w:bookmarkEnd w:id="105"/>
      <w:bookmarkEnd w:id="106"/>
      <w:bookmarkEnd w:id="107"/>
      <w:bookmarkEnd w:id="108"/>
      <w:bookmarkEnd w:id="109"/>
      <w:bookmarkEnd w:id="110"/>
      <w:bookmarkEnd w:id="111"/>
      <w:bookmarkEnd w:id="112"/>
    </w:p>
    <w:p>
      <w:pPr>
        <w:pStyle w:val="yHeading2"/>
        <w:outlineLvl w:val="9"/>
      </w:pPr>
      <w:bookmarkStart w:id="113" w:name="_Toc156985900"/>
      <w:bookmarkStart w:id="114" w:name="_Toc158001689"/>
      <w:bookmarkStart w:id="115" w:name="_Toc199817733"/>
      <w:bookmarkStart w:id="116" w:name="_Toc215549213"/>
      <w:bookmarkStart w:id="117" w:name="_Toc215549240"/>
      <w:bookmarkStart w:id="118" w:name="_Toc219688643"/>
      <w:bookmarkStart w:id="119" w:name="_Toc219688670"/>
      <w:bookmarkStart w:id="120" w:name="_Toc219695415"/>
      <w:bookmarkStart w:id="121" w:name="_Toc221335756"/>
      <w:r>
        <w:t>Part I</w:t>
      </w:r>
      <w:bookmarkEnd w:id="113"/>
      <w:bookmarkEnd w:id="114"/>
      <w:bookmarkEnd w:id="115"/>
      <w:bookmarkEnd w:id="116"/>
      <w:bookmarkEnd w:id="117"/>
      <w:bookmarkEnd w:id="118"/>
      <w:bookmarkEnd w:id="119"/>
      <w:bookmarkEnd w:id="120"/>
      <w:bookmarkEnd w:id="121"/>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22" w:name="_Toc156985901"/>
      <w:bookmarkStart w:id="123" w:name="_Toc158001690"/>
      <w:bookmarkStart w:id="124" w:name="_Toc199817734"/>
      <w:bookmarkStart w:id="125" w:name="_Toc215549214"/>
      <w:bookmarkStart w:id="126" w:name="_Toc215549241"/>
      <w:bookmarkStart w:id="127" w:name="_Toc219688644"/>
      <w:bookmarkStart w:id="128" w:name="_Toc219688671"/>
      <w:bookmarkStart w:id="129" w:name="_Toc219695416"/>
      <w:bookmarkStart w:id="130" w:name="_Toc221335757"/>
      <w:r>
        <w:t>Part II</w:t>
      </w:r>
      <w:bookmarkEnd w:id="122"/>
      <w:bookmarkEnd w:id="123"/>
      <w:bookmarkEnd w:id="124"/>
      <w:bookmarkEnd w:id="125"/>
      <w:bookmarkEnd w:id="126"/>
      <w:bookmarkEnd w:id="127"/>
      <w:bookmarkEnd w:id="128"/>
      <w:bookmarkEnd w:id="129"/>
      <w:bookmarkEnd w:id="130"/>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rPr>
          <w:del w:id="131" w:author="svcMRProcess" w:date="2018-09-07T22:34:00Z"/>
        </w:rPr>
      </w:pPr>
      <w:del w:id="132" w:author="svcMRProcess" w:date="2018-09-07T22:3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3" w:author="svcMRProcess" w:date="2018-09-07T22:34:00Z"/>
        </w:rPr>
      </w:pPr>
      <w:ins w:id="134" w:author="svcMRProcess" w:date="2018-09-07T22:3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35" w:name="_Toc90090692"/>
      <w:bookmarkStart w:id="136" w:name="_Toc90090737"/>
      <w:bookmarkStart w:id="137" w:name="_Toc90098283"/>
      <w:bookmarkStart w:id="138" w:name="_Toc156985902"/>
      <w:bookmarkStart w:id="139" w:name="_Toc158001691"/>
      <w:bookmarkStart w:id="140" w:name="_Toc199817735"/>
      <w:bookmarkStart w:id="141" w:name="_Toc215549215"/>
      <w:bookmarkStart w:id="142" w:name="_Toc215549242"/>
      <w:bookmarkStart w:id="143" w:name="_Toc219688645"/>
      <w:bookmarkStart w:id="144" w:name="_Toc219688672"/>
      <w:bookmarkStart w:id="145" w:name="_Toc219695417"/>
      <w:bookmarkStart w:id="146" w:name="_Toc221335758"/>
      <w:r>
        <w:t>Notes</w:t>
      </w:r>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w:t>
      </w:r>
      <w:del w:id="147" w:author="svcMRProcess" w:date="2018-09-07T22:34:00Z">
        <w:r>
          <w:rPr>
            <w:snapToGrid w:val="0"/>
          </w:rPr>
          <w:delText xml:space="preserve">reprint </w:delText>
        </w:r>
      </w:del>
      <w:r>
        <w:rPr>
          <w:snapToGrid w:val="0"/>
        </w:rPr>
        <w:t>is a compilation</w:t>
      </w:r>
      <w:del w:id="148" w:author="svcMRProcess" w:date="2018-09-07T22:34:00Z">
        <w:r>
          <w:rPr>
            <w:snapToGrid w:val="0"/>
          </w:rPr>
          <w:delText xml:space="preserve"> as at 6 February 2009</w:delText>
        </w:r>
      </w:del>
      <w:r>
        <w:rPr>
          <w:snapToGrid w:val="0"/>
        </w:rPr>
        <w:t xml:space="preserve">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221335759"/>
      <w:r>
        <w:rPr>
          <w:snapToGrid w:val="0"/>
        </w:rPr>
        <w:t>Compilation table</w:t>
      </w:r>
      <w:bookmarkEnd w:id="149"/>
    </w:p>
    <w:tbl>
      <w:tblPr>
        <w:tblW w:w="7087" w:type="dxa"/>
        <w:tblInd w:w="8" w:type="dxa"/>
        <w:tblLayout w:type="fixed"/>
        <w:tblCellMar>
          <w:left w:w="56" w:type="dxa"/>
          <w:right w:w="56" w:type="dxa"/>
        </w:tblCellMar>
        <w:tblLook w:val="0000" w:firstRow="0" w:lastRow="0" w:firstColumn="0" w:lastColumn="0" w:noHBand="0" w:noVBand="0"/>
      </w:tblPr>
      <w:tblGrid>
        <w:gridCol w:w="2260"/>
        <w:gridCol w:w="1130"/>
        <w:gridCol w:w="1130"/>
        <w:gridCol w:w="2544"/>
        <w:gridCol w:w="23"/>
      </w:tblGrid>
      <w:tr>
        <w:trPr>
          <w:gridAfter w:val="1"/>
          <w:wAfter w:w="23"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gridAfter w:val="1"/>
          <w:wAfter w:w="23" w:type="dxa"/>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gridAfter w:val="1"/>
          <w:wAfter w:w="23" w:type="dxa"/>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gridAfter w:val="1"/>
          <w:wAfter w:w="23" w:type="dxa"/>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gridAfter w:val="1"/>
          <w:wAfter w:w="23" w:type="dxa"/>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gridAfter w:val="1"/>
          <w:wAfter w:w="23" w:type="dxa"/>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gridAfter w:val="1"/>
          <w:wAfter w:w="23" w:type="dxa"/>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3" w:type="dxa"/>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3" w:type="dxa"/>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1"/>
          <w:wAfter w:w="23" w:type="dxa"/>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gridAfter w:val="1"/>
          <w:wAfter w:w="2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3" w:type="dxa"/>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3"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ins w:id="150" w:author="svcMRProcess" w:date="2018-09-07T22:34:00Z"/>
        </w:trPr>
        <w:tc>
          <w:tcPr>
            <w:tcW w:w="2268" w:type="dxa"/>
            <w:tcBorders>
              <w:bottom w:val="single" w:sz="8" w:space="0" w:color="auto"/>
            </w:tcBorders>
          </w:tcPr>
          <w:p>
            <w:pPr>
              <w:pStyle w:val="nTable"/>
              <w:spacing w:after="40"/>
              <w:ind w:right="113"/>
              <w:rPr>
                <w:ins w:id="151" w:author="svcMRProcess" w:date="2018-09-07T22:34:00Z"/>
                <w:iCs/>
                <w:sz w:val="19"/>
              </w:rPr>
            </w:pPr>
            <w:ins w:id="152" w:author="svcMRProcess" w:date="2018-09-07T22:34:00Z">
              <w:r>
                <w:rPr>
                  <w:i/>
                  <w:sz w:val="19"/>
                </w:rPr>
                <w:t>Statutes (Repeals and Miscellaneous Amendments) Act 2009</w:t>
              </w:r>
              <w:r>
                <w:rPr>
                  <w:iCs/>
                  <w:sz w:val="19"/>
                </w:rPr>
                <w:t xml:space="preserve"> s. 105</w:t>
              </w:r>
            </w:ins>
          </w:p>
        </w:tc>
        <w:tc>
          <w:tcPr>
            <w:tcW w:w="1134" w:type="dxa"/>
            <w:tcBorders>
              <w:bottom w:val="single" w:sz="8" w:space="0" w:color="auto"/>
            </w:tcBorders>
          </w:tcPr>
          <w:p>
            <w:pPr>
              <w:pStyle w:val="nTable"/>
              <w:spacing w:after="40"/>
              <w:rPr>
                <w:ins w:id="153" w:author="svcMRProcess" w:date="2018-09-07T22:34:00Z"/>
                <w:sz w:val="19"/>
              </w:rPr>
            </w:pPr>
            <w:ins w:id="154" w:author="svcMRProcess" w:date="2018-09-07T22:34:00Z">
              <w:r>
                <w:rPr>
                  <w:sz w:val="19"/>
                </w:rPr>
                <w:t xml:space="preserve">8 of 2009 </w:t>
              </w:r>
            </w:ins>
          </w:p>
        </w:tc>
        <w:tc>
          <w:tcPr>
            <w:tcW w:w="1134" w:type="dxa"/>
            <w:tcBorders>
              <w:bottom w:val="single" w:sz="8" w:space="0" w:color="auto"/>
            </w:tcBorders>
          </w:tcPr>
          <w:p>
            <w:pPr>
              <w:pStyle w:val="nTable"/>
              <w:spacing w:after="40"/>
              <w:rPr>
                <w:ins w:id="155" w:author="svcMRProcess" w:date="2018-09-07T22:34:00Z"/>
                <w:sz w:val="19"/>
              </w:rPr>
            </w:pPr>
            <w:ins w:id="156" w:author="svcMRProcess" w:date="2018-09-07T22:34:00Z">
              <w:r>
                <w:rPr>
                  <w:sz w:val="19"/>
                </w:rPr>
                <w:t>21 May 2009</w:t>
              </w:r>
            </w:ins>
          </w:p>
        </w:tc>
        <w:tc>
          <w:tcPr>
            <w:tcW w:w="2551" w:type="dxa"/>
            <w:gridSpan w:val="2"/>
            <w:tcBorders>
              <w:bottom w:val="single" w:sz="8" w:space="0" w:color="auto"/>
            </w:tcBorders>
          </w:tcPr>
          <w:p>
            <w:pPr>
              <w:pStyle w:val="nTable"/>
              <w:spacing w:after="40"/>
              <w:rPr>
                <w:ins w:id="157" w:author="svcMRProcess" w:date="2018-09-07T22:34:00Z"/>
                <w:sz w:val="19"/>
              </w:rPr>
            </w:pPr>
            <w:ins w:id="158" w:author="svcMRProcess" w:date="2018-09-07T22:34:00Z">
              <w:r>
                <w:rPr>
                  <w:sz w:val="19"/>
                </w:rPr>
                <w:t>22 May 2009 (see s. 2(b))</w:t>
              </w:r>
            </w:ins>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59" w:name="_Toc9323144"/>
      <w:bookmarkStart w:id="160" w:name="_Toc51480430"/>
      <w:bookmarkStart w:id="161" w:name="_Toc88641587"/>
      <w:r>
        <w:rPr>
          <w:rStyle w:val="CharSectno"/>
        </w:rPr>
        <w:t>“</w:t>
      </w:r>
    </w:p>
    <w:p>
      <w:pPr>
        <w:pStyle w:val="nzHeading5"/>
      </w:pPr>
      <w:r>
        <w:rPr>
          <w:rStyle w:val="CharSectno"/>
        </w:rPr>
        <w:t>18</w:t>
      </w:r>
      <w:r>
        <w:t>.</w:t>
      </w:r>
      <w:r>
        <w:tab/>
        <w:t>Validation</w:t>
      </w:r>
      <w:bookmarkEnd w:id="159"/>
      <w:bookmarkEnd w:id="160"/>
      <w:bookmarkEnd w:id="161"/>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62" w:name="_Hlt51646937"/>
      <w:r>
        <w:t>17</w:t>
      </w:r>
      <w:bookmarkEnd w:id="162"/>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7582</Words>
  <Characters>35334</Characters>
  <Application>Microsoft Office Word</Application>
  <DocSecurity>0</DocSecurity>
  <Lines>929</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42479</CharactersWithSpaces>
  <SharedDoc>false</SharedDoc>
  <HLinks>
    <vt:vector size="12" baseType="variant">
      <vt:variant>
        <vt:i4>5439608</vt:i4>
      </vt:variant>
      <vt:variant>
        <vt:i4>38630</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04-a0-01 - 04-b0-01</dc:title>
  <dc:subject/>
  <dc:creator/>
  <cp:keywords/>
  <dc:description/>
  <cp:lastModifiedBy>svcMRProcess</cp:lastModifiedBy>
  <cp:revision>2</cp:revision>
  <cp:lastPrinted>2009-02-03T06:24:00Z</cp:lastPrinted>
  <dcterms:created xsi:type="dcterms:W3CDTF">2018-09-07T14:34:00Z</dcterms:created>
  <dcterms:modified xsi:type="dcterms:W3CDTF">2018-09-07T14:34:00Z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06 Feb 2009</vt:lpwstr>
  </property>
  <property fmtid="{D5CDD505-2E9C-101B-9397-08002B2CF9AE}" pid="9" name="ToSuffix">
    <vt:lpwstr>04-b0-01</vt:lpwstr>
  </property>
  <property fmtid="{D5CDD505-2E9C-101B-9397-08002B2CF9AE}" pid="10" name="ToAsAtDate">
    <vt:lpwstr>22 May 2009</vt:lpwstr>
  </property>
</Properties>
</file>