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07-f0-02</w:t>
      </w:r>
      <w:r>
        <w:fldChar w:fldCharType="end"/>
      </w:r>
      <w:r>
        <w:t>] and [</w:t>
      </w:r>
      <w:r>
        <w:fldChar w:fldCharType="begin"/>
      </w:r>
      <w:r>
        <w:instrText xml:space="preserve"> DocProperty ToAsAtDate</w:instrText>
      </w:r>
      <w:r>
        <w:fldChar w:fldCharType="separate"/>
      </w:r>
      <w:r>
        <w:t>20 Oct 2006</w:t>
      </w:r>
      <w:r>
        <w:fldChar w:fldCharType="end"/>
      </w:r>
      <w:r>
        <w:t xml:space="preserve">, </w:t>
      </w:r>
      <w:r>
        <w:fldChar w:fldCharType="begin"/>
      </w:r>
      <w:r>
        <w:instrText xml:space="preserve"> DocProperty ToSuffix</w:instrText>
      </w:r>
      <w:r>
        <w:fldChar w:fldCharType="separate"/>
      </w:r>
      <w:r>
        <w:t>08-a0-02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3T23:26:00Z"/>
        </w:trPr>
        <w:tc>
          <w:tcPr>
            <w:tcW w:w="2434" w:type="dxa"/>
            <w:vMerge w:val="restart"/>
          </w:tcPr>
          <w:p>
            <w:pPr>
              <w:rPr>
                <w:ins w:id="1" w:author="svcMRProcess" w:date="2020-02-13T23:26:00Z"/>
              </w:rPr>
            </w:pPr>
          </w:p>
        </w:tc>
        <w:tc>
          <w:tcPr>
            <w:tcW w:w="2434" w:type="dxa"/>
            <w:vMerge w:val="restart"/>
          </w:tcPr>
          <w:p>
            <w:pPr>
              <w:jc w:val="center"/>
              <w:rPr>
                <w:ins w:id="2" w:author="svcMRProcess" w:date="2020-02-13T23:26:00Z"/>
              </w:rPr>
            </w:pPr>
            <w:ins w:id="3" w:author="svcMRProcess" w:date="2020-02-13T23:2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13T23:26:00Z"/>
              </w:rPr>
            </w:pPr>
          </w:p>
        </w:tc>
      </w:tr>
      <w:tr>
        <w:trPr>
          <w:cantSplit/>
          <w:ins w:id="5" w:author="svcMRProcess" w:date="2020-02-13T23:26:00Z"/>
        </w:trPr>
        <w:tc>
          <w:tcPr>
            <w:tcW w:w="2434" w:type="dxa"/>
            <w:vMerge/>
          </w:tcPr>
          <w:p>
            <w:pPr>
              <w:rPr>
                <w:ins w:id="6" w:author="svcMRProcess" w:date="2020-02-13T23:26:00Z"/>
              </w:rPr>
            </w:pPr>
          </w:p>
        </w:tc>
        <w:tc>
          <w:tcPr>
            <w:tcW w:w="2434" w:type="dxa"/>
            <w:vMerge/>
          </w:tcPr>
          <w:p>
            <w:pPr>
              <w:jc w:val="center"/>
              <w:rPr>
                <w:ins w:id="7" w:author="svcMRProcess" w:date="2020-02-13T23:26:00Z"/>
              </w:rPr>
            </w:pPr>
          </w:p>
        </w:tc>
        <w:tc>
          <w:tcPr>
            <w:tcW w:w="2434" w:type="dxa"/>
          </w:tcPr>
          <w:p>
            <w:pPr>
              <w:keepNext/>
              <w:rPr>
                <w:ins w:id="8" w:author="svcMRProcess" w:date="2020-02-13T23:26:00Z"/>
                <w:b/>
                <w:sz w:val="22"/>
              </w:rPr>
            </w:pPr>
            <w:ins w:id="9" w:author="svcMRProcess" w:date="2020-02-13T23:26:00Z">
              <w:r>
                <w:rPr>
                  <w:b/>
                  <w:sz w:val="22"/>
                </w:rPr>
                <w:t xml:space="preserve">Reprinted under the </w:t>
              </w:r>
              <w:r>
                <w:rPr>
                  <w:b/>
                  <w:i/>
                  <w:sz w:val="22"/>
                </w:rPr>
                <w:t>Reprints Act 1984</w:t>
              </w:r>
              <w:r>
                <w:rPr>
                  <w:b/>
                  <w:sz w:val="22"/>
                </w:rPr>
                <w:t xml:space="preserve"> as at 20</w:t>
              </w:r>
              <w:r>
                <w:rPr>
                  <w:b/>
                  <w:snapToGrid w:val="0"/>
                  <w:sz w:val="22"/>
                </w:rPr>
                <w:t xml:space="preserve"> October 2006</w:t>
              </w:r>
            </w:ins>
          </w:p>
        </w:tc>
      </w:tr>
    </w:tbl>
    <w:p>
      <w:pPr>
        <w:pStyle w:val="WA"/>
      </w:pPr>
      <w:r>
        <w:t>Western Australia</w:t>
      </w:r>
    </w:p>
    <w:p>
      <w:pPr>
        <w:pStyle w:val="NameofActReg"/>
      </w:pPr>
      <w:r>
        <w:t xml:space="preserve">Betting Control Act 1954 </w:t>
      </w:r>
    </w:p>
    <w:p>
      <w:pPr>
        <w:pStyle w:val="LongTitle"/>
      </w:pPr>
      <w:r>
        <w:t>A</w:t>
      </w:r>
      <w:bookmarkStart w:id="10" w:name="_GoBack"/>
      <w:bookmarkEnd w:id="10"/>
      <w:r>
        <w:t xml:space="preserve">n Act to authorise, regulate and control, betting and bookmaking on horse and greyhound racing and on sporting events; to regulate the assessment, collection, and allocation of a levy on money paid or promised to bookmakers or RWWA as consideration for bets; to authorise, regulate and control the use of totalisators and betting with, or through, RWWA; and for other purposes. </w:t>
      </w:r>
    </w:p>
    <w:p>
      <w:pPr>
        <w:pStyle w:val="Footnotelongtitle"/>
      </w:pPr>
      <w:r>
        <w:tab/>
        <w:t xml:space="preserve">[Long title amended by No. 49 of 1960 s. 3; No. 77 of 1976 s. 3; No. 63 of 1995 s. 42; No. 35 of 2003 s. 75.] </w:t>
      </w:r>
    </w:p>
    <w:p>
      <w:pPr>
        <w:pStyle w:val="Heading2"/>
      </w:pPr>
      <w:bookmarkStart w:id="11" w:name="_Toc89168126"/>
      <w:bookmarkStart w:id="12" w:name="_Toc96937653"/>
      <w:bookmarkStart w:id="13" w:name="_Toc96937761"/>
      <w:bookmarkStart w:id="14" w:name="_Toc101927939"/>
      <w:bookmarkStart w:id="15" w:name="_Toc101928054"/>
      <w:bookmarkStart w:id="16" w:name="_Toc102796905"/>
      <w:bookmarkStart w:id="17" w:name="_Toc122949200"/>
      <w:bookmarkStart w:id="18" w:name="_Toc131327347"/>
      <w:bookmarkStart w:id="19" w:name="_Toc142803228"/>
      <w:bookmarkStart w:id="20" w:name="_Toc142809204"/>
      <w:bookmarkStart w:id="21" w:name="_Toc146426917"/>
      <w:bookmarkStart w:id="22" w:name="_Toc146440086"/>
      <w:bookmarkStart w:id="23" w:name="_Toc148849349"/>
      <w:bookmarkStart w:id="24" w:name="_Toc148858286"/>
      <w:bookmarkStart w:id="25" w:name="_Toc151285169"/>
      <w:bookmarkStart w:id="26" w:name="_Toc519996745"/>
      <w:bookmarkStart w:id="27" w:name="_Toc4564317"/>
      <w:bookmarkStart w:id="28" w:name="_Toc6885567"/>
      <w:r>
        <w:rPr>
          <w:rStyle w:val="CharPartNo"/>
        </w:rPr>
        <w:lastRenderedPageBreak/>
        <w:t>Part 1</w:t>
      </w:r>
      <w:r>
        <w:rPr>
          <w:b w:val="0"/>
        </w:rPr>
        <w:t> </w:t>
      </w:r>
      <w:r>
        <w:t>—</w:t>
      </w:r>
      <w:r>
        <w:rPr>
          <w:b w:val="0"/>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Footnoteheading"/>
        <w:tabs>
          <w:tab w:val="left" w:pos="851"/>
        </w:tabs>
      </w:pPr>
      <w:r>
        <w:tab/>
        <w:t>[Heading inserted by No. 35 of 2003 s. 101(1).]</w:t>
      </w:r>
    </w:p>
    <w:p>
      <w:pPr>
        <w:pStyle w:val="Heading5"/>
        <w:spacing w:before="360"/>
        <w:rPr>
          <w:snapToGrid w:val="0"/>
        </w:rPr>
      </w:pPr>
      <w:bookmarkStart w:id="29" w:name="_Toc131327348"/>
      <w:bookmarkStart w:id="30" w:name="_Toc151285170"/>
      <w:r>
        <w:rPr>
          <w:rStyle w:val="CharSectno"/>
        </w:rPr>
        <w:t>1</w:t>
      </w:r>
      <w:r>
        <w:rPr>
          <w:snapToGrid w:val="0"/>
        </w:rPr>
        <w:t>.</w:t>
      </w:r>
      <w:r>
        <w:rPr>
          <w:snapToGrid w:val="0"/>
        </w:rPr>
        <w:tab/>
        <w:t>Short title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rPr>
          <w:snapToGrid w:val="0"/>
        </w:rPr>
      </w:pPr>
      <w:bookmarkStart w:id="31" w:name="_Toc519996746"/>
      <w:bookmarkStart w:id="32" w:name="_Toc4564318"/>
      <w:bookmarkStart w:id="33" w:name="_Toc6885568"/>
      <w:bookmarkStart w:id="34" w:name="_Toc131327349"/>
      <w:bookmarkStart w:id="35" w:name="_Toc151285171"/>
      <w:r>
        <w:rPr>
          <w:rStyle w:val="CharSectno"/>
        </w:rPr>
        <w:t>2</w:t>
      </w:r>
      <w:r>
        <w:rPr>
          <w:snapToGrid w:val="0"/>
        </w:rPr>
        <w:t>.</w:t>
      </w:r>
      <w:r>
        <w:rPr>
          <w:snapToGrid w:val="0"/>
        </w:rPr>
        <w:tab/>
        <w:t>Commencement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ind w:left="890" w:hanging="890"/>
      </w:pPr>
      <w:r>
        <w:t>[</w:t>
      </w:r>
      <w:r>
        <w:rPr>
          <w:b/>
        </w:rPr>
        <w:t>3.</w:t>
      </w:r>
      <w:del w:id="36" w:author="svcMRProcess" w:date="2020-02-13T23:26:00Z">
        <w:r>
          <w:tab/>
        </w:r>
      </w:del>
      <w:r>
        <w:tab/>
        <w:t>Repealed by No. 11 of 1992 s. 26.]</w:t>
      </w:r>
    </w:p>
    <w:p>
      <w:pPr>
        <w:pStyle w:val="Heading5"/>
        <w:rPr>
          <w:snapToGrid w:val="0"/>
        </w:rPr>
      </w:pPr>
      <w:bookmarkStart w:id="37" w:name="_Toc519996747"/>
      <w:bookmarkStart w:id="38" w:name="_Toc4564319"/>
      <w:bookmarkStart w:id="39" w:name="_Toc6885569"/>
      <w:bookmarkStart w:id="40" w:name="_Toc131327350"/>
      <w:bookmarkStart w:id="41" w:name="_Toc151285172"/>
      <w:r>
        <w:rPr>
          <w:rStyle w:val="CharSectno"/>
        </w:rPr>
        <w:t>4</w:t>
      </w:r>
      <w:r>
        <w:rPr>
          <w:snapToGrid w:val="0"/>
        </w:rPr>
        <w:t>.</w:t>
      </w:r>
      <w:r>
        <w:rPr>
          <w:snapToGrid w:val="0"/>
        </w:rPr>
        <w:tab/>
        <w:t>Interpretation</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b/>
        </w:rPr>
        <w:t>“</w:t>
      </w:r>
      <w:r>
        <w:rPr>
          <w:rStyle w:val="CharDefText"/>
        </w:rPr>
        <w:t>ADI</w:t>
      </w:r>
      <w:r>
        <w:rPr>
          <w:b/>
        </w:rPr>
        <w:t>”</w:t>
      </w:r>
      <w:r>
        <w:t xml:space="preserve"> means an </w:t>
      </w:r>
      <w:del w:id="42" w:author="svcMRProcess" w:date="2020-02-13T23:26:00Z">
        <w:r>
          <w:delText>authorized</w:delText>
        </w:r>
      </w:del>
      <w:ins w:id="43" w:author="svcMRProcess" w:date="2020-02-13T23:26:00Z">
        <w:r>
          <w:t>authorised</w:t>
        </w:r>
      </w:ins>
      <w:r>
        <w:t xml:space="preserve"> deposit</w:t>
      </w:r>
      <w:r>
        <w:noBreakHyphen/>
        <w:t xml:space="preserve">taking institution as defined in section 5 of the </w:t>
      </w:r>
      <w:r>
        <w:rPr>
          <w:i/>
        </w:rPr>
        <w:t>Banking Act 1959</w:t>
      </w:r>
      <w:r>
        <w:t xml:space="preserve"> of the Commonwealth;</w:t>
      </w:r>
    </w:p>
    <w:p>
      <w:pPr>
        <w:pStyle w:val="Defstart"/>
      </w:pPr>
      <w:r>
        <w:rPr>
          <w:b/>
        </w:rPr>
        <w:tab/>
        <w:t>“</w:t>
      </w:r>
      <w:r>
        <w:rPr>
          <w:rStyle w:val="CharDefText"/>
        </w:rPr>
        <w:t>approved area</w:t>
      </w:r>
      <w:r>
        <w:rPr>
          <w:b/>
        </w:rPr>
        <w:t>”</w:t>
      </w:r>
      <w:r>
        <w:t>, in relation to race course, means an area approved by the committee or other authority controlling that race course as a place where betting to which section 4B applies may be carried on;</w:t>
      </w:r>
    </w:p>
    <w:p>
      <w:pPr>
        <w:pStyle w:val="Defstart"/>
      </w:pPr>
      <w:r>
        <w:tab/>
      </w:r>
      <w:r>
        <w:rPr>
          <w:b/>
        </w:rPr>
        <w:t>“</w:t>
      </w:r>
      <w:r>
        <w:rPr>
          <w:rStyle w:val="CharDefText"/>
        </w:rPr>
        <w:t>authorised officer</w:t>
      </w:r>
      <w:r>
        <w:rPr>
          <w:b/>
        </w:rPr>
        <w:t>”</w:t>
      </w:r>
      <w:r>
        <w:t xml:space="preserve"> has the meaning given to that term in the </w:t>
      </w:r>
      <w:r>
        <w:rPr>
          <w:i/>
        </w:rPr>
        <w:t>Gaming and Wagering Commission Act 1987</w:t>
      </w:r>
      <w:r>
        <w:t xml:space="preserve">; </w:t>
      </w:r>
    </w:p>
    <w:p>
      <w:pPr>
        <w:pStyle w:val="Defstart"/>
      </w:pPr>
      <w:r>
        <w:rPr>
          <w:b/>
        </w:rPr>
        <w:tab/>
        <w:t>“</w:t>
      </w:r>
      <w:r>
        <w:rPr>
          <w:rStyle w:val="CharDefText"/>
        </w:rPr>
        <w:t>betting material</w:t>
      </w:r>
      <w:r>
        <w:rPr>
          <w:b/>
        </w:rPr>
        <w:t>”</w:t>
      </w:r>
      <w:r>
        <w:t xml:space="preserve"> includes — </w:t>
      </w:r>
    </w:p>
    <w:p>
      <w:pPr>
        <w:pStyle w:val="Defpara"/>
      </w:pPr>
      <w:r>
        <w:tab/>
        <w:t>(a)</w:t>
      </w:r>
      <w:r>
        <w:tab/>
        <w:t>any list, card, board, racebook, ticket, voucher or other record of any race or sporting event or any betting transaction; and</w:t>
      </w:r>
    </w:p>
    <w:p>
      <w:pPr>
        <w:pStyle w:val="Defpara"/>
      </w:pPr>
      <w:r>
        <w:tab/>
        <w:t>(b)</w:t>
      </w:r>
      <w:r>
        <w:tab/>
        <w:t>any accounts or accounting record,</w:t>
      </w:r>
    </w:p>
    <w:p>
      <w:pPr>
        <w:pStyle w:val="Defstart"/>
      </w:pPr>
      <w:r>
        <w:tab/>
      </w:r>
      <w:r>
        <w:tab/>
        <w:t>however compiled, recorded or stored, and any computer or other machine, used in the course of, or in relation to, betting;</w:t>
      </w:r>
    </w:p>
    <w:p>
      <w:pPr>
        <w:pStyle w:val="Defstart"/>
      </w:pPr>
      <w:r>
        <w:rPr>
          <w:b/>
        </w:rPr>
        <w:lastRenderedPageBreak/>
        <w:tab/>
        <w:t>“</w:t>
      </w:r>
      <w:r>
        <w:rPr>
          <w:rStyle w:val="CharDefText"/>
        </w:rPr>
        <w:t>bookmaker</w:t>
      </w:r>
      <w:r>
        <w:rPr>
          <w:b/>
        </w:rPr>
        <w:t>”</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r>
      <w:r>
        <w:tab/>
        <w:t>(whether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b/>
        </w:rPr>
        <w:t>“</w:t>
      </w:r>
      <w:r>
        <w:rPr>
          <w:rStyle w:val="CharDefText"/>
        </w:rPr>
        <w:t>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condition</w:t>
      </w:r>
      <w:r>
        <w:rPr>
          <w:b/>
        </w:rPr>
        <w:t>”</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consideration</w:t>
      </w:r>
      <w:r>
        <w:rPr>
          <w:b/>
        </w:rPr>
        <w:t>”</w:t>
      </w:r>
      <w:r>
        <w:t xml:space="preserve"> used in relation to bets has the meaning attributed in the interpretation, </w:t>
      </w:r>
      <w:r>
        <w:rPr>
          <w:b/>
        </w:rPr>
        <w:t>“</w:t>
      </w:r>
      <w:r>
        <w:rPr>
          <w:rStyle w:val="CharDefText"/>
        </w:rPr>
        <w:t>to bet</w:t>
      </w:r>
      <w:r>
        <w:rPr>
          <w:b/>
        </w:rPr>
        <w:t>”</w:t>
      </w:r>
      <w:r>
        <w:t>;</w:t>
      </w:r>
    </w:p>
    <w:p>
      <w:pPr>
        <w:pStyle w:val="Defstart"/>
      </w:pPr>
      <w:r>
        <w:tab/>
      </w:r>
      <w:r>
        <w:rPr>
          <w:b/>
        </w:rPr>
        <w:t>“</w:t>
      </w:r>
      <w:r>
        <w:rPr>
          <w:rStyle w:val="CharDefText"/>
        </w:rPr>
        <w:t>controlling interest</w:t>
      </w:r>
      <w:r>
        <w:rPr>
          <w:b/>
        </w:rPr>
        <w:t>”</w:t>
      </w:r>
      <w:r>
        <w:t xml:space="preserve"> means an interest in not less than fifty per centum (50%) of the issued shares of the body corporate;</w:t>
      </w:r>
    </w:p>
    <w:p>
      <w:pPr>
        <w:pStyle w:val="Defstart"/>
        <w:rPr>
          <w:b/>
        </w:rPr>
      </w:pPr>
      <w:r>
        <w:rPr>
          <w:b/>
          <w:spacing w:val="-2"/>
        </w:rPr>
        <w:tab/>
        <w:t>“</w:t>
      </w:r>
      <w:r>
        <w:rPr>
          <w:rStyle w:val="CharDefText"/>
        </w:rPr>
        <w:t>designated sporting event</w:t>
      </w:r>
      <w:r>
        <w:rPr>
          <w:b/>
          <w:spacing w:val="-2"/>
        </w:rPr>
        <w:t>”</w:t>
      </w:r>
      <w:r>
        <w:rPr>
          <w:spacing w:val="-2"/>
        </w:rPr>
        <w:t xml:space="preserve"> means sporting event belonging to such class of sporting events (excluding races but including foot</w:t>
      </w:r>
      <w:r>
        <w:rPr>
          <w:spacing w:val="-2"/>
        </w:rPr>
        <w:noBreakHyphen/>
        <w:t>races) as is approved under subsection (1a) for the purposes of section 4A;</w:t>
      </w:r>
    </w:p>
    <w:p>
      <w:pPr>
        <w:pStyle w:val="Defstart"/>
      </w:pPr>
      <w:r>
        <w:rPr>
          <w:b/>
        </w:rPr>
        <w:tab/>
        <w:t>“</w:t>
      </w:r>
      <w:r>
        <w:rPr>
          <w:rStyle w:val="CharDefText"/>
        </w:rPr>
        <w:t>employee</w:t>
      </w:r>
      <w:r>
        <w:rPr>
          <w:b/>
        </w:rPr>
        <w:t>”</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lastRenderedPageBreak/>
        <w:tab/>
        <w:t>“</w:t>
      </w:r>
      <w:r>
        <w:rPr>
          <w:rStyle w:val="CharDefText"/>
        </w:rPr>
        <w:t>equipment</w:t>
      </w:r>
      <w:r>
        <w:rPr>
          <w:b/>
        </w:rPr>
        <w:t>”</w:t>
      </w:r>
      <w:r>
        <w:t xml:space="preserve"> includes any totalisator or other device employed in relation to betting operations;</w:t>
      </w:r>
    </w:p>
    <w:p>
      <w:pPr>
        <w:pStyle w:val="Defstart"/>
      </w:pPr>
      <w:r>
        <w:tab/>
      </w:r>
      <w:r>
        <w:rPr>
          <w:b/>
        </w:rPr>
        <w:t>“</w:t>
      </w:r>
      <w:r>
        <w:rPr>
          <w:rStyle w:val="CharDefText"/>
        </w:rPr>
        <w:t>fixed odds bet</w:t>
      </w:r>
      <w:r>
        <w:rPr>
          <w:b/>
        </w:rPr>
        <w:t>”</w:t>
      </w:r>
      <w:r>
        <w:t xml:space="preserve"> has the meaning given to that term in the RWWA Act;</w:t>
      </w:r>
    </w:p>
    <w:p>
      <w:pPr>
        <w:pStyle w:val="Defstart"/>
      </w:pPr>
      <w:r>
        <w:rPr>
          <w:b/>
        </w:rPr>
        <w:tab/>
        <w:t>“</w:t>
      </w:r>
      <w:r>
        <w:rPr>
          <w:rStyle w:val="CharDefText"/>
        </w:rPr>
        <w:t>licence</w:t>
      </w:r>
      <w:r>
        <w:rPr>
          <w:b/>
        </w:rPr>
        <w:t>”</w:t>
      </w:r>
      <w:r>
        <w:t xml:space="preserve"> means a licence issued under this Act;</w:t>
      </w:r>
    </w:p>
    <w:p>
      <w:pPr>
        <w:pStyle w:val="Defstart"/>
      </w:pPr>
      <w:r>
        <w:rPr>
          <w:b/>
        </w:rPr>
        <w:tab/>
        <w:t>“</w:t>
      </w:r>
      <w:r>
        <w:rPr>
          <w:rStyle w:val="CharDefText"/>
        </w:rPr>
        <w:t>licensed employee</w:t>
      </w:r>
      <w:r>
        <w:rPr>
          <w:b/>
        </w:rPr>
        <w:t>”</w:t>
      </w:r>
      <w:r>
        <w:t xml:space="preserve"> means the holder of a bookmaker’s employee licence issued under section 11;</w:t>
      </w:r>
    </w:p>
    <w:p>
      <w:pPr>
        <w:pStyle w:val="Defstart"/>
      </w:pPr>
      <w:r>
        <w:tab/>
      </w:r>
      <w:r>
        <w:rPr>
          <w:b/>
        </w:rPr>
        <w:t>“</w:t>
      </w:r>
      <w:r>
        <w:rPr>
          <w:rStyle w:val="CharDefText"/>
        </w:rPr>
        <w:t>licensed manager</w:t>
      </w:r>
      <w:r>
        <w:rPr>
          <w:b/>
        </w:rPr>
        <w:t>”</w:t>
      </w:r>
      <w:r>
        <w:t xml:space="preserve"> means the holder of a bookmaker’s manager licence issued under section 11 or a person acting as a licensed manager under section 11B(12) or 11C(11);</w:t>
      </w:r>
    </w:p>
    <w:p>
      <w:pPr>
        <w:pStyle w:val="Defstart"/>
      </w:pPr>
      <w:r>
        <w:rPr>
          <w:b/>
        </w:rPr>
        <w:tab/>
        <w:t>“</w:t>
      </w:r>
      <w:r>
        <w:rPr>
          <w:rStyle w:val="CharDefText"/>
        </w:rPr>
        <w:t>machine</w:t>
      </w:r>
      <w:r>
        <w:rPr>
          <w:b/>
        </w:rPr>
        <w:t>”</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money</w:t>
      </w:r>
      <w:r>
        <w:rPr>
          <w:b/>
        </w:rPr>
        <w:t>”</w:t>
      </w:r>
      <w:r>
        <w:t xml:space="preserve"> includes bank notes, bank drafts, cheques and any other orders, warrants, authorities, or requests, for the payment of money;</w:t>
      </w:r>
    </w:p>
    <w:p>
      <w:pPr>
        <w:pStyle w:val="Defstart"/>
        <w:rPr>
          <w:b/>
        </w:rPr>
      </w:pPr>
      <w:r>
        <w:rPr>
          <w:b/>
          <w:spacing w:val="-2"/>
        </w:rPr>
        <w:tab/>
        <w:t>“</w:t>
      </w:r>
      <w:r>
        <w:rPr>
          <w:rStyle w:val="CharDefText"/>
        </w:rPr>
        <w:t>permittee</w:t>
      </w:r>
      <w:r>
        <w:rPr>
          <w:b/>
          <w:spacing w:val="-2"/>
        </w:rPr>
        <w:t>”</w:t>
      </w:r>
      <w:r>
        <w:rPr>
          <w:spacing w:val="-2"/>
        </w:rPr>
        <w:t xml:space="preserve"> means </w:t>
      </w:r>
      <w:r>
        <w:t>holder</w:t>
      </w:r>
      <w:r>
        <w:rPr>
          <w:spacing w:val="-2"/>
        </w:rPr>
        <w:t xml:space="preserve"> of a permit granted under section 4A;</w:t>
      </w:r>
    </w:p>
    <w:p>
      <w:pPr>
        <w:pStyle w:val="Defstart"/>
      </w:pPr>
      <w:r>
        <w:rPr>
          <w:b/>
        </w:rPr>
        <w:tab/>
        <w:t>“</w:t>
      </w:r>
      <w:r>
        <w:rPr>
          <w:rStyle w:val="CharDefText"/>
        </w:rPr>
        <w:t>place</w:t>
      </w:r>
      <w:r>
        <w:rPr>
          <w:b/>
        </w:rPr>
        <w:t>”</w:t>
      </w:r>
      <w:r>
        <w:t xml:space="preserve"> includes any part of any building, structure, house, office, room, tent, enclosure, premises or land, or of any vessel, vehicle, train or aircraft whether or not stationary;</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public place</w:t>
      </w:r>
      <w:r>
        <w:rPr>
          <w:b/>
        </w:rPr>
        <w:t>”</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t>“</w:t>
      </w:r>
      <w:r>
        <w:rPr>
          <w:rStyle w:val="CharDefText"/>
        </w:rPr>
        <w:t>race</w:t>
      </w:r>
      <w:r>
        <w:rPr>
          <w:b/>
        </w:rPr>
        <w:t>”</w:t>
      </w:r>
      <w:r>
        <w:t xml:space="preserve"> means a race of any kind by horses whether ridden or driven or by greyhounds, but does not include a race conducted as a trial;</w:t>
      </w:r>
    </w:p>
    <w:p>
      <w:pPr>
        <w:pStyle w:val="Defstart"/>
      </w:pPr>
      <w:r>
        <w:rPr>
          <w:b/>
        </w:rPr>
        <w:tab/>
        <w:t>“</w:t>
      </w:r>
      <w:r>
        <w:rPr>
          <w:rStyle w:val="CharDefText"/>
        </w:rPr>
        <w:t>race course</w:t>
      </w:r>
      <w:r>
        <w:rPr>
          <w:b/>
        </w:rPr>
        <w:t>”</w:t>
      </w:r>
      <w:r>
        <w:t xml:space="preserve"> means a race course used for races;</w:t>
      </w:r>
    </w:p>
    <w:p>
      <w:pPr>
        <w:pStyle w:val="Defstart"/>
        <w:rPr>
          <w:ins w:id="44" w:author="svcMRProcess" w:date="2020-02-13T23:26:00Z"/>
        </w:rPr>
      </w:pPr>
      <w:ins w:id="45" w:author="svcMRProcess" w:date="2020-02-13T23:26:00Z">
        <w:r>
          <w:rPr>
            <w:b/>
          </w:rPr>
          <w:tab/>
          <w:t>“</w:t>
        </w:r>
        <w:r>
          <w:rPr>
            <w:rStyle w:val="CharDefText"/>
          </w:rPr>
          <w:t>race meeting</w:t>
        </w:r>
        <w:r>
          <w:rPr>
            <w:b/>
          </w:rPr>
          <w:t>”</w:t>
        </w:r>
        <w:r>
          <w:t xml:space="preserve"> means a meeting at which races are held;</w:t>
        </w:r>
      </w:ins>
    </w:p>
    <w:p>
      <w:pPr>
        <w:pStyle w:val="Defstart"/>
      </w:pPr>
      <w:r>
        <w:rPr>
          <w:b/>
        </w:rPr>
        <w:tab/>
        <w:t>“</w:t>
      </w:r>
      <w:r>
        <w:rPr>
          <w:rStyle w:val="CharDefText"/>
        </w:rPr>
        <w:t>racing club</w:t>
      </w:r>
      <w:r>
        <w:rPr>
          <w:b/>
        </w:rPr>
        <w:t>”</w:t>
      </w:r>
      <w:r>
        <w:t xml:space="preserve"> means a body which conducts race meetings;</w:t>
      </w:r>
    </w:p>
    <w:p>
      <w:pPr>
        <w:pStyle w:val="Defstart"/>
        <w:spacing w:before="60"/>
        <w:rPr>
          <w:del w:id="46" w:author="svcMRProcess" w:date="2020-02-13T23:26:00Z"/>
        </w:rPr>
      </w:pPr>
      <w:del w:id="47" w:author="svcMRProcess" w:date="2020-02-13T23:26:00Z">
        <w:r>
          <w:rPr>
            <w:b/>
          </w:rPr>
          <w:tab/>
          <w:delText>“</w:delText>
        </w:r>
        <w:r>
          <w:rPr>
            <w:rStyle w:val="CharDefText"/>
          </w:rPr>
          <w:delText>race meeting</w:delText>
        </w:r>
        <w:r>
          <w:rPr>
            <w:b/>
          </w:rPr>
          <w:delText>”</w:delText>
        </w:r>
        <w:r>
          <w:delText xml:space="preserve"> means a meeting at which races are held;</w:delText>
        </w:r>
      </w:del>
    </w:p>
    <w:p>
      <w:pPr>
        <w:pStyle w:val="Defstart"/>
      </w:pPr>
      <w:r>
        <w:rPr>
          <w:b/>
        </w:rPr>
        <w:tab/>
        <w:t>“</w:t>
      </w:r>
      <w:r>
        <w:rPr>
          <w:rStyle w:val="CharDefText"/>
        </w:rPr>
        <w:t>record</w:t>
      </w:r>
      <w:r>
        <w:rPr>
          <w:b/>
        </w:rPr>
        <w:t>”</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rPr>
          <w:spacing w:val="-2"/>
        </w:rPr>
      </w:pPr>
      <w:r>
        <w:rPr>
          <w:b/>
          <w:spacing w:val="-2"/>
        </w:rPr>
        <w:tab/>
        <w:t>“</w:t>
      </w:r>
      <w:r>
        <w:rPr>
          <w:rStyle w:val="CharDefText"/>
        </w:rPr>
        <w:t>registered place</w:t>
      </w:r>
      <w:r>
        <w:rPr>
          <w:b/>
          <w:spacing w:val="-2"/>
        </w:rPr>
        <w:t>”</w:t>
      </w:r>
      <w:r>
        <w:rPr>
          <w:spacing w:val="-2"/>
        </w:rPr>
        <w:t xml:space="preserve"> </w:t>
      </w:r>
      <w:r>
        <w:t>means</w:t>
      </w:r>
      <w:r>
        <w:rPr>
          <w:spacing w:val="-2"/>
        </w:rPr>
        <w:t xml:space="preserve"> place registered under section 4A(4) in respect of designated sporting events of the relevant class;</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steward</w:t>
      </w:r>
      <w:r>
        <w:rPr>
          <w:b/>
        </w:rPr>
        <w:t>”</w:t>
      </w:r>
      <w:r>
        <w:t xml:space="preserve"> means a steward appointed under the RWWA Act;</w:t>
      </w:r>
    </w:p>
    <w:p>
      <w:pPr>
        <w:pStyle w:val="Defstart"/>
      </w:pPr>
      <w:r>
        <w:rPr>
          <w:b/>
        </w:rPr>
        <w:tab/>
        <w:t>“</w:t>
      </w:r>
      <w:r>
        <w:rPr>
          <w:rStyle w:val="CharDefText"/>
        </w:rPr>
        <w:t>ticket</w:t>
      </w:r>
      <w:r>
        <w:rPr>
          <w:b/>
        </w:rPr>
        <w:t>”</w:t>
      </w:r>
      <w:r>
        <w:t xml:space="preserve"> means a betting ticket or a totalisator ticket;</w:t>
      </w:r>
    </w:p>
    <w:p>
      <w:pPr>
        <w:pStyle w:val="Defstart"/>
      </w:pPr>
      <w:r>
        <w:rPr>
          <w:b/>
        </w:rPr>
        <w:tab/>
        <w:t>“</w:t>
      </w:r>
      <w:r>
        <w:rPr>
          <w:rStyle w:val="CharDefText"/>
        </w:rPr>
        <w:t>to bet</w:t>
      </w:r>
      <w:r>
        <w:rPr>
          <w:b/>
        </w:rPr>
        <w:t>”</w:t>
      </w:r>
      <w:r>
        <w:t xml:space="preserve"> means to pay or deliver, or promise or agree to pay or deliver, or to receive or agree or promise to receive, any money or other property for the consideration for — </w:t>
      </w:r>
    </w:p>
    <w:p>
      <w:pPr>
        <w:pStyle w:val="Defpara"/>
        <w:rPr>
          <w:spacing w:val="-4"/>
        </w:rPr>
      </w:pPr>
      <w:r>
        <w:rPr>
          <w:spacing w:val="-4"/>
        </w:rPr>
        <w:tab/>
        <w:t>(a)</w:t>
      </w:r>
      <w:r>
        <w:rPr>
          <w:spacing w:val="-4"/>
        </w:rP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t>“</w:t>
      </w:r>
      <w:r>
        <w:rPr>
          <w:rStyle w:val="CharDefText"/>
        </w:rPr>
        <w:t>totalisator</w:t>
      </w:r>
      <w:r>
        <w:rPr>
          <w:b/>
        </w:rPr>
        <w:t>”</w:t>
      </w:r>
      <w:r>
        <w:t xml:space="preserve"> and </w:t>
      </w:r>
      <w:r>
        <w:rPr>
          <w:b/>
        </w:rPr>
        <w:t>“</w:t>
      </w:r>
      <w:r>
        <w:rPr>
          <w:rStyle w:val="CharDefText"/>
        </w:rPr>
        <w:t>totalisator ticket</w:t>
      </w:r>
      <w:r>
        <w:rPr>
          <w:b/>
        </w:rPr>
        <w:t>”</w:t>
      </w:r>
      <w:r>
        <w:t xml:space="preserve"> have for the purposes of this Act the same respective meanings as they have for the purposes of the RWWA Act;</w:t>
      </w:r>
    </w:p>
    <w:p>
      <w:pPr>
        <w:pStyle w:val="Defstart"/>
      </w:pPr>
      <w:r>
        <w:rPr>
          <w:b/>
        </w:rPr>
        <w:tab/>
        <w:t>“</w:t>
      </w:r>
      <w:r>
        <w:rPr>
          <w:rStyle w:val="CharDefText"/>
        </w:rPr>
        <w:t>totalisator agency</w:t>
      </w:r>
      <w:r>
        <w:rPr>
          <w:b/>
        </w:rPr>
        <w:t>”</w:t>
      </w:r>
      <w:r>
        <w:t xml:space="preserve"> means any totalisator agency established by RWWA, and includes any premises on which bets on a race or sporting event may be made on a totalisator through or with RWWA.</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rPr>
          <w:spacing w:val="-2"/>
        </w:rPr>
      </w:pPr>
      <w:r>
        <w:rPr>
          <w:spacing w:val="-2"/>
        </w:rPr>
        <w:tab/>
        <w:t>(b)</w:t>
      </w:r>
      <w:r>
        <w:rPr>
          <w:spacing w:val="-2"/>
        </w:rPr>
        <w:tab/>
      </w:r>
      <w:r>
        <w:t>amend</w:t>
      </w:r>
      <w:r>
        <w:rPr>
          <w:spacing w:val="-2"/>
        </w:rPr>
        <w:t xml:space="preserve">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w:t>
      </w:r>
    </w:p>
    <w:p>
      <w:pPr>
        <w:pStyle w:val="Indenta"/>
      </w:pPr>
      <w:r>
        <w:tab/>
        <w:t>(aa)</w:t>
      </w:r>
      <w:r>
        <w:tab/>
        <w:t>to a bookmaker, includes a reference to a licensed manager acting under section 11D(5);</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w:t>
      </w:r>
    </w:p>
    <w:p>
      <w:pPr>
        <w:pStyle w:val="Indenta"/>
      </w:pPr>
      <w:r>
        <w:tab/>
        <w:t>(b)</w:t>
      </w:r>
      <w:r>
        <w:tab/>
        <w:t>exercises or exerts, or is in a position to exercise or exert, control or substantial influence over the body corporate in the conduct of its affairs;</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No. 38 of 2005 s. 15.] </w:t>
      </w:r>
    </w:p>
    <w:p>
      <w:pPr>
        <w:pStyle w:val="Heading5"/>
      </w:pPr>
      <w:bookmarkStart w:id="48" w:name="_Toc519996748"/>
      <w:bookmarkStart w:id="49" w:name="_Toc4564320"/>
      <w:bookmarkStart w:id="50" w:name="_Toc6885570"/>
      <w:bookmarkStart w:id="51" w:name="_Toc131327351"/>
      <w:bookmarkStart w:id="52" w:name="_Toc151285173"/>
      <w:r>
        <w:rPr>
          <w:rStyle w:val="CharSectno"/>
        </w:rPr>
        <w:t>4A</w:t>
      </w:r>
      <w:r>
        <w:t>.</w:t>
      </w:r>
      <w:r>
        <w:tab/>
        <w:t>Application of this Act to certain sporting events other than races</w:t>
      </w:r>
      <w:bookmarkEnd w:id="48"/>
      <w:bookmarkEnd w:id="49"/>
      <w:bookmarkEnd w:id="50"/>
      <w:bookmarkEnd w:id="51"/>
      <w:bookmarkEnd w:id="52"/>
    </w:p>
    <w:p>
      <w:pPr>
        <w:pStyle w:val="Subsection"/>
      </w:pPr>
      <w:r>
        <w:tab/>
        <w:t>(1)</w:t>
      </w:r>
      <w:r>
        <w:tab/>
        <w:t>This Act applies to and in relation to a designated sporting event conducted by a permittee at a registered place as though — </w:t>
      </w:r>
    </w:p>
    <w:p>
      <w:pPr>
        <w:pStyle w:val="Indenta"/>
      </w:pPr>
      <w:r>
        <w:tab/>
        <w:t>(a)</w:t>
      </w:r>
      <w:r>
        <w:tab/>
        <w:t>the designated sporting event were a race;</w:t>
      </w:r>
    </w:p>
    <w:p>
      <w:pPr>
        <w:pStyle w:val="Indenta"/>
        <w:rPr>
          <w:spacing w:val="-2"/>
        </w:rPr>
      </w:pPr>
      <w:r>
        <w:rPr>
          <w:spacing w:val="-2"/>
        </w:rPr>
        <w:tab/>
        <w:t>(b)</w:t>
      </w:r>
      <w:r>
        <w:rPr>
          <w:spacing w:val="-2"/>
        </w:rPr>
        <w:tab/>
        <w:t xml:space="preserve">the </w:t>
      </w:r>
      <w:r>
        <w:t>permittee</w:t>
      </w:r>
      <w:r>
        <w:rPr>
          <w:spacing w:val="-2"/>
        </w:rPr>
        <w:t xml:space="preserve"> were a racing club; and</w:t>
      </w:r>
    </w:p>
    <w:p>
      <w:pPr>
        <w:pStyle w:val="Indenta"/>
        <w:rPr>
          <w:spacing w:val="-2"/>
        </w:rPr>
      </w:pPr>
      <w:r>
        <w:rPr>
          <w:spacing w:val="-2"/>
        </w:rPr>
        <w:tab/>
        <w:t>(c)</w:t>
      </w:r>
      <w:r>
        <w:rPr>
          <w:spacing w:val="-2"/>
        </w:rPr>
        <w:tab/>
        <w:t xml:space="preserve">the </w:t>
      </w:r>
      <w:r>
        <w:t>registered</w:t>
      </w:r>
      <w:r>
        <w:rPr>
          <w:spacing w:val="-2"/>
        </w:rPr>
        <w:t xml:space="preserve"> place were a race course.</w:t>
      </w:r>
    </w:p>
    <w:p>
      <w:pPr>
        <w:pStyle w:val="Subsection"/>
        <w:rPr>
          <w:spacing w:val="-2"/>
        </w:rPr>
      </w:pPr>
      <w:r>
        <w:rPr>
          <w:spacing w:val="-2"/>
        </w:rPr>
        <w:tab/>
        <w:t>(2)</w:t>
      </w:r>
      <w:r>
        <w:rPr>
          <w:spacing w:val="-2"/>
        </w:rPr>
        <w:tab/>
        <w:t xml:space="preserve">A </w:t>
      </w:r>
      <w:r>
        <w:t>person</w:t>
      </w:r>
      <w:r>
        <w:rPr>
          <w:spacing w:val="-2"/>
        </w:rPr>
        <w:t xml:space="preserve"> who desires to conduct a designated sporting event at a registered place shall — </w:t>
      </w:r>
    </w:p>
    <w:p>
      <w:pPr>
        <w:pStyle w:val="Indenta"/>
        <w:rPr>
          <w:spacing w:val="-2"/>
        </w:rPr>
      </w:pPr>
      <w:r>
        <w:rPr>
          <w:spacing w:val="-2"/>
        </w:rPr>
        <w:tab/>
        <w:t>(a)</w:t>
      </w:r>
      <w:r>
        <w:rPr>
          <w:spacing w:val="-2"/>
        </w:rPr>
        <w:tab/>
      </w:r>
      <w:r>
        <w:t>apply</w:t>
      </w:r>
      <w:r>
        <w:rPr>
          <w:spacing w:val="-2"/>
        </w:rPr>
        <w:t xml:space="preserve"> to the </w:t>
      </w:r>
      <w:r>
        <w:t>Commission in a form approved by the Commission</w:t>
      </w:r>
      <w:r>
        <w:rPr>
          <w:spacing w:val="-2"/>
        </w:rPr>
        <w:t xml:space="preserve"> for the grant of a permit; and</w:t>
      </w:r>
    </w:p>
    <w:p>
      <w:pPr>
        <w:pStyle w:val="Indenta"/>
        <w:rPr>
          <w:spacing w:val="-2"/>
        </w:rPr>
      </w:pPr>
      <w:r>
        <w:rPr>
          <w:spacing w:val="-2"/>
        </w:rPr>
        <w:tab/>
        <w:t>(b)</w:t>
      </w:r>
      <w:r>
        <w:rPr>
          <w:spacing w:val="-2"/>
        </w:rPr>
        <w:tab/>
      </w:r>
      <w:r>
        <w:t>indicate</w:t>
      </w:r>
      <w:r>
        <w:rPr>
          <w:spacing w:val="-2"/>
        </w:rPr>
        <w:t xml:space="preserve"> in that application the place at which the designated sporting event is to be conducted under the permit by that person.</w:t>
      </w:r>
    </w:p>
    <w:p>
      <w:pPr>
        <w:pStyle w:val="Subsection"/>
        <w:rPr>
          <w:spacing w:val="-2"/>
        </w:rPr>
      </w:pPr>
      <w:r>
        <w:rPr>
          <w:spacing w:val="-2"/>
        </w:rPr>
        <w:tab/>
        <w:t>(3)</w:t>
      </w:r>
      <w:r>
        <w:rPr>
          <w:spacing w:val="-2"/>
        </w:rPr>
        <w:tab/>
        <w:t xml:space="preserve">An </w:t>
      </w:r>
      <w:r>
        <w:t>application</w:t>
      </w:r>
      <w:r>
        <w:rPr>
          <w:spacing w:val="-2"/>
        </w:rPr>
        <w:t xml:space="preserve"> under subsection (2) shall be accompanied by such information as is prescribed, and the applicant shall furnish the </w:t>
      </w:r>
      <w:r>
        <w:t>Commission</w:t>
      </w:r>
      <w:r>
        <w:rPr>
          <w:spacing w:val="-2"/>
        </w:rPr>
        <w:t xml:space="preserve"> with such additional information as the </w:t>
      </w:r>
      <w:r>
        <w:t>Commission</w:t>
      </w:r>
      <w:r>
        <w:rPr>
          <w:spacing w:val="-2"/>
        </w:rPr>
        <w:t xml:space="preserve"> directs.</w:t>
      </w:r>
    </w:p>
    <w:p>
      <w:pPr>
        <w:pStyle w:val="Subsection"/>
        <w:keepNext/>
        <w:rPr>
          <w:spacing w:val="-2"/>
        </w:rPr>
      </w:pPr>
      <w:r>
        <w:rPr>
          <w:spacing w:val="-2"/>
        </w:rPr>
        <w:tab/>
        <w:t>(4)</w:t>
      </w:r>
      <w:r>
        <w:rPr>
          <w:spacing w:val="-2"/>
        </w:rPr>
        <w:tab/>
        <w:t xml:space="preserve">The </w:t>
      </w:r>
      <w:r>
        <w:t>Commission</w:t>
      </w:r>
      <w:r>
        <w:rPr>
          <w:spacing w:val="-2"/>
        </w:rPr>
        <w:t xml:space="preserve"> may — </w:t>
      </w:r>
    </w:p>
    <w:p>
      <w:pPr>
        <w:pStyle w:val="Indenta"/>
        <w:rPr>
          <w:spacing w:val="-2"/>
        </w:rPr>
      </w:pPr>
      <w:r>
        <w:rPr>
          <w:spacing w:val="-2"/>
        </w:rPr>
        <w:tab/>
        <w:t>(a)</w:t>
      </w:r>
      <w:r>
        <w:rPr>
          <w:spacing w:val="-2"/>
        </w:rPr>
        <w:tab/>
      </w:r>
      <w:r>
        <w:t>grant</w:t>
      </w:r>
      <w:r>
        <w:rPr>
          <w:spacing w:val="-2"/>
        </w:rPr>
        <w:t xml:space="preserve">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w:t>
      </w:r>
    </w:p>
    <w:p>
      <w:pPr>
        <w:pStyle w:val="Indenta"/>
        <w:rPr>
          <w:spacing w:val="-2"/>
        </w:rPr>
      </w:pPr>
      <w:r>
        <w:rPr>
          <w:spacing w:val="-2"/>
        </w:rPr>
        <w:tab/>
        <w:t>(b)</w:t>
      </w:r>
      <w:r>
        <w:rPr>
          <w:spacing w:val="-2"/>
        </w:rPr>
        <w:tab/>
      </w:r>
      <w:r>
        <w:t>refuse</w:t>
      </w:r>
      <w:r>
        <w:rPr>
          <w:spacing w:val="-2"/>
        </w:rPr>
        <w:t xml:space="preserve"> to grant a permit applied for under subsection (2); or</w:t>
      </w:r>
    </w:p>
    <w:p>
      <w:pPr>
        <w:pStyle w:val="Indenta"/>
        <w:rPr>
          <w:spacing w:val="-2"/>
        </w:rPr>
      </w:pPr>
      <w:r>
        <w:rPr>
          <w:spacing w:val="-2"/>
        </w:rPr>
        <w:tab/>
        <w:t>(c)</w:t>
      </w:r>
      <w:r>
        <w:rPr>
          <w:spacing w:val="-2"/>
        </w:rPr>
        <w:tab/>
        <w:t xml:space="preserve">defer </w:t>
      </w:r>
      <w:r>
        <w:t>consideration</w:t>
      </w:r>
      <w:r>
        <w:rPr>
          <w:spacing w:val="-2"/>
        </w:rPr>
        <w:t xml:space="preserve"> of an application under subsection (2),</w:t>
      </w:r>
    </w:p>
    <w:p>
      <w:pPr>
        <w:pStyle w:val="Subsection"/>
        <w:rPr>
          <w:spacing w:val="-2"/>
        </w:rPr>
      </w:pPr>
      <w:r>
        <w:rPr>
          <w:spacing w:val="-2"/>
        </w:rPr>
        <w:tab/>
      </w:r>
      <w:r>
        <w:rPr>
          <w:spacing w:val="-2"/>
        </w:rPr>
        <w:tab/>
        <w:t xml:space="preserve">as the </w:t>
      </w:r>
      <w:r>
        <w:t>Commission thinks</w:t>
      </w:r>
      <w:r>
        <w:rPr>
          <w:spacing w:val="-2"/>
        </w:rPr>
        <w:t xml:space="preserve"> fit.</w:t>
      </w:r>
    </w:p>
    <w:p>
      <w:pPr>
        <w:pStyle w:val="Subsection"/>
        <w:rPr>
          <w:spacing w:val="-2"/>
        </w:rPr>
      </w:pPr>
      <w:r>
        <w:rPr>
          <w:spacing w:val="-2"/>
        </w:rPr>
        <w:tab/>
        <w:t>(5)</w:t>
      </w:r>
      <w:r>
        <w:rPr>
          <w:spacing w:val="-2"/>
        </w:rPr>
        <w:tab/>
        <w:t xml:space="preserve">The </w:t>
      </w:r>
      <w:r>
        <w:t>Commission</w:t>
      </w:r>
      <w:r>
        <w:rPr>
          <w:spacing w:val="-2"/>
        </w:rPr>
        <w:t xml:space="preserve"> may, with respect to a permit, impose conditions, restrictions and prohibitions in relation to the permittee or the registered place or both.</w:t>
      </w:r>
    </w:p>
    <w:p>
      <w:pPr>
        <w:pStyle w:val="Subsection"/>
        <w:rPr>
          <w:spacing w:val="-2"/>
        </w:rPr>
      </w:pPr>
      <w:r>
        <w:rPr>
          <w:spacing w:val="-2"/>
        </w:rPr>
        <w:tab/>
        <w:t>(6)</w:t>
      </w:r>
      <w:r>
        <w:rPr>
          <w:spacing w:val="-2"/>
        </w:rPr>
        <w:tab/>
        <w:t xml:space="preserve">A </w:t>
      </w:r>
      <w:r>
        <w:t>permittee</w:t>
      </w:r>
      <w:r>
        <w:rPr>
          <w:spacing w:val="-2"/>
        </w:rPr>
        <w:t xml:space="preserve"> or other person shall not contravene any condition, restriction or prohibition imposed under subsection (5).</w:t>
      </w:r>
    </w:p>
    <w:p>
      <w:pPr>
        <w:pStyle w:val="Penstart"/>
      </w:pPr>
      <w:r>
        <w:tab/>
        <w:t>Penalty: $500.</w:t>
      </w:r>
    </w:p>
    <w:p>
      <w:pPr>
        <w:pStyle w:val="Subsection"/>
        <w:rPr>
          <w:spacing w:val="-2"/>
        </w:rPr>
      </w:pPr>
      <w:r>
        <w:rPr>
          <w:spacing w:val="-2"/>
        </w:rPr>
        <w:tab/>
        <w:t>(7)</w:t>
      </w:r>
      <w:r>
        <w:rPr>
          <w:spacing w:val="-2"/>
        </w:rPr>
        <w:tab/>
        <w:t xml:space="preserve">The </w:t>
      </w:r>
      <w:r>
        <w:t>Commission</w:t>
      </w:r>
      <w:r>
        <w:rPr>
          <w:spacing w:val="-2"/>
        </w:rPr>
        <w:t xml:space="preserve"> may, whether or not a person is convicted of an offence under subsection (6), cancel or suspend a permit if the </w:t>
      </w:r>
      <w:r>
        <w:t>Commission</w:t>
      </w:r>
      <w:r>
        <w:rPr>
          <w:spacing w:val="-2"/>
        </w:rPr>
        <w:t xml:space="preserve"> is satisfied that any condition, restriction or prohibition imposed under subsection (5) with respect to the permit has not been complied with.</w:t>
      </w:r>
    </w:p>
    <w:p>
      <w:pPr>
        <w:pStyle w:val="Subsection"/>
        <w:rPr>
          <w:spacing w:val="-2"/>
        </w:rPr>
      </w:pPr>
      <w:r>
        <w:rPr>
          <w:spacing w:val="-2"/>
        </w:rPr>
        <w:tab/>
        <w:t>(8)</w:t>
      </w:r>
      <w:r>
        <w:rPr>
          <w:spacing w:val="-2"/>
        </w:rPr>
        <w:tab/>
        <w:t xml:space="preserve">In </w:t>
      </w:r>
      <w:r>
        <w:t>this</w:t>
      </w:r>
      <w:r>
        <w:rPr>
          <w:spacing w:val="-2"/>
        </w:rPr>
        <w:t xml:space="preserve"> section — </w:t>
      </w:r>
    </w:p>
    <w:p>
      <w:pPr>
        <w:pStyle w:val="Defstart"/>
      </w:pPr>
      <w:r>
        <w:fldChar w:fldCharType="begin"/>
      </w:r>
      <w:r>
        <w:instrText>ADVANCE \U 2.80</w:instrText>
      </w:r>
      <w:r>
        <w:fldChar w:fldCharType="end"/>
      </w:r>
      <w:r>
        <w:rPr>
          <w:b/>
        </w:rPr>
        <w:tab/>
        <w:t>“</w:t>
      </w:r>
      <w:r>
        <w:rPr>
          <w:rStyle w:val="CharDefText"/>
        </w:rPr>
        <w:t>permit</w:t>
      </w:r>
      <w:r>
        <w:rPr>
          <w:b/>
        </w:rPr>
        <w:t>”</w:t>
      </w:r>
      <w:r>
        <w:t xml:space="preserve"> means permit granted under subsection (4).</w:t>
      </w:r>
    </w:p>
    <w:p>
      <w:pPr>
        <w:pStyle w:val="Footnotesection"/>
      </w:pPr>
      <w:r>
        <w:tab/>
        <w:t>[Section 4A inserted by No. 17 of 1998 s. 5(1); amended by No. 13 of 2002 s. 5; No. 35 of 2003 s. 102.]</w:t>
      </w:r>
    </w:p>
    <w:p>
      <w:pPr>
        <w:pStyle w:val="Heading5"/>
        <w:rPr>
          <w:snapToGrid w:val="0"/>
        </w:rPr>
      </w:pPr>
      <w:bookmarkStart w:id="53" w:name="_Toc519996749"/>
      <w:bookmarkStart w:id="54" w:name="_Toc4564321"/>
      <w:bookmarkStart w:id="55" w:name="_Toc6885571"/>
      <w:bookmarkStart w:id="56" w:name="_Toc131327352"/>
      <w:bookmarkStart w:id="57" w:name="_Toc151285174"/>
      <w:r>
        <w:rPr>
          <w:rStyle w:val="CharSectno"/>
        </w:rPr>
        <w:t>4B</w:t>
      </w:r>
      <w:r>
        <w:rPr>
          <w:snapToGrid w:val="0"/>
        </w:rPr>
        <w:t>.</w:t>
      </w:r>
      <w:r>
        <w:rPr>
          <w:snapToGrid w:val="0"/>
        </w:rPr>
        <w:tab/>
        <w:t>Application of this Act to sporting events</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rPr>
          <w:spacing w:val="-2"/>
        </w:rP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rPr>
          <w:snapToGrid w:val="0"/>
        </w:rPr>
      </w:pPr>
      <w:bookmarkStart w:id="58" w:name="_Toc519996750"/>
      <w:bookmarkStart w:id="59" w:name="_Toc4564322"/>
      <w:bookmarkStart w:id="60" w:name="_Toc6885572"/>
      <w:bookmarkStart w:id="61" w:name="_Toc131327353"/>
      <w:bookmarkStart w:id="62" w:name="_Toc151285175"/>
      <w:r>
        <w:rPr>
          <w:rStyle w:val="CharSectno"/>
        </w:rPr>
        <w:t>5</w:t>
      </w:r>
      <w:r>
        <w:rPr>
          <w:snapToGrid w:val="0"/>
        </w:rPr>
        <w:t>.</w:t>
      </w:r>
      <w:r>
        <w:rPr>
          <w:snapToGrid w:val="0"/>
        </w:rPr>
        <w:tab/>
      </w:r>
      <w:del w:id="63" w:author="svcMRProcess" w:date="2020-02-13T23:26:00Z">
        <w:r>
          <w:rPr>
            <w:snapToGrid w:val="0"/>
          </w:rPr>
          <w:delText>Legalization</w:delText>
        </w:r>
      </w:del>
      <w:ins w:id="64" w:author="svcMRProcess" w:date="2020-02-13T23:26:00Z">
        <w:r>
          <w:rPr>
            <w:snapToGrid w:val="0"/>
          </w:rPr>
          <w:t>Legalisation</w:t>
        </w:r>
      </w:ins>
      <w:r>
        <w:rPr>
          <w:snapToGrid w:val="0"/>
        </w:rPr>
        <w:t xml:space="preserve"> of betting with bookmakers</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spacing w:before="120"/>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spacing w:before="120"/>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spacing w:before="120"/>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spacing w:before="120"/>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spacing w:before="120"/>
        <w:rPr>
          <w:snapToGrid w:val="0"/>
        </w:rPr>
      </w:pPr>
      <w:r>
        <w:rPr>
          <w:snapToGrid w:val="0"/>
        </w:rPr>
        <w:tab/>
      </w:r>
      <w:r>
        <w:rPr>
          <w:snapToGrid w:val="0"/>
        </w:rPr>
        <w:tab/>
        <w:t>amend or cancel that authority.</w:t>
      </w:r>
    </w:p>
    <w:p>
      <w:pPr>
        <w:pStyle w:val="Subsection"/>
        <w:spacing w:before="120"/>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spacing w:before="120"/>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65" w:name="_Toc131327354"/>
      <w:bookmarkStart w:id="66" w:name="_Toc151285176"/>
      <w:bookmarkStart w:id="67" w:name="_Toc519996751"/>
      <w:bookmarkStart w:id="68" w:name="_Toc4564323"/>
      <w:bookmarkStart w:id="69" w:name="_Toc6885573"/>
      <w:r>
        <w:rPr>
          <w:rStyle w:val="CharSectno"/>
        </w:rPr>
        <w:t>5A</w:t>
      </w:r>
      <w:r>
        <w:t>.</w:t>
      </w:r>
      <w:r>
        <w:tab/>
        <w:t>Communication and broadcasting of information</w:t>
      </w:r>
      <w:bookmarkEnd w:id="65"/>
      <w:bookmarkEnd w:id="66"/>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bookmarkEnd w:id="67"/>
    <w:bookmarkEnd w:id="68"/>
    <w:bookmarkEnd w:id="69"/>
    <w:p>
      <w:pPr>
        <w:pStyle w:val="Ednotesection"/>
        <w:ind w:left="890" w:hanging="890"/>
      </w:pPr>
      <w:r>
        <w:t>[</w:t>
      </w:r>
      <w:r>
        <w:rPr>
          <w:b/>
        </w:rPr>
        <w:t>6, 6A-6G, 7.</w:t>
      </w:r>
      <w:r>
        <w:rPr>
          <w:b/>
        </w:rPr>
        <w:tab/>
      </w:r>
      <w:r>
        <w:t>Repealed by No. 35 of 2003 s. 79.]</w:t>
      </w:r>
    </w:p>
    <w:p>
      <w:pPr>
        <w:pStyle w:val="Ednotesection"/>
        <w:ind w:left="890" w:hanging="890"/>
      </w:pPr>
      <w:r>
        <w:t>[</w:t>
      </w:r>
      <w:r>
        <w:rPr>
          <w:b/>
        </w:rPr>
        <w:t>8.</w:t>
      </w:r>
      <w:r>
        <w:tab/>
        <w:t xml:space="preserve">Repealed by No. 6 of 1987 s. 8] </w:t>
      </w:r>
    </w:p>
    <w:p>
      <w:pPr>
        <w:pStyle w:val="Ednotesection"/>
        <w:ind w:left="890" w:hanging="890"/>
      </w:pPr>
      <w:bookmarkStart w:id="70" w:name="_Toc519996763"/>
      <w:bookmarkStart w:id="71" w:name="_Toc4564335"/>
      <w:bookmarkStart w:id="72" w:name="_Toc6885585"/>
      <w:r>
        <w:t>[</w:t>
      </w:r>
      <w:r>
        <w:rPr>
          <w:b/>
        </w:rPr>
        <w:t>9, 10.</w:t>
      </w:r>
      <w:r>
        <w:rPr>
          <w:b/>
        </w:rPr>
        <w:tab/>
      </w:r>
      <w:r>
        <w:t>Repealed by No. 35 of 2003 s. 79.]</w:t>
      </w:r>
    </w:p>
    <w:p>
      <w:pPr>
        <w:pStyle w:val="Heading2"/>
      </w:pPr>
      <w:bookmarkStart w:id="73" w:name="_Toc89168134"/>
      <w:bookmarkStart w:id="74" w:name="_Toc96937661"/>
      <w:bookmarkStart w:id="75" w:name="_Toc96937769"/>
      <w:bookmarkStart w:id="76" w:name="_Toc101927947"/>
      <w:bookmarkStart w:id="77" w:name="_Toc101928062"/>
      <w:bookmarkStart w:id="78" w:name="_Toc102796913"/>
      <w:bookmarkStart w:id="79" w:name="_Toc122949208"/>
      <w:bookmarkStart w:id="80" w:name="_Toc131327355"/>
      <w:bookmarkStart w:id="81" w:name="_Toc142803236"/>
      <w:bookmarkStart w:id="82" w:name="_Toc142809212"/>
      <w:bookmarkStart w:id="83" w:name="_Toc146426925"/>
      <w:bookmarkStart w:id="84" w:name="_Toc146440094"/>
      <w:bookmarkStart w:id="85" w:name="_Toc148849357"/>
      <w:bookmarkStart w:id="86" w:name="_Toc148858294"/>
      <w:bookmarkStart w:id="87" w:name="_Toc151285177"/>
      <w:r>
        <w:rPr>
          <w:rStyle w:val="CharPartNo"/>
        </w:rPr>
        <w:t>Part 2</w:t>
      </w:r>
      <w:r>
        <w:rPr>
          <w:b w:val="0"/>
        </w:rPr>
        <w:t> </w:t>
      </w:r>
      <w:r>
        <w:t>—</w:t>
      </w:r>
      <w:r>
        <w:rPr>
          <w:b w:val="0"/>
        </w:rPr>
        <w:t> </w:t>
      </w:r>
      <w:r>
        <w:rPr>
          <w:rStyle w:val="CharPartText"/>
        </w:rPr>
        <w:t>Licences, approvals and permits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Footnoteheading"/>
        <w:tabs>
          <w:tab w:val="left" w:pos="851"/>
        </w:tabs>
      </w:pPr>
      <w:r>
        <w:tab/>
        <w:t>[Heading inserted by No. 35 of 2003 s. 101(2).]</w:t>
      </w:r>
    </w:p>
    <w:p>
      <w:pPr>
        <w:pStyle w:val="Heading5"/>
      </w:pPr>
      <w:bookmarkStart w:id="88" w:name="_Toc131327356"/>
      <w:bookmarkStart w:id="89" w:name="_Toc151285178"/>
      <w:r>
        <w:rPr>
          <w:rStyle w:val="CharSectno"/>
        </w:rPr>
        <w:t>11</w:t>
      </w:r>
      <w:r>
        <w:t>.</w:t>
      </w:r>
      <w:r>
        <w:tab/>
        <w:t>Licences and approvals relating to bookmaking</w:t>
      </w:r>
      <w:bookmarkEnd w:id="88"/>
      <w:bookmarkEnd w:id="89"/>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w:t>
      </w:r>
    </w:p>
    <w:p>
      <w:pPr>
        <w:pStyle w:val="Indenta"/>
      </w:pPr>
      <w:r>
        <w:tab/>
        <w:t>(b)</w:t>
      </w:r>
      <w:r>
        <w:tab/>
        <w:t>a bookmaker’s manager licence;</w:t>
      </w:r>
    </w:p>
    <w:p>
      <w:pPr>
        <w:pStyle w:val="Indenta"/>
      </w:pPr>
      <w:r>
        <w:tab/>
        <w:t>(c)</w:t>
      </w:r>
      <w:r>
        <w:tab/>
        <w:t>a bookmaker’s employee licence;</w:t>
      </w:r>
    </w:p>
    <w:p>
      <w:pPr>
        <w:pStyle w:val="Indenta"/>
      </w:pPr>
      <w:r>
        <w:tab/>
        <w:t>(d)</w:t>
      </w:r>
      <w:r>
        <w:tab/>
        <w:t>the renewal of a bookmaker’s manager licence or a bookmaker’s employee licence;</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pPr>
      <w:r>
        <w:tab/>
        <w:t>[Section 11 inserted by No. 13 of 2002 s. 7; amended by No. 35 of 2003 s. 102.]</w:t>
      </w:r>
    </w:p>
    <w:p>
      <w:pPr>
        <w:pStyle w:val="Heading5"/>
      </w:pPr>
      <w:bookmarkStart w:id="90" w:name="_Toc131327357"/>
      <w:bookmarkStart w:id="91" w:name="_Toc151285179"/>
      <w:r>
        <w:rPr>
          <w:rStyle w:val="CharSectno"/>
        </w:rPr>
        <w:t>11A</w:t>
      </w:r>
      <w:r>
        <w:t>.</w:t>
      </w:r>
      <w:r>
        <w:tab/>
        <w:t>Bookmaker’s licence — natural person</w:t>
      </w:r>
      <w:bookmarkEnd w:id="90"/>
      <w:bookmarkEnd w:id="91"/>
    </w:p>
    <w:p>
      <w:pPr>
        <w:pStyle w:val="Subsection"/>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r>
      <w:r>
        <w:rPr>
          <w:snapToGrid w:val="0"/>
        </w:rPr>
        <w:t>is an undischarged bankrupt.</w:t>
      </w:r>
    </w:p>
    <w:p>
      <w:pPr>
        <w:pStyle w:val="Subsection"/>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rPr>
          <w:snapToGrid w:val="0"/>
        </w:rPr>
      </w:pPr>
      <w:r>
        <w:rPr>
          <w:snapToGrid w:val="0"/>
        </w:rPr>
        <w:tab/>
        <w:t>(b)</w:t>
      </w:r>
      <w:r>
        <w:rPr>
          <w:snapToGrid w:val="0"/>
        </w:rPr>
        <w:tab/>
        <w:t xml:space="preserve">in person, or through the agency of a licensed employee, at a place, upon an occasion and in respect of an event </w:t>
      </w:r>
      <w:del w:id="92" w:author="svcMRProcess" w:date="2020-02-13T23:26:00Z">
        <w:r>
          <w:rPr>
            <w:snapToGrid w:val="0"/>
          </w:rPr>
          <w:delText>authorized</w:delText>
        </w:r>
      </w:del>
      <w:ins w:id="93" w:author="svcMRProcess" w:date="2020-02-13T23:26:00Z">
        <w:r>
          <w:rPr>
            <w:snapToGrid w:val="0"/>
          </w:rPr>
          <w:t>authorised</w:t>
        </w:r>
      </w:ins>
      <w:r>
        <w:rPr>
          <w:snapToGrid w:val="0"/>
        </w:rPr>
        <w:t xml:space="preserve"> under section 5(2).</w:t>
      </w:r>
    </w:p>
    <w:p>
      <w:pPr>
        <w:pStyle w:val="Footnotesection"/>
      </w:pPr>
      <w:r>
        <w:tab/>
        <w:t>[Section 11A inserted by No. 13 of 2002 s. 7; amended by No. 35 of 2003 s. 102.]</w:t>
      </w:r>
    </w:p>
    <w:p>
      <w:pPr>
        <w:pStyle w:val="Heading5"/>
      </w:pPr>
      <w:bookmarkStart w:id="94" w:name="_Toc131327358"/>
      <w:bookmarkStart w:id="95" w:name="_Toc151285180"/>
      <w:r>
        <w:rPr>
          <w:rStyle w:val="CharSectno"/>
        </w:rPr>
        <w:t>11B</w:t>
      </w:r>
      <w:r>
        <w:t>.</w:t>
      </w:r>
      <w:r>
        <w:tab/>
        <w:t>Bookmaker’s licence — partnership</w:t>
      </w:r>
      <w:bookmarkEnd w:id="94"/>
      <w:bookmarkEnd w:id="95"/>
    </w:p>
    <w:p>
      <w:pPr>
        <w:pStyle w:val="Subsection"/>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w:t>
      </w:r>
    </w:p>
    <w:p>
      <w:pPr>
        <w:pStyle w:val="Indenta"/>
      </w:pPr>
      <w:r>
        <w:tab/>
        <w:t>(c)</w:t>
      </w:r>
      <w:r>
        <w:tab/>
        <w:t>that none of the members of the partnership is a member of another partnership that holds a bookmaker’s licence;</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rPr>
          <w:snapToGrid w:val="0"/>
        </w:rPr>
      </w:pPr>
      <w:r>
        <w:tab/>
        <w:t>(b)</w:t>
      </w:r>
      <w:r>
        <w:tab/>
      </w:r>
      <w:r>
        <w:rPr>
          <w:snapToGrid w:val="0"/>
        </w:rPr>
        <w:t>is an undischarged bankrupt.</w:t>
      </w:r>
    </w:p>
    <w:p>
      <w:pPr>
        <w:pStyle w:val="Subsection"/>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w:t>
      </w:r>
    </w:p>
    <w:p>
      <w:pPr>
        <w:pStyle w:val="Indenta"/>
      </w:pPr>
      <w:r>
        <w:tab/>
        <w:t>(b)</w:t>
      </w:r>
      <w:r>
        <w:tab/>
        <w:t>the person does not hold a bookmaker’s licence;</w:t>
      </w:r>
    </w:p>
    <w:p>
      <w:pPr>
        <w:pStyle w:val="Indenta"/>
      </w:pPr>
      <w:r>
        <w:tab/>
        <w:t>(c)</w:t>
      </w:r>
      <w:r>
        <w:tab/>
        <w:t>the person does not hold a position of authority in a body corporate that holds a bookmaker’s licence;</w:t>
      </w:r>
    </w:p>
    <w:p>
      <w:pPr>
        <w:pStyle w:val="Indenta"/>
      </w:pPr>
      <w:r>
        <w:tab/>
        <w:t>(d)</w:t>
      </w:r>
      <w:r>
        <w:tab/>
        <w:t>the person is not under the age of 18 years; and</w:t>
      </w:r>
    </w:p>
    <w:p>
      <w:pPr>
        <w:pStyle w:val="Indenta"/>
      </w:pPr>
      <w:r>
        <w:tab/>
        <w:t>(e)</w:t>
      </w:r>
      <w:r>
        <w:tab/>
        <w:t>the person is not an undischarged bankrupt.</w:t>
      </w:r>
    </w:p>
    <w:p>
      <w:pPr>
        <w:pStyle w:val="Subsection"/>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rPr>
          <w:snapToGrid w:val="0"/>
        </w:rPr>
      </w:pPr>
      <w:r>
        <w:rPr>
          <w:snapToGrid w:val="0"/>
        </w:rPr>
        <w:tab/>
        <w:t>(b)</w:t>
      </w:r>
      <w:r>
        <w:rPr>
          <w:snapToGrid w:val="0"/>
        </w:rPr>
        <w:tab/>
        <w:t xml:space="preserve">at a place, upon an occasion and in respect of an event </w:t>
      </w:r>
      <w:del w:id="96" w:author="svcMRProcess" w:date="2020-02-13T23:26:00Z">
        <w:r>
          <w:rPr>
            <w:snapToGrid w:val="0"/>
          </w:rPr>
          <w:delText>authorized</w:delText>
        </w:r>
      </w:del>
      <w:ins w:id="97" w:author="svcMRProcess" w:date="2020-02-13T23:26:00Z">
        <w:r>
          <w:rPr>
            <w:snapToGrid w:val="0"/>
          </w:rPr>
          <w:t>authorised</w:t>
        </w:r>
      </w:ins>
      <w:r>
        <w:rPr>
          <w:snapToGrid w:val="0"/>
        </w:rPr>
        <w:t xml:space="preserve">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w:t>
      </w:r>
    </w:p>
    <w:p>
      <w:pPr>
        <w:pStyle w:val="Heading5"/>
      </w:pPr>
      <w:bookmarkStart w:id="98" w:name="_Toc131327359"/>
      <w:bookmarkStart w:id="99" w:name="_Toc151285181"/>
      <w:r>
        <w:rPr>
          <w:rStyle w:val="CharSectno"/>
        </w:rPr>
        <w:t>11C</w:t>
      </w:r>
      <w:r>
        <w:t>.</w:t>
      </w:r>
      <w:r>
        <w:tab/>
        <w:t>Bookmaker’s licences — body corporate</w:t>
      </w:r>
      <w:bookmarkEnd w:id="98"/>
      <w:bookmarkEnd w:id="99"/>
    </w:p>
    <w:p>
      <w:pPr>
        <w:pStyle w:val="Subsection"/>
        <w:keepNext/>
        <w:keepLines/>
        <w:spacing w:before="200"/>
      </w:pPr>
      <w:r>
        <w:tab/>
        <w:t>(1)</w:t>
      </w:r>
      <w:r>
        <w:tab/>
        <w:t>For a body corporate to be, or to continue to be, licensed as a bookmaker under this Act, the Commission —</w:t>
      </w:r>
    </w:p>
    <w:p>
      <w:pPr>
        <w:pStyle w:val="Indenta"/>
        <w:spacing w:before="120"/>
      </w:pPr>
      <w:r>
        <w:tab/>
        <w:t>(a)</w:t>
      </w:r>
      <w:r>
        <w:tab/>
        <w:t>shall be satisfied that the requirements set out in Schedule 3 are complied with in respect of that body corporate;</w:t>
      </w:r>
    </w:p>
    <w:p>
      <w:pPr>
        <w:pStyle w:val="Indenta"/>
        <w:spacing w:before="120"/>
      </w:pPr>
      <w:r>
        <w:tab/>
        <w:t>(b)</w:t>
      </w:r>
      <w:r>
        <w:tab/>
        <w:t xml:space="preserve">shall be satisfied that none of the persons holding a position of authority in the body corporate — </w:t>
      </w:r>
    </w:p>
    <w:p>
      <w:pPr>
        <w:pStyle w:val="Indenti"/>
      </w:pPr>
      <w:r>
        <w:tab/>
        <w:t>(i)</w:t>
      </w:r>
      <w:r>
        <w:tab/>
        <w:t>holds a bookmaker’s licence;</w:t>
      </w:r>
    </w:p>
    <w:p>
      <w:pPr>
        <w:pStyle w:val="Indenti"/>
      </w:pPr>
      <w:r>
        <w:tab/>
        <w:t>(ii)</w:t>
      </w:r>
      <w:r>
        <w:tab/>
        <w:t>is a member of a partnership that holds a bookmaker’s licence;</w:t>
      </w:r>
    </w:p>
    <w:p>
      <w:pPr>
        <w:pStyle w:val="Indenti"/>
      </w:pPr>
      <w:r>
        <w:tab/>
        <w:t>(iii)</w:t>
      </w:r>
      <w:r>
        <w:tab/>
        <w:t>is a person who holds a position of authority in another body corporate that holds a bookmaker’s licence;</w:t>
      </w:r>
    </w:p>
    <w:p>
      <w:pPr>
        <w:pStyle w:val="Indenti"/>
      </w:pPr>
      <w:r>
        <w:tab/>
        <w:t>(iv)</w:t>
      </w:r>
      <w:r>
        <w:tab/>
        <w:t>is under the age of 18 years; and</w:t>
      </w:r>
    </w:p>
    <w:p>
      <w:pPr>
        <w:pStyle w:val="Indenti"/>
      </w:pPr>
      <w:r>
        <w:tab/>
        <w:t>(v)</w:t>
      </w:r>
      <w:r>
        <w:tab/>
        <w:t>is an undischarged bankrupt;</w:t>
      </w:r>
    </w:p>
    <w:p>
      <w:pPr>
        <w:pStyle w:val="Indenta"/>
        <w:spacing w:before="120"/>
      </w:pPr>
      <w:r>
        <w:tab/>
        <w:t>(c)</w:t>
      </w:r>
      <w:r>
        <w:tab/>
        <w:t>shall be satisfied that each person who occupies a position of authority in the body corporate has been approved by the Commission to occupy that position;</w:t>
      </w:r>
    </w:p>
    <w:p>
      <w:pPr>
        <w:pStyle w:val="Indenta"/>
        <w:spacing w:before="120"/>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spacing w:before="120"/>
      </w:pPr>
      <w:r>
        <w:tab/>
        <w:t>(e)</w:t>
      </w:r>
      <w:r>
        <w:tab/>
        <w:t>shall be satisfied that no circumstances make it undesirable to grant a licence to the body corporate.</w:t>
      </w:r>
    </w:p>
    <w:p>
      <w:pPr>
        <w:pStyle w:val="Subsection"/>
        <w:spacing w:before="200"/>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spacing w:before="200"/>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w:t>
      </w:r>
    </w:p>
    <w:p>
      <w:pPr>
        <w:pStyle w:val="Indenta"/>
      </w:pPr>
      <w:r>
        <w:tab/>
        <w:t>(b)</w:t>
      </w:r>
      <w:r>
        <w:tab/>
        <w:t>shall be satisfied that the person does not hold a bookmaker’s licence;</w:t>
      </w:r>
    </w:p>
    <w:p>
      <w:pPr>
        <w:pStyle w:val="Indenta"/>
      </w:pPr>
      <w:r>
        <w:tab/>
        <w:t>(c)</w:t>
      </w:r>
      <w:r>
        <w:tab/>
        <w:t>shall be satisfied that the person is not a member of a partnership that holds a bookmaker’s licence;</w:t>
      </w:r>
    </w:p>
    <w:p>
      <w:pPr>
        <w:pStyle w:val="Indenta"/>
      </w:pPr>
      <w:r>
        <w:tab/>
        <w:t>(d)</w:t>
      </w:r>
      <w:r>
        <w:tab/>
        <w:t>shall be satisfied that the person does not hold a position of authority in another body corporate that holds a bookmaker’s licence;</w:t>
      </w:r>
    </w:p>
    <w:p>
      <w:pPr>
        <w:pStyle w:val="Indenta"/>
      </w:pPr>
      <w:r>
        <w:tab/>
        <w:t>(e)</w:t>
      </w:r>
      <w:r>
        <w:tab/>
        <w:t>shall be satisfied that the person is not under the age of 18 years;</w:t>
      </w:r>
    </w:p>
    <w:p>
      <w:pPr>
        <w:pStyle w:val="Indenta"/>
      </w:pPr>
      <w:r>
        <w:tab/>
        <w:t>(f)</w:t>
      </w:r>
      <w:r>
        <w:tab/>
        <w:t>shall be satisfied that the person is not an undischarged bankrupt;</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 xml:space="preserve">at a place, upon an occasion and in respect of an event </w:t>
      </w:r>
      <w:del w:id="100" w:author="svcMRProcess" w:date="2020-02-13T23:26:00Z">
        <w:r>
          <w:rPr>
            <w:snapToGrid w:val="0"/>
          </w:rPr>
          <w:delText>authorized</w:delText>
        </w:r>
      </w:del>
      <w:ins w:id="101" w:author="svcMRProcess" w:date="2020-02-13T23:26:00Z">
        <w:r>
          <w:rPr>
            <w:snapToGrid w:val="0"/>
          </w:rPr>
          <w:t>authorised</w:t>
        </w:r>
      </w:ins>
      <w:r>
        <w:rPr>
          <w:snapToGrid w:val="0"/>
        </w:rPr>
        <w:t xml:space="preserve">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pPr>
      <w:r>
        <w:tab/>
        <w:t>[Section 11C inserted by No. 13 of 2002 s. 7; amended by No. 35 of 2003 s. 102.]</w:t>
      </w:r>
    </w:p>
    <w:p>
      <w:pPr>
        <w:pStyle w:val="Heading5"/>
      </w:pPr>
      <w:bookmarkStart w:id="102" w:name="_Toc131327360"/>
      <w:bookmarkStart w:id="103" w:name="_Toc151285182"/>
      <w:r>
        <w:rPr>
          <w:rStyle w:val="CharSectno"/>
        </w:rPr>
        <w:t>11D</w:t>
      </w:r>
      <w:r>
        <w:t>.</w:t>
      </w:r>
      <w:r>
        <w:tab/>
        <w:t>Licences — manager or employee</w:t>
      </w:r>
      <w:bookmarkEnd w:id="102"/>
      <w:bookmarkEnd w:id="103"/>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 xml:space="preserve">to carry out such other functions under this Act as the Commission may, in writing from time to time, </w:t>
      </w:r>
      <w:del w:id="104" w:author="svcMRProcess" w:date="2020-02-13T23:26:00Z">
        <w:r>
          <w:delText>authorize</w:delText>
        </w:r>
      </w:del>
      <w:ins w:id="105" w:author="svcMRProcess" w:date="2020-02-13T23:26:00Z">
        <w:r>
          <w:t>authorise</w:t>
        </w:r>
      </w:ins>
      <w:r>
        <w:t>.</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w:t>
      </w:r>
      <w:del w:id="106" w:author="svcMRProcess" w:date="2020-02-13T23:26:00Z">
        <w:r>
          <w:rPr>
            <w:snapToGrid w:val="0"/>
          </w:rPr>
          <w:delText>authorize</w:delText>
        </w:r>
      </w:del>
      <w:ins w:id="107" w:author="svcMRProcess" w:date="2020-02-13T23:26:00Z">
        <w:r>
          <w:rPr>
            <w:snapToGrid w:val="0"/>
          </w:rPr>
          <w:t>authorise</w:t>
        </w:r>
      </w:ins>
      <w:r>
        <w:rPr>
          <w:snapToGrid w:val="0"/>
        </w:rPr>
        <w:t>.</w:t>
      </w:r>
    </w:p>
    <w:p>
      <w:pPr>
        <w:pStyle w:val="Subsection"/>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 xml:space="preserve">in the case of a bookmaker who is a natural person, shall be present at or in close proximity to the stand or other approved area where bets are made or tickets written by the employee unless that employee is </w:t>
      </w:r>
      <w:del w:id="108" w:author="svcMRProcess" w:date="2020-02-13T23:26:00Z">
        <w:r>
          <w:rPr>
            <w:snapToGrid w:val="0"/>
          </w:rPr>
          <w:delText>authorized</w:delText>
        </w:r>
      </w:del>
      <w:ins w:id="109" w:author="svcMRProcess" w:date="2020-02-13T23:26:00Z">
        <w:r>
          <w:rPr>
            <w:snapToGrid w:val="0"/>
          </w:rPr>
          <w:t>authorised</w:t>
        </w:r>
      </w:ins>
      <w:r>
        <w:rPr>
          <w:snapToGrid w:val="0"/>
        </w:rPr>
        <w:t xml:space="preserve"> under this Act to carry on the business as an agent of or substitute for the bookmaker;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 xml:space="preserve">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w:t>
      </w:r>
      <w:del w:id="110" w:author="svcMRProcess" w:date="2020-02-13T23:26:00Z">
        <w:r>
          <w:rPr>
            <w:snapToGrid w:val="0"/>
          </w:rPr>
          <w:delText>authorized</w:delText>
        </w:r>
      </w:del>
      <w:ins w:id="111" w:author="svcMRProcess" w:date="2020-02-13T23:26:00Z">
        <w:r>
          <w:rPr>
            <w:snapToGrid w:val="0"/>
          </w:rPr>
          <w:t>authorised</w:t>
        </w:r>
      </w:ins>
      <w:r>
        <w:rPr>
          <w:snapToGrid w:val="0"/>
        </w:rPr>
        <w:t xml:space="preserve">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112" w:name="_Toc131327361"/>
      <w:bookmarkStart w:id="113" w:name="_Toc151285183"/>
      <w:r>
        <w:rPr>
          <w:rStyle w:val="CharSectno"/>
        </w:rPr>
        <w:t>11E</w:t>
      </w:r>
      <w:r>
        <w:t>.</w:t>
      </w:r>
      <w:r>
        <w:tab/>
        <w:t>Security</w:t>
      </w:r>
      <w:bookmarkEnd w:id="112"/>
      <w:bookmarkEnd w:id="113"/>
    </w:p>
    <w:p>
      <w:pPr>
        <w:pStyle w:val="Subsection"/>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w:t>
      </w:r>
    </w:p>
    <w:p>
      <w:pPr>
        <w:pStyle w:val="Indenta"/>
        <w:rPr>
          <w:snapToGrid w:val="0"/>
        </w:rPr>
      </w:pPr>
      <w:r>
        <w:rPr>
          <w:snapToGrid w:val="0"/>
        </w:rPr>
        <w:tab/>
        <w:t>(b)</w:t>
      </w:r>
      <w:r>
        <w:rPr>
          <w:snapToGrid w:val="0"/>
        </w:rPr>
        <w:tab/>
        <w:t>terminate a bond in accordance with its terms;</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w:t>
      </w:r>
    </w:p>
    <w:p>
      <w:pPr>
        <w:pStyle w:val="Indenta"/>
        <w:rPr>
          <w:snapToGrid w:val="0"/>
        </w:rPr>
      </w:pPr>
      <w:r>
        <w:rPr>
          <w:snapToGrid w:val="0"/>
        </w:rPr>
        <w:tab/>
        <w:t>(d)</w:t>
      </w:r>
      <w:r>
        <w:rPr>
          <w:snapToGrid w:val="0"/>
        </w:rPr>
        <w:tab/>
        <w:t>hold any security until after the expiry of any period fixed for the filing of claims, and for a reasonable period thereafter;</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w:t>
      </w:r>
    </w:p>
    <w:p>
      <w:pPr>
        <w:pStyle w:val="Indenta"/>
        <w:keepNext/>
        <w:keepLines/>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w:t>
      </w:r>
      <w:del w:id="114" w:author="svcMRProcess" w:date="2020-02-13T23:26:00Z">
        <w:r>
          <w:rPr>
            <w:snapToGrid w:val="0"/>
          </w:rPr>
          <w:delText>authorized</w:delText>
        </w:r>
      </w:del>
      <w:ins w:id="115" w:author="svcMRProcess" w:date="2020-02-13T23:26:00Z">
        <w:r>
          <w:rPr>
            <w:snapToGrid w:val="0"/>
          </w:rPr>
          <w:t>authorised</w:t>
        </w:r>
      </w:ins>
      <w:r>
        <w:rPr>
          <w:snapToGrid w:val="0"/>
        </w:rPr>
        <w:t xml:space="preserve">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pPr>
      <w:bookmarkStart w:id="116" w:name="_Toc131327362"/>
      <w:bookmarkStart w:id="117" w:name="_Toc151285184"/>
      <w:r>
        <w:rPr>
          <w:rStyle w:val="CharSectno"/>
        </w:rPr>
        <w:t>11F</w:t>
      </w:r>
      <w:r>
        <w:t>.</w:t>
      </w:r>
      <w:r>
        <w:tab/>
        <w:t>Notification of Commission in relation to licensed manager</w:t>
      </w:r>
      <w:bookmarkEnd w:id="116"/>
      <w:bookmarkEnd w:id="117"/>
    </w:p>
    <w:p>
      <w:pPr>
        <w:pStyle w:val="Subsection"/>
      </w:pPr>
      <w:r>
        <w:tab/>
        <w:t>(1)</w:t>
      </w:r>
      <w:r>
        <w:tab/>
        <w:t>If a person is appointed to be or to act as a licensed manager of a bookmaker, the bookmaker shall advise the Commission within 7 days of the person so being appointed.</w:t>
      </w:r>
    </w:p>
    <w:p>
      <w:pPr>
        <w:pStyle w:val="Subsection"/>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pPr>
      <w:r>
        <w:tab/>
        <w:t>[Section 11F inserted by No. 13 of 2002 s. 7; amended by No. 35 of 2003 s. 102.]</w:t>
      </w:r>
    </w:p>
    <w:p>
      <w:pPr>
        <w:pStyle w:val="Heading5"/>
      </w:pPr>
      <w:bookmarkStart w:id="118" w:name="_Toc131327363"/>
      <w:bookmarkStart w:id="119" w:name="_Toc151285185"/>
      <w:r>
        <w:rPr>
          <w:rStyle w:val="CharSectno"/>
        </w:rPr>
        <w:t>11G</w:t>
      </w:r>
      <w:r>
        <w:t>.</w:t>
      </w:r>
      <w:r>
        <w:tab/>
        <w:t>Offences</w:t>
      </w:r>
      <w:bookmarkEnd w:id="118"/>
      <w:bookmarkEnd w:id="119"/>
    </w:p>
    <w:p>
      <w:pPr>
        <w:pStyle w:val="Subsection"/>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w:t>
      </w:r>
    </w:p>
    <w:p>
      <w:pPr>
        <w:pStyle w:val="Indenti"/>
      </w:pPr>
      <w:r>
        <w:rPr>
          <w:snapToGrid w:val="0"/>
        </w:rPr>
        <w:tab/>
        <w:t>(ii)</w:t>
      </w:r>
      <w:r>
        <w:rPr>
          <w:snapToGrid w:val="0"/>
        </w:rPr>
        <w:tab/>
      </w:r>
      <w:r>
        <w:t>notice or annual return;</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b/>
        </w:rPr>
        <w:t>“</w:t>
      </w:r>
      <w:r>
        <w:rPr>
          <w:rStyle w:val="CharDefText"/>
        </w:rPr>
        <w:t>interstate offence</w:t>
      </w:r>
      <w:r>
        <w:rPr>
          <w:b/>
        </w:rPr>
        <w:t>”</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Heading5"/>
      </w:pPr>
      <w:bookmarkStart w:id="120" w:name="_Toc131327364"/>
      <w:bookmarkStart w:id="121" w:name="_Toc151285186"/>
      <w:r>
        <w:rPr>
          <w:rStyle w:val="CharSectno"/>
        </w:rPr>
        <w:t>11H</w:t>
      </w:r>
      <w:r>
        <w:t>.</w:t>
      </w:r>
      <w:r>
        <w:tab/>
        <w:t>Liability of persons who occupy a position of authority in a body corporate</w:t>
      </w:r>
      <w:bookmarkEnd w:id="120"/>
      <w:bookmarkEnd w:id="121"/>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the person failed to exercise such due diligence to prevent the commission of the offence as ought to have been exercised having regard to the nature of the person’s functions and to all other circumstances,</w:t>
      </w:r>
    </w:p>
    <w:p>
      <w:pPr>
        <w:pStyle w:val="Subsection"/>
      </w:pPr>
      <w:r>
        <w:tab/>
      </w:r>
      <w:r>
        <w:tab/>
        <w:t>the person commits the same offence.</w:t>
      </w:r>
    </w:p>
    <w:p>
      <w:pPr>
        <w:pStyle w:val="Subsection"/>
        <w:keepNext/>
        <w:keepLines/>
      </w:pPr>
      <w:r>
        <w:tab/>
        <w:t>(2)</w:t>
      </w:r>
      <w:r>
        <w:tab/>
        <w:t>A person may be proceeded against and convicted of an offence against this Act by virtue of subsection (1) whether or not the body corporate has been proceeded against and convicted of the offence.</w:t>
      </w:r>
    </w:p>
    <w:p>
      <w:pPr>
        <w:pStyle w:val="Footnotesection"/>
        <w:spacing w:before="80"/>
        <w:ind w:left="890" w:hanging="890"/>
      </w:pPr>
      <w:r>
        <w:tab/>
        <w:t>[Section 11H inserted by No. 13 of 2002 s. 7.]</w:t>
      </w:r>
    </w:p>
    <w:p>
      <w:pPr>
        <w:pStyle w:val="Heading5"/>
        <w:spacing w:before="180"/>
      </w:pPr>
      <w:bookmarkStart w:id="122" w:name="_Toc131327365"/>
      <w:bookmarkStart w:id="123" w:name="_Toc151285187"/>
      <w:r>
        <w:rPr>
          <w:rStyle w:val="CharSectno"/>
        </w:rPr>
        <w:t>11I</w:t>
      </w:r>
      <w:r>
        <w:t>.</w:t>
      </w:r>
      <w:r>
        <w:tab/>
        <w:t>Liability of natural person, partners, bodies corporate and officers</w:t>
      </w:r>
      <w:bookmarkEnd w:id="122"/>
      <w:bookmarkEnd w:id="123"/>
    </w:p>
    <w:p>
      <w:pPr>
        <w:pStyle w:val="Subsection"/>
        <w:spacing w:before="120"/>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spacing w:before="120"/>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spacing w:before="60"/>
      </w:pPr>
      <w:r>
        <w:tab/>
        <w:t>(a)</w:t>
      </w:r>
      <w:r>
        <w:tab/>
        <w:t>each of the partners; or</w:t>
      </w:r>
    </w:p>
    <w:p>
      <w:pPr>
        <w:pStyle w:val="Indenta"/>
        <w:spacing w:before="60"/>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spacing w:before="120"/>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spacing w:before="60"/>
      </w:pPr>
      <w:r>
        <w:tab/>
        <w:t>(a)</w:t>
      </w:r>
      <w:r>
        <w:tab/>
        <w:t>the offence was committed without the person’s consent or connivance; and</w:t>
      </w:r>
    </w:p>
    <w:p>
      <w:pPr>
        <w:pStyle w:val="Indenta"/>
        <w:spacing w:before="60"/>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11I inserted by No. 13 of 2002 s. 7.]</w:t>
      </w:r>
    </w:p>
    <w:p>
      <w:pPr>
        <w:pStyle w:val="Heading5"/>
        <w:rPr>
          <w:snapToGrid w:val="0"/>
        </w:rPr>
      </w:pPr>
      <w:bookmarkStart w:id="124" w:name="_Toc131327366"/>
      <w:bookmarkStart w:id="125" w:name="_Toc151285188"/>
      <w:r>
        <w:rPr>
          <w:rStyle w:val="CharSectno"/>
        </w:rPr>
        <w:t>12</w:t>
      </w:r>
      <w:r>
        <w:rPr>
          <w:snapToGrid w:val="0"/>
        </w:rPr>
        <w:t>.</w:t>
      </w:r>
      <w:r>
        <w:rPr>
          <w:snapToGrid w:val="0"/>
        </w:rPr>
        <w:tab/>
        <w:t>Permits required</w:t>
      </w:r>
      <w:del w:id="126" w:author="svcMRProcess" w:date="2020-02-13T23:26:00Z">
        <w:r>
          <w:rPr>
            <w:snapToGrid w:val="0"/>
          </w:rPr>
          <w:delText xml:space="preserve"> </w:delText>
        </w:r>
      </w:del>
      <w:ins w:id="127" w:author="svcMRProcess" w:date="2020-02-13T23:26:00Z">
        <w:r>
          <w:rPr>
            <w:snapToGrid w:val="0"/>
          </w:rPr>
          <w:t> </w:t>
        </w:r>
      </w:ins>
      <w:r>
        <w:rPr>
          <w:snapToGrid w:val="0"/>
        </w:rPr>
        <w:t>to bet on race courses, etc.</w:t>
      </w:r>
      <w:bookmarkEnd w:id="70"/>
      <w:bookmarkEnd w:id="71"/>
      <w:bookmarkEnd w:id="72"/>
      <w:bookmarkEnd w:id="124"/>
      <w:bookmarkEnd w:id="125"/>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No bookmaker shall bet or carry on business as such on a race course under subsection (3) unless a steward is present at the race course while that betting or business is carried on to supervise the conduct of the betting or business.</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 xml:space="preserve">in respect of all or any of the types of betting </w:t>
      </w:r>
      <w:del w:id="128" w:author="svcMRProcess" w:date="2020-02-13T23:26:00Z">
        <w:r>
          <w:delText>authorized</w:delText>
        </w:r>
      </w:del>
      <w:ins w:id="129" w:author="svcMRProcess" w:date="2020-02-13T23:26:00Z">
        <w:r>
          <w:t>authorised</w:t>
        </w:r>
      </w:ins>
      <w:r>
        <w:t xml:space="preserve">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w:t>
      </w:r>
    </w:p>
    <w:p>
      <w:pPr>
        <w:pStyle w:val="Indenti"/>
        <w:rPr>
          <w:snapToGrid w:val="0"/>
        </w:rPr>
      </w:pPr>
      <w:r>
        <w:rPr>
          <w:snapToGrid w:val="0"/>
        </w:rPr>
        <w:tab/>
        <w:t>(ii)</w:t>
      </w:r>
      <w:r>
        <w:rPr>
          <w:snapToGrid w:val="0"/>
        </w:rPr>
        <w:tab/>
        <w:t>duplicate records are legible and complete, including any registered sheet number;</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Ednotepara"/>
        <w:rPr>
          <w:del w:id="130" w:author="svcMRProcess" w:date="2020-02-13T23:26:00Z"/>
        </w:rPr>
      </w:pPr>
      <w:del w:id="131" w:author="svcMRProcess" w:date="2020-02-13T23:26:00Z">
        <w:r>
          <w:tab/>
          <w:delText>[(d), (e)</w:delText>
        </w:r>
        <w:r>
          <w:tab/>
          <w:delText>deleted]</w:delText>
        </w:r>
      </w:del>
    </w:p>
    <w:p>
      <w:pPr>
        <w:pStyle w:val="Subsection"/>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pPr>
      <w:r>
        <w:tab/>
        <w:t>(b)</w:t>
      </w:r>
      <w:r>
        <w:tab/>
        <w:t>a breach of this Act or of the rules of wagering as defined in the RWWA Act,</w:t>
      </w:r>
    </w:p>
    <w:p>
      <w:pPr>
        <w:pStyle w:val="Subsection"/>
      </w:pPr>
      <w:r>
        <w:tab/>
      </w:r>
      <w:r>
        <w:tab/>
        <w:t>on the part of a bookmaker, licensed manager or licensed employee.</w:t>
      </w:r>
    </w:p>
    <w:p>
      <w:pPr>
        <w:pStyle w:val="Footnotesection"/>
      </w:pPr>
      <w:r>
        <w:tab/>
        <w:t xml:space="preserve">[Section 12 amended by No. 77 of 1976 s. 13; No. 34 of 1985 s. 5; No. 11 of 1992 s. 29 and 33; No. 63 of 1995 s. 48; No. 13 of 2002 s. 8; No. 35 of 2003 s. 81 and 102.] </w:t>
      </w:r>
    </w:p>
    <w:p>
      <w:pPr>
        <w:pStyle w:val="Heading5"/>
      </w:pPr>
      <w:bookmarkStart w:id="132" w:name="_Toc519996764"/>
      <w:bookmarkStart w:id="133" w:name="_Toc4564336"/>
      <w:bookmarkStart w:id="134" w:name="_Toc6885586"/>
      <w:bookmarkStart w:id="135" w:name="_Toc131327367"/>
      <w:bookmarkStart w:id="136" w:name="_Toc151285189"/>
      <w:r>
        <w:rPr>
          <w:rStyle w:val="CharSectno"/>
        </w:rPr>
        <w:t>12A</w:t>
      </w:r>
      <w:r>
        <w:t>.</w:t>
      </w:r>
      <w:r>
        <w:tab/>
        <w:t>Temporary bookmakers’ employees’ licences</w:t>
      </w:r>
      <w:bookmarkEnd w:id="132"/>
      <w:bookmarkEnd w:id="133"/>
      <w:bookmarkEnd w:id="134"/>
      <w:bookmarkEnd w:id="135"/>
      <w:bookmarkEnd w:id="136"/>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b/>
        </w:rPr>
        <w:t>“</w:t>
      </w:r>
      <w:r>
        <w:rPr>
          <w:rStyle w:val="CharDefText"/>
        </w:rPr>
        <w:t>temporary licence</w:t>
      </w:r>
      <w:r>
        <w:rPr>
          <w:b/>
        </w:rPr>
        <w:t>”</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137" w:name="_Toc519996765"/>
      <w:bookmarkStart w:id="138" w:name="_Toc4564337"/>
      <w:bookmarkStart w:id="139" w:name="_Toc6885587"/>
      <w:bookmarkStart w:id="140" w:name="_Toc131327368"/>
      <w:bookmarkStart w:id="141" w:name="_Toc151285190"/>
      <w:r>
        <w:rPr>
          <w:rStyle w:val="CharSectno"/>
        </w:rPr>
        <w:t>13</w:t>
      </w:r>
      <w:r>
        <w:rPr>
          <w:snapToGrid w:val="0"/>
        </w:rPr>
        <w:t>.</w:t>
      </w:r>
      <w:r>
        <w:rPr>
          <w:snapToGrid w:val="0"/>
        </w:rPr>
        <w:tab/>
        <w:t>Bookmakers’ annual licence fee</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w:t>
      </w:r>
    </w:p>
    <w:p>
      <w:pPr>
        <w:pStyle w:val="Indenti"/>
        <w:rPr>
          <w:snapToGrid w:val="0"/>
        </w:rPr>
      </w:pPr>
      <w:r>
        <w:rPr>
          <w:snapToGrid w:val="0"/>
        </w:rPr>
        <w:tab/>
        <w:t>(ii)</w:t>
      </w:r>
      <w:r>
        <w:rPr>
          <w:snapToGrid w:val="0"/>
        </w:rPr>
        <w:tab/>
        <w:t>different classes of bet;</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142" w:name="_Toc89168148"/>
      <w:bookmarkStart w:id="143" w:name="_Toc96937675"/>
      <w:bookmarkStart w:id="144" w:name="_Toc96937783"/>
      <w:bookmarkStart w:id="145" w:name="_Toc101927961"/>
      <w:bookmarkStart w:id="146" w:name="_Toc101928076"/>
      <w:bookmarkStart w:id="147" w:name="_Toc102796927"/>
      <w:bookmarkStart w:id="148" w:name="_Toc122949222"/>
      <w:bookmarkStart w:id="149" w:name="_Toc131327369"/>
      <w:bookmarkStart w:id="150" w:name="_Toc142803250"/>
      <w:bookmarkStart w:id="151" w:name="_Toc142809226"/>
      <w:bookmarkStart w:id="152" w:name="_Toc146426939"/>
      <w:bookmarkStart w:id="153" w:name="_Toc146440108"/>
      <w:bookmarkStart w:id="154" w:name="_Toc148849371"/>
      <w:bookmarkStart w:id="155" w:name="_Toc148858308"/>
      <w:bookmarkStart w:id="156" w:name="_Toc151285191"/>
      <w:bookmarkStart w:id="157" w:name="_Toc519996766"/>
      <w:bookmarkStart w:id="158" w:name="_Toc4564338"/>
      <w:bookmarkStart w:id="159" w:name="_Toc6885588"/>
      <w:r>
        <w:rPr>
          <w:rStyle w:val="CharPartNo"/>
        </w:rPr>
        <w:t>Part 3</w:t>
      </w:r>
      <w:r>
        <w:rPr>
          <w:b w:val="0"/>
        </w:rPr>
        <w:t> </w:t>
      </w:r>
      <w:r>
        <w:t>—</w:t>
      </w:r>
      <w:r>
        <w:rPr>
          <w:b w:val="0"/>
        </w:rPr>
        <w:t> </w:t>
      </w:r>
      <w:r>
        <w:rPr>
          <w:rStyle w:val="CharPartText"/>
        </w:rPr>
        <w:t>Levies and totalisators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Footnoteheading"/>
        <w:tabs>
          <w:tab w:val="left" w:pos="851"/>
        </w:tabs>
      </w:pPr>
      <w:r>
        <w:tab/>
        <w:t>[Heading inserted by No. 35 of 2003 s. 101(3).]</w:t>
      </w:r>
    </w:p>
    <w:p>
      <w:pPr>
        <w:pStyle w:val="Heading5"/>
        <w:rPr>
          <w:snapToGrid w:val="0"/>
        </w:rPr>
      </w:pPr>
      <w:bookmarkStart w:id="160" w:name="_Toc131327370"/>
      <w:bookmarkStart w:id="161" w:name="_Toc151285192"/>
      <w:r>
        <w:rPr>
          <w:rStyle w:val="CharSectno"/>
        </w:rPr>
        <w:t>14</w:t>
      </w:r>
      <w:r>
        <w:rPr>
          <w:snapToGrid w:val="0"/>
        </w:rPr>
        <w:t>.</w:t>
      </w:r>
      <w:r>
        <w:rPr>
          <w:snapToGrid w:val="0"/>
        </w:rPr>
        <w:tab/>
        <w:t>Bookmakers’ liability to pay bookmakers’ betting levy</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levy</w:t>
      </w:r>
      <w:r>
        <w:rPr>
          <w:b/>
        </w:rPr>
        <w:t>”</w:t>
      </w:r>
      <w:r>
        <w:t xml:space="preserve"> means bookmakers’ betting levy payable under this Act, as imposed by the </w:t>
      </w:r>
      <w:r>
        <w:rPr>
          <w:i/>
        </w:rPr>
        <w:t>Bookmakers Betting Levy Act 1954</w:t>
      </w:r>
      <w:r>
        <w:t>;</w:t>
      </w:r>
    </w:p>
    <w:p>
      <w:pPr>
        <w:pStyle w:val="Defstart"/>
      </w:pPr>
      <w:r>
        <w:rPr>
          <w:b/>
        </w:rPr>
        <w:tab/>
        <w:t>“</w:t>
      </w:r>
      <w:r>
        <w:rPr>
          <w:rStyle w:val="CharDefText"/>
        </w:rPr>
        <w:t>on</w:t>
      </w:r>
      <w:r>
        <w:rPr>
          <w:rStyle w:val="CharDefText"/>
        </w:rPr>
        <w:noBreakHyphen/>
        <w:t>course turnover</w:t>
      </w:r>
      <w:r>
        <w:rPr>
          <w:b/>
        </w:rPr>
        <w:t>”</w:t>
      </w:r>
      <w:r>
        <w:t xml:space="preserve"> means the turnover which relates to bets of the kind referred to in section 15;</w:t>
      </w:r>
    </w:p>
    <w:p>
      <w:pPr>
        <w:pStyle w:val="Defstart"/>
      </w:pPr>
      <w:r>
        <w:rPr>
          <w:b/>
        </w:rPr>
        <w:tab/>
        <w:t>“</w:t>
      </w:r>
      <w:r>
        <w:rPr>
          <w:rStyle w:val="CharDefText"/>
        </w:rPr>
        <w:t>turnover</w:t>
      </w:r>
      <w:r>
        <w:rPr>
          <w:b/>
        </w:rPr>
        <w:t>”</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162" w:name="_Toc519996767"/>
      <w:bookmarkStart w:id="163" w:name="_Toc4564339"/>
      <w:bookmarkStart w:id="164" w:name="_Toc6885589"/>
      <w:bookmarkStart w:id="165" w:name="_Toc131327371"/>
      <w:bookmarkStart w:id="166" w:name="_Toc151285193"/>
      <w:r>
        <w:rPr>
          <w:rStyle w:val="CharSectno"/>
        </w:rPr>
        <w:t>15</w:t>
      </w:r>
      <w:r>
        <w:rPr>
          <w:snapToGrid w:val="0"/>
        </w:rPr>
        <w:t>.</w:t>
      </w:r>
      <w:r>
        <w:rPr>
          <w:snapToGrid w:val="0"/>
        </w:rPr>
        <w:tab/>
        <w:t>Payment of levy by bookmakers on bets made at race meetings</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w:t>
      </w:r>
    </w:p>
    <w:p>
      <w:pPr>
        <w:pStyle w:val="Indenta"/>
      </w:pPr>
      <w:r>
        <w:tab/>
        <w:t>(ba)</w:t>
      </w:r>
      <w:r>
        <w:tab/>
      </w:r>
      <w:r>
        <w:rPr>
          <w:spacing w:val="-4"/>
        </w:rPr>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spacing w:before="70"/>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spacing w:before="70"/>
        <w:rPr>
          <w:snapToGrid w:val="0"/>
        </w:rPr>
      </w:pPr>
      <w:r>
        <w:rPr>
          <w:snapToGrid w:val="0"/>
        </w:rPr>
        <w:tab/>
        <w:t>(b)</w:t>
      </w:r>
      <w:r>
        <w:rPr>
          <w:snapToGrid w:val="0"/>
        </w:rPr>
        <w:tab/>
        <w:t>payment of that sum of bookmakers’ betting levy,</w:t>
      </w:r>
    </w:p>
    <w:p>
      <w:pPr>
        <w:pStyle w:val="Subsection"/>
        <w:spacing w:before="100"/>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12(3)(a)(ii)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pPr>
      <w:r>
        <w:tab/>
        <w:t>(a)</w:t>
      </w:r>
      <w:r>
        <w:tab/>
        <w:t>shall retain, in respect of — </w:t>
      </w:r>
    </w:p>
    <w:p>
      <w:pPr>
        <w:pStyle w:val="Indenti"/>
      </w:pPr>
      <w:r>
        <w:tab/>
        <w:t>(i)</w:t>
      </w:r>
      <w:r>
        <w:tab/>
        <w:t>any portion of that sum that relates to betting to which section 4A applies;</w:t>
      </w:r>
    </w:p>
    <w:p>
      <w:pPr>
        <w:pStyle w:val="Indenti"/>
        <w:rPr>
          <w:spacing w:val="-2"/>
        </w:rPr>
      </w:pPr>
      <w:r>
        <w:rPr>
          <w:spacing w:val="-2"/>
        </w:rPr>
        <w:tab/>
        <w:t>(ii)</w:t>
      </w:r>
      <w:r>
        <w:rPr>
          <w:spacing w:val="-2"/>
        </w:rPr>
        <w:tab/>
        <w:t xml:space="preserve">any </w:t>
      </w:r>
      <w:r>
        <w:t>portion</w:t>
      </w:r>
      <w:r>
        <w:rPr>
          <w:spacing w:val="-2"/>
        </w:rPr>
        <w:t xml:space="preserve"> of that sum that relates to betting to which section 4B applies; or</w:t>
      </w:r>
    </w:p>
    <w:p>
      <w:pPr>
        <w:pStyle w:val="Indenti"/>
        <w:rPr>
          <w:spacing w:val="-2"/>
        </w:rPr>
      </w:pPr>
      <w:r>
        <w:rPr>
          <w:spacing w:val="-2"/>
        </w:rPr>
        <w:tab/>
        <w:t>(iii)</w:t>
      </w:r>
      <w:r>
        <w:rPr>
          <w:spacing w:val="-2"/>
        </w:rPr>
        <w:tab/>
        <w:t xml:space="preserve">any </w:t>
      </w:r>
      <w:r>
        <w:t>portion</w:t>
      </w:r>
      <w:r>
        <w:rPr>
          <w:spacing w:val="-2"/>
        </w:rPr>
        <w:t xml:space="preserve"> of that sum that relates to betting other than betting referred to in subparagraphs (i) and (ii),</w:t>
      </w:r>
    </w:p>
    <w:p>
      <w:pPr>
        <w:pStyle w:val="Indenta"/>
        <w:rPr>
          <w:snapToGrid w:val="0"/>
        </w:rPr>
      </w:pPr>
      <w:r>
        <w:rPr>
          <w:spacing w:val="-2"/>
        </w:rPr>
        <w:tab/>
      </w:r>
      <w:r>
        <w:rPr>
          <w:spacing w:val="-2"/>
        </w:rPr>
        <w:tab/>
        <w:t xml:space="preserve">such </w:t>
      </w:r>
      <w:r>
        <w:rPr>
          <w:snapToGrid w:val="0"/>
        </w:rPr>
        <w:t>percentage</w:t>
      </w:r>
      <w:r>
        <w:rPr>
          <w:spacing w:val="-2"/>
        </w:rPr>
        <w:t xml:space="preserve"> of that portion as is prescribed, and shall apply the amount so retained to such purposes as that racing club thinks fit; and</w:t>
      </w:r>
    </w:p>
    <w:p>
      <w:pPr>
        <w:pStyle w:val="Indenta"/>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 xml:space="preserve">[Section 15 amended by No. 50 of 1956 s. 3; No. 75 of 1970 s. 3; No. 77 of 1976 s. 14; No. 11 of 1992 s. 36; No. 63 of 1995 s. 51; No. 17 of 1998 s. 14; No. 13 of 2002 s. 11; No. 35 of 2003 s. 83 and 102.] </w:t>
      </w:r>
    </w:p>
    <w:p>
      <w:pPr>
        <w:pStyle w:val="Heading5"/>
        <w:spacing w:before="180"/>
        <w:rPr>
          <w:snapToGrid w:val="0"/>
        </w:rPr>
      </w:pPr>
      <w:bookmarkStart w:id="167" w:name="_Toc519996768"/>
      <w:bookmarkStart w:id="168" w:name="_Toc4564340"/>
      <w:bookmarkStart w:id="169" w:name="_Toc6885590"/>
      <w:bookmarkStart w:id="170" w:name="_Toc131327372"/>
      <w:bookmarkStart w:id="171" w:name="_Toc151285194"/>
      <w:r>
        <w:rPr>
          <w:rStyle w:val="CharSectno"/>
        </w:rPr>
        <w:t>16</w:t>
      </w:r>
      <w:r>
        <w:rPr>
          <w:snapToGrid w:val="0"/>
        </w:rPr>
        <w:t>.</w:t>
      </w:r>
      <w:r>
        <w:rPr>
          <w:snapToGrid w:val="0"/>
        </w:rPr>
        <w:tab/>
        <w:t>Payment of levy by bookmakers on bets made at registered premises</w:t>
      </w:r>
      <w:bookmarkEnd w:id="167"/>
      <w:bookmarkEnd w:id="168"/>
      <w:bookmarkEnd w:id="169"/>
      <w:bookmarkEnd w:id="170"/>
      <w:bookmarkEnd w:id="171"/>
      <w:r>
        <w:rPr>
          <w:snapToGrid w:val="0"/>
        </w:rPr>
        <w:t xml:space="preserve"> </w:t>
      </w:r>
    </w:p>
    <w:p>
      <w:pPr>
        <w:pStyle w:val="Subsection"/>
        <w:spacing w:before="12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2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spacing w:before="60"/>
        <w:rPr>
          <w:snapToGrid w:val="0"/>
        </w:rPr>
      </w:pPr>
      <w:r>
        <w:rPr>
          <w:snapToGrid w:val="0"/>
        </w:rPr>
        <w:tab/>
        <w:t>(a)</w:t>
      </w:r>
      <w:r>
        <w:rPr>
          <w:snapToGrid w:val="0"/>
        </w:rPr>
        <w:tab/>
        <w:t>races of ridden horses held or to be held in this State;</w:t>
      </w:r>
    </w:p>
    <w:p>
      <w:pPr>
        <w:pStyle w:val="Indenta"/>
        <w:spacing w:before="60"/>
        <w:rPr>
          <w:snapToGrid w:val="0"/>
        </w:rPr>
      </w:pPr>
      <w:r>
        <w:rPr>
          <w:snapToGrid w:val="0"/>
        </w:rPr>
        <w:tab/>
        <w:t>(b)</w:t>
      </w:r>
      <w:r>
        <w:rPr>
          <w:snapToGrid w:val="0"/>
        </w:rPr>
        <w:tab/>
        <w:t>races of driven horses held or to be held in this State;</w:t>
      </w:r>
    </w:p>
    <w:p>
      <w:pPr>
        <w:pStyle w:val="Indenta"/>
        <w:spacing w:before="60"/>
        <w:rPr>
          <w:snapToGrid w:val="0"/>
        </w:rPr>
      </w:pPr>
      <w:r>
        <w:rPr>
          <w:snapToGrid w:val="0"/>
        </w:rPr>
        <w:tab/>
        <w:t>(c)</w:t>
      </w:r>
      <w:r>
        <w:rPr>
          <w:snapToGrid w:val="0"/>
        </w:rPr>
        <w:tab/>
        <w:t>races of horses whether ridden or driven, held or to be held elsewhere than in this State;</w:t>
      </w:r>
    </w:p>
    <w:p>
      <w:pPr>
        <w:pStyle w:val="Indenta"/>
        <w:spacing w:before="60"/>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 applies; or</w:t>
      </w:r>
    </w:p>
    <w:p>
      <w:pPr>
        <w:pStyle w:val="Indenti"/>
        <w:rPr>
          <w:snapToGrid w:val="0"/>
        </w:rPr>
      </w:pPr>
      <w:r>
        <w:rPr>
          <w:snapToGrid w:val="0"/>
        </w:rPr>
        <w:tab/>
        <w:t>(iii)</w:t>
      </w:r>
      <w:r>
        <w:rPr>
          <w:snapToGrid w:val="0"/>
        </w:rPr>
        <w:tab/>
        <w:t>any portion of that sum that relates to betting other than betting referred to in subparagraphs (i) and (ii),</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rPr>
          <w:spacing w:val="-2"/>
        </w:rP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b/>
        </w:rPr>
        <w:t>“</w:t>
      </w:r>
      <w:r>
        <w:rPr>
          <w:rStyle w:val="CharDefText"/>
        </w:rPr>
        <w:t>the relevant person</w:t>
      </w:r>
      <w:r>
        <w:rPr>
          <w:b/>
        </w:rPr>
        <w:t>”</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16 amended by No. 50 of 1956 s. 4; No. 49 of 1960 s. 9; No. 77 of 1976 s. 15; No. 78 of 1978 s. 5; No. 6 of 1987 s. 10; No. 11 of 1992 s. 37; No. 63 of 1995 s. 52; No. 17 of 1998 s. 15; No. 13 of 2002 s. 12; No. 35 of 2003 s. 84 and 102.] </w:t>
      </w:r>
    </w:p>
    <w:p>
      <w:pPr>
        <w:pStyle w:val="Heading5"/>
        <w:rPr>
          <w:snapToGrid w:val="0"/>
        </w:rPr>
      </w:pPr>
      <w:bookmarkStart w:id="172" w:name="_Toc519996769"/>
      <w:bookmarkStart w:id="173" w:name="_Toc4564341"/>
      <w:bookmarkStart w:id="174" w:name="_Toc6885591"/>
      <w:bookmarkStart w:id="175" w:name="_Toc131327373"/>
      <w:bookmarkStart w:id="176" w:name="_Toc151285195"/>
      <w:r>
        <w:rPr>
          <w:rStyle w:val="CharSectno"/>
        </w:rPr>
        <w:t>16A</w:t>
      </w:r>
      <w:r>
        <w:rPr>
          <w:snapToGrid w:val="0"/>
        </w:rPr>
        <w:t>.</w:t>
      </w:r>
      <w:r>
        <w:rPr>
          <w:snapToGrid w:val="0"/>
        </w:rPr>
        <w:tab/>
        <w:t>Books of account, records etc.</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w:t>
      </w:r>
    </w:p>
    <w:p>
      <w:pPr>
        <w:pStyle w:val="Indenti"/>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t>(d)</w:t>
      </w:r>
      <w:r>
        <w:rPr>
          <w:snapToGrid w:val="0"/>
        </w:rPr>
        <w:tab/>
        <w:t>ensure that no alteration, erasure or obliteration in respect of an entry of a bet or in any record is made in such a manner as to prevent its legibility;</w:t>
      </w:r>
    </w:p>
    <w:p>
      <w:pPr>
        <w:pStyle w:val="Indenta"/>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rPr>
          <w:snapToGrid w:val="0"/>
        </w:rPr>
      </w:pPr>
      <w:r>
        <w:rPr>
          <w:snapToGrid w:val="0"/>
        </w:rPr>
        <w:tab/>
        <w:t>(i)</w:t>
      </w:r>
      <w:r>
        <w:rPr>
          <w:snapToGrid w:val="0"/>
        </w:rPr>
        <w:tab/>
        <w:t>rule through the incorrect entry, preserving its legibility; and</w:t>
      </w:r>
    </w:p>
    <w:p>
      <w:pPr>
        <w:pStyle w:val="Indenti"/>
        <w:rPr>
          <w:snapToGrid w:val="0"/>
        </w:rPr>
      </w:pPr>
      <w:r>
        <w:rPr>
          <w:snapToGrid w:val="0"/>
        </w:rPr>
        <w:tab/>
        <w:t>(ii)</w:t>
      </w:r>
      <w:r>
        <w:rPr>
          <w:snapToGrid w:val="0"/>
        </w:rPr>
        <w:tab/>
        <w:t>make the correct entry immediately under it,</w:t>
      </w:r>
    </w:p>
    <w:p>
      <w:pPr>
        <w:pStyle w:val="Indenta"/>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20"/>
        <w:ind w:left="0" w:firstLine="0"/>
      </w:pPr>
      <w:r>
        <w:t>[</w:t>
      </w:r>
      <w:r>
        <w:rPr>
          <w:b/>
        </w:rPr>
        <w:t>16B, 16C.</w:t>
      </w:r>
      <w:r>
        <w:tab/>
        <w:t xml:space="preserve">Repealed by No. 49 of 1960 s. 11.] </w:t>
      </w:r>
    </w:p>
    <w:p>
      <w:pPr>
        <w:pStyle w:val="Heading5"/>
        <w:spacing w:before="180"/>
        <w:rPr>
          <w:snapToGrid w:val="0"/>
        </w:rPr>
      </w:pPr>
      <w:bookmarkStart w:id="177" w:name="_Toc519996770"/>
      <w:bookmarkStart w:id="178" w:name="_Toc4564342"/>
      <w:bookmarkStart w:id="179" w:name="_Toc6885592"/>
      <w:bookmarkStart w:id="180" w:name="_Toc131327374"/>
      <w:bookmarkStart w:id="181" w:name="_Toc151285196"/>
      <w:r>
        <w:rPr>
          <w:rStyle w:val="CharSectno"/>
        </w:rPr>
        <w:t>17</w:t>
      </w:r>
      <w:r>
        <w:rPr>
          <w:snapToGrid w:val="0"/>
        </w:rPr>
        <w:t>.</w:t>
      </w:r>
      <w:r>
        <w:rPr>
          <w:snapToGrid w:val="0"/>
        </w:rPr>
        <w:tab/>
        <w:t>Effect on liability for payment of levy where racing authority declares bets off, etc.</w:t>
      </w:r>
      <w:bookmarkEnd w:id="177"/>
      <w:bookmarkEnd w:id="178"/>
      <w:bookmarkEnd w:id="179"/>
      <w:bookmarkEnd w:id="180"/>
      <w:bookmarkEnd w:id="181"/>
      <w:r>
        <w:rPr>
          <w:snapToGrid w:val="0"/>
        </w:rPr>
        <w:t xml:space="preserve"> </w:t>
      </w:r>
    </w:p>
    <w:p>
      <w:pPr>
        <w:pStyle w:val="Subsection"/>
        <w:spacing w:before="120"/>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spacing w:before="60"/>
        <w:rPr>
          <w:snapToGrid w:val="0"/>
        </w:rPr>
      </w:pPr>
      <w:r>
        <w:rPr>
          <w:snapToGrid w:val="0"/>
        </w:rPr>
        <w:tab/>
        <w:t>(a)</w:t>
      </w:r>
      <w:r>
        <w:rPr>
          <w:snapToGrid w:val="0"/>
        </w:rPr>
        <w:tab/>
        <w:t>an annual licence fee in respect of — </w:t>
      </w:r>
    </w:p>
    <w:p>
      <w:pPr>
        <w:pStyle w:val="Indenti"/>
        <w:spacing w:before="60"/>
        <w:rPr>
          <w:snapToGrid w:val="0"/>
        </w:rPr>
      </w:pPr>
      <w:r>
        <w:rPr>
          <w:snapToGrid w:val="0"/>
        </w:rPr>
        <w:tab/>
        <w:t>(i)</w:t>
      </w:r>
      <w:r>
        <w:rPr>
          <w:snapToGrid w:val="0"/>
        </w:rPr>
        <w:tab/>
        <w:t>a bookmaker’s licence; or</w:t>
      </w:r>
    </w:p>
    <w:p>
      <w:pPr>
        <w:pStyle w:val="Indenti"/>
        <w:spacing w:before="60"/>
        <w:rPr>
          <w:snapToGrid w:val="0"/>
        </w:rPr>
      </w:pPr>
      <w:r>
        <w:rPr>
          <w:snapToGrid w:val="0"/>
        </w:rPr>
        <w:tab/>
        <w:t>(ii)</w:t>
      </w:r>
      <w:r>
        <w:rPr>
          <w:snapToGrid w:val="0"/>
        </w:rPr>
        <w:tab/>
        <w:t xml:space="preserve">an authorisation to possess and operate a totalisator;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bookmakers’ betting levy,</w:t>
      </w:r>
    </w:p>
    <w:p>
      <w:pPr>
        <w:pStyle w:val="Subsection"/>
        <w:spacing w:before="120"/>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spacing w:before="80"/>
        <w:ind w:left="890" w:hanging="890"/>
      </w:pPr>
      <w:r>
        <w:tab/>
        <w:t xml:space="preserve">[Section 17 amended by No. 6 of 1987 s. 12; No. 11 of 1992 s. 39; No. 63 of 1995 s. 54; No. 13 of 2002 s. 14; No. 35 of 2003 s. 102.] </w:t>
      </w:r>
    </w:p>
    <w:p>
      <w:pPr>
        <w:pStyle w:val="Heading5"/>
        <w:rPr>
          <w:snapToGrid w:val="0"/>
        </w:rPr>
      </w:pPr>
      <w:bookmarkStart w:id="182" w:name="_Toc519996771"/>
      <w:bookmarkStart w:id="183" w:name="_Toc4564343"/>
      <w:bookmarkStart w:id="184" w:name="_Toc6885593"/>
      <w:bookmarkStart w:id="185" w:name="_Toc131327375"/>
      <w:bookmarkStart w:id="186" w:name="_Toc151285197"/>
      <w:r>
        <w:rPr>
          <w:rStyle w:val="CharSectno"/>
        </w:rPr>
        <w:t>17A</w:t>
      </w:r>
      <w:r>
        <w:rPr>
          <w:snapToGrid w:val="0"/>
        </w:rPr>
        <w:t>.</w:t>
      </w:r>
      <w:r>
        <w:rPr>
          <w:snapToGrid w:val="0"/>
        </w:rPr>
        <w:tab/>
        <w:t>Annual licence fee in respect of totalisators</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keepNext/>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17A inserted by No. 63 of 1995 s. 55; amended by No. 35 of 2003 s. 102.] </w:t>
      </w:r>
    </w:p>
    <w:p>
      <w:pPr>
        <w:pStyle w:val="Heading5"/>
        <w:rPr>
          <w:snapToGrid w:val="0"/>
        </w:rPr>
      </w:pPr>
      <w:bookmarkStart w:id="187" w:name="_Toc519996772"/>
      <w:bookmarkStart w:id="188" w:name="_Toc4564344"/>
      <w:bookmarkStart w:id="189" w:name="_Toc6885594"/>
      <w:bookmarkStart w:id="190" w:name="_Toc131327376"/>
      <w:bookmarkStart w:id="191" w:name="_Toc151285198"/>
      <w:r>
        <w:rPr>
          <w:rStyle w:val="CharSectno"/>
        </w:rPr>
        <w:t>17B</w:t>
      </w:r>
      <w:r>
        <w:rPr>
          <w:snapToGrid w:val="0"/>
        </w:rPr>
        <w:t>.</w:t>
      </w:r>
      <w:r>
        <w:rPr>
          <w:snapToGrid w:val="0"/>
        </w:rPr>
        <w:tab/>
        <w:t>Use of the totalisator by racing clubs</w:t>
      </w:r>
      <w:bookmarkEnd w:id="187"/>
      <w:bookmarkEnd w:id="188"/>
      <w:bookmarkEnd w:id="189"/>
      <w:bookmarkEnd w:id="190"/>
      <w:bookmarkEnd w:id="191"/>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rPr>
          <w:snapToGrid w:val="0"/>
        </w:rPr>
      </w:pPr>
      <w:r>
        <w:rPr>
          <w:snapToGrid w:val="0"/>
        </w:rPr>
        <w:tab/>
        <w:t>(a)</w:t>
      </w:r>
      <w:r>
        <w:rPr>
          <w:snapToGrid w:val="0"/>
        </w:rPr>
        <w:tab/>
        <w:t>it was authorised — </w:t>
      </w:r>
    </w:p>
    <w:p>
      <w:pPr>
        <w:pStyle w:val="Indenti"/>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ins w:id="192" w:author="svcMRProcess" w:date="2020-02-13T23:26:00Z">
        <w:r>
          <w:rPr>
            <w:iCs/>
            <w:snapToGrid w:val="0"/>
            <w:vertAlign w:val="superscript"/>
          </w:rPr>
          <w:t> 2</w:t>
        </w:r>
      </w:ins>
      <w:r>
        <w:rPr>
          <w:snapToGrid w:val="0"/>
        </w:rPr>
        <w:t xml:space="preserve"> or the </w:t>
      </w:r>
      <w:r>
        <w:rPr>
          <w:i/>
          <w:snapToGrid w:val="0"/>
        </w:rPr>
        <w:t>Totalisator Act Amendment Act 1899</w:t>
      </w:r>
      <w:r>
        <w:rPr>
          <w:snapToGrid w:val="0"/>
        </w:rPr>
        <w:t xml:space="preserve"> or pursuant to a licence under the </w:t>
      </w:r>
      <w:r>
        <w:rPr>
          <w:i/>
          <w:snapToGrid w:val="0"/>
        </w:rPr>
        <w:t>Totalisator Regulation Act 1911</w:t>
      </w:r>
      <w:ins w:id="193" w:author="svcMRProcess" w:date="2020-02-13T23:26:00Z">
        <w:r>
          <w:rPr>
            <w:iCs/>
            <w:snapToGrid w:val="0"/>
            <w:vertAlign w:val="superscript"/>
          </w:rPr>
          <w:t> 2</w:t>
        </w:r>
      </w:ins>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spacing w:before="120"/>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spacing w:before="120"/>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spacing w:before="120"/>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spacing w:before="120"/>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keepNext/>
        <w:keepLines/>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pPr>
      <w:r>
        <w:tab/>
        <w:t xml:space="preserve">[Section 17B inserted by No. 11 of 1992 s. 61; amended by No. 63 of 1995 s. 56; No. 13 of 2002 s. 15; No. 35 of 2003 s. 85 and 102.] </w:t>
      </w:r>
    </w:p>
    <w:p>
      <w:pPr>
        <w:pStyle w:val="Heading5"/>
        <w:rPr>
          <w:snapToGrid w:val="0"/>
        </w:rPr>
      </w:pPr>
      <w:bookmarkStart w:id="194" w:name="_Toc519996773"/>
      <w:bookmarkStart w:id="195" w:name="_Toc4564345"/>
      <w:bookmarkStart w:id="196" w:name="_Toc6885595"/>
      <w:bookmarkStart w:id="197" w:name="_Toc131327377"/>
      <w:bookmarkStart w:id="198" w:name="_Toc151285199"/>
      <w:r>
        <w:rPr>
          <w:rStyle w:val="CharSectno"/>
        </w:rPr>
        <w:t>17C</w:t>
      </w:r>
      <w:r>
        <w:rPr>
          <w:snapToGrid w:val="0"/>
        </w:rPr>
        <w:t>.</w:t>
      </w:r>
      <w:r>
        <w:rPr>
          <w:snapToGrid w:val="0"/>
        </w:rPr>
        <w:tab/>
      </w:r>
      <w:bookmarkEnd w:id="194"/>
      <w:bookmarkEnd w:id="195"/>
      <w:r>
        <w:rPr>
          <w:snapToGrid w:val="0"/>
        </w:rPr>
        <w:t>Making of bets on designated sporting events not authorised</w:t>
      </w:r>
      <w:bookmarkEnd w:id="196"/>
      <w:bookmarkEnd w:id="197"/>
      <w:bookmarkEnd w:id="198"/>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199" w:name="_Toc519996774"/>
      <w:bookmarkStart w:id="200" w:name="_Toc4564346"/>
      <w:bookmarkStart w:id="201" w:name="_Toc6885596"/>
      <w:bookmarkStart w:id="202" w:name="_Toc131327378"/>
      <w:bookmarkStart w:id="203" w:name="_Toc151285200"/>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204" w:name="_Toc519996775"/>
      <w:bookmarkStart w:id="205" w:name="_Toc4564347"/>
      <w:bookmarkStart w:id="206" w:name="_Toc6885597"/>
      <w:bookmarkStart w:id="207" w:name="_Toc131327379"/>
      <w:bookmarkStart w:id="208" w:name="_Toc151285201"/>
      <w:r>
        <w:rPr>
          <w:rStyle w:val="CharSectno"/>
        </w:rPr>
        <w:t>17E</w:t>
      </w:r>
      <w:r>
        <w:rPr>
          <w:snapToGrid w:val="0"/>
        </w:rPr>
        <w:t>.</w:t>
      </w:r>
      <w:r>
        <w:rPr>
          <w:snapToGrid w:val="0"/>
        </w:rPr>
        <w:tab/>
        <w:t>Percentage of off course</w:t>
      </w:r>
      <w:del w:id="209" w:author="svcMRProcess" w:date="2020-02-13T23:26:00Z">
        <w:r>
          <w:rPr>
            <w:snapToGrid w:val="0"/>
          </w:rPr>
          <w:delText xml:space="preserve"> </w:delText>
        </w:r>
      </w:del>
      <w:ins w:id="210" w:author="svcMRProcess" w:date="2020-02-13T23:26:00Z">
        <w:r>
          <w:rPr>
            <w:snapToGrid w:val="0"/>
          </w:rPr>
          <w:t> </w:t>
        </w:r>
      </w:ins>
      <w:r>
        <w:rPr>
          <w:snapToGrid w:val="0"/>
        </w:rPr>
        <w:t xml:space="preserve">bets to belong to </w:t>
      </w:r>
      <w:bookmarkEnd w:id="204"/>
      <w:bookmarkEnd w:id="205"/>
      <w:bookmarkEnd w:id="206"/>
      <w:bookmarkEnd w:id="207"/>
      <w:del w:id="211" w:author="svcMRProcess" w:date="2020-02-13T23:26:00Z">
        <w:r>
          <w:rPr>
            <w:snapToGrid w:val="0"/>
          </w:rPr>
          <w:delText xml:space="preserve">TAB </w:delText>
        </w:r>
      </w:del>
      <w:ins w:id="212" w:author="svcMRProcess" w:date="2020-02-13T23:26:00Z">
        <w:r>
          <w:rPr>
            <w:snapToGrid w:val="0"/>
          </w:rPr>
          <w:t>RWWA</w:t>
        </w:r>
      </w:ins>
      <w:bookmarkEnd w:id="208"/>
    </w:p>
    <w:p>
      <w:pPr>
        <w:pStyle w:val="Subsection"/>
        <w:spacing w:before="120"/>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spacing w:before="60"/>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and</w:t>
      </w:r>
    </w:p>
    <w:p>
      <w:pPr>
        <w:pStyle w:val="Indenta"/>
        <w:spacing w:before="60"/>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spacing w:before="120"/>
        <w:rPr>
          <w:snapToGrid w:val="0"/>
        </w:rPr>
      </w:pPr>
      <w:r>
        <w:rPr>
          <w:snapToGrid w:val="0"/>
        </w:rPr>
        <w:tab/>
        <w:t>(2)</w:t>
      </w:r>
      <w:r>
        <w:rPr>
          <w:snapToGrid w:val="0"/>
        </w:rPr>
        <w:tab/>
        <w:t xml:space="preserve">Where </w:t>
      </w:r>
      <w:r>
        <w:t>RWWA</w:t>
      </w:r>
      <w:r>
        <w:rPr>
          <w:snapToGrid w:val="0"/>
        </w:rPr>
        <w:t xml:space="preserve"> is of the opinion that it is necessary, in order to participate in a combined totalisator pool scheme of a kind to which </w:t>
      </w:r>
      <w:r>
        <w:t>section 59 of the RWWA Act</w:t>
      </w:r>
      <w:r>
        <w:rPr>
          <w:snapToGrid w:val="0"/>
        </w:rPr>
        <w:t xml:space="preserve"> refers, to amend the percentage of the commission that would otherwise be payable under subsection (1) </w:t>
      </w:r>
      <w:r>
        <w:t>RWWA</w:t>
      </w:r>
      <w:r>
        <w:rPr>
          <w:snapToGrid w:val="0"/>
        </w:rPr>
        <w:t xml:space="preserve"> may determine what that percentage should be and deduction of the amount of commission at the rate so determined, instead of at the rate prescribed, shall be lawful.</w:t>
      </w:r>
    </w:p>
    <w:p>
      <w:pPr>
        <w:pStyle w:val="Footnotesection"/>
      </w:pPr>
      <w:r>
        <w:tab/>
        <w:t xml:space="preserve">[Section 17E inserted by No. 63 of 1995 s. 57; amended by No. 40 of 1999 s. 32; No. 35 of 2003 s. 86 and 103.] </w:t>
      </w:r>
    </w:p>
    <w:p>
      <w:pPr>
        <w:pStyle w:val="Heading5"/>
      </w:pPr>
      <w:bookmarkStart w:id="213" w:name="_Toc519996776"/>
      <w:bookmarkStart w:id="214" w:name="_Toc4564348"/>
      <w:bookmarkStart w:id="215" w:name="_Toc6885598"/>
      <w:bookmarkStart w:id="216" w:name="_Toc131327380"/>
      <w:bookmarkStart w:id="217" w:name="_Toc151285202"/>
      <w:r>
        <w:rPr>
          <w:rStyle w:val="CharSectno"/>
        </w:rPr>
        <w:t>17EA</w:t>
      </w:r>
      <w:r>
        <w:t>.</w:t>
      </w:r>
      <w:r>
        <w:tab/>
        <w:t>Management of fixed</w:t>
      </w:r>
      <w:del w:id="218" w:author="svcMRProcess" w:date="2020-02-13T23:26:00Z">
        <w:r>
          <w:delText xml:space="preserve"> </w:delText>
        </w:r>
      </w:del>
      <w:ins w:id="219" w:author="svcMRProcess" w:date="2020-02-13T23:26:00Z">
        <w:r>
          <w:t> </w:t>
        </w:r>
      </w:ins>
      <w:r>
        <w:t xml:space="preserve">odds </w:t>
      </w:r>
      <w:del w:id="220" w:author="svcMRProcess" w:date="2020-02-13T23:26:00Z">
        <w:r>
          <w:delText>–</w:delText>
        </w:r>
      </w:del>
      <w:ins w:id="221" w:author="svcMRProcess" w:date="2020-02-13T23:26:00Z">
        <w:r>
          <w:rPr>
            <w:snapToGrid w:val="0"/>
          </w:rPr>
          <w:t>—</w:t>
        </w:r>
      </w:ins>
      <w:r>
        <w:t xml:space="preserve"> prescribed margin</w:t>
      </w:r>
      <w:bookmarkEnd w:id="213"/>
      <w:bookmarkEnd w:id="214"/>
      <w:bookmarkEnd w:id="215"/>
      <w:bookmarkEnd w:id="216"/>
      <w:bookmarkEnd w:id="217"/>
    </w:p>
    <w:p>
      <w:pPr>
        <w:pStyle w:val="Subsection"/>
        <w:spacing w:before="110"/>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w:t>
      </w:r>
      <w:r>
        <w:rPr>
          <w:b/>
          <w:bCs/>
        </w:rPr>
        <w:t>m</w:t>
      </w:r>
      <w:r>
        <w:t>” (“</w:t>
      </w:r>
      <w:r>
        <w:rPr>
          <w:i/>
        </w:rPr>
        <w:t>margin</w:t>
      </w:r>
      <w:r>
        <w:t>”) equal to or greater than the prescribed figure (“</w:t>
      </w:r>
      <w:r>
        <w:rPr>
          <w:i/>
        </w:rPr>
        <w:t>margin</w:t>
      </w:r>
      <w:r>
        <w:t>”) for that type of race or event.</w:t>
      </w:r>
    </w:p>
    <w:p>
      <w:pPr>
        <w:pStyle w:val="Subsection"/>
        <w:spacing w:before="110"/>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spacing w:before="110"/>
      </w:pPr>
      <w:r>
        <w:rPr>
          <w:snapToGrid w:val="0"/>
        </w:rPr>
        <w:tab/>
        <w:t>(3)</w:t>
      </w:r>
      <w:r>
        <w:rPr>
          <w:snapToGrid w:val="0"/>
        </w:rPr>
        <w:tab/>
        <w:t>For the purposes of subsection (1), “</w:t>
      </w:r>
      <w:r>
        <w:rPr>
          <w:b/>
          <w:bCs/>
          <w:snapToGrid w:val="0"/>
        </w:rPr>
        <w:t>m</w:t>
      </w:r>
      <w:r>
        <w:rPr>
          <w:snapToGrid w:val="0"/>
        </w:rPr>
        <w:t>”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rPr>
          <w:b/>
          <w:bCs/>
        </w:rPr>
      </w:pPr>
      <w:r>
        <w:rPr>
          <w:b/>
          <w:bCs/>
        </w:rPr>
        <w:tab/>
      </w:r>
      <w:del w:id="222" w:author="svcMRProcess" w:date="2020-02-13T23:26: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17.25pt">
              <v:imagedata r:id="rId16" o:title=""/>
            </v:shape>
          </w:pict>
        </w:r>
      </w:del>
      <w:ins w:id="223" w:author="svcMRProcess" w:date="2020-02-13T23:26:00Z">
        <w:r>
          <w:rPr>
            <w:b/>
            <w:bCs/>
            <w:position w:val="-10"/>
          </w:rPr>
          <w:pict>
            <v:shape id="_x0000_i1026" type="#_x0000_t75" style="width:168.75pt;height:17.25pt">
              <v:imagedata r:id="rId17" o:title=""/>
            </v:shape>
          </w:pict>
        </w:r>
      </w:ins>
    </w:p>
    <w:p>
      <w:pPr>
        <w:pStyle w:val="Subsection"/>
        <w:spacing w:before="100"/>
      </w:pPr>
      <w:r>
        <w:tab/>
      </w:r>
      <w:r>
        <w:tab/>
      </w:r>
      <w:r>
        <w:rPr>
          <w:snapToGrid w:val="0"/>
        </w:rPr>
        <w:t>where</w:t>
      </w:r>
      <w:r>
        <w:t xml:space="preserve"> </w:t>
      </w:r>
    </w:p>
    <w:p>
      <w:pPr>
        <w:pStyle w:val="Indenta"/>
        <w:spacing w:before="120"/>
      </w:pPr>
      <w:r>
        <w:tab/>
      </w:r>
      <w:r>
        <w:rPr>
          <w:b/>
        </w:rPr>
        <w:t>p</w:t>
      </w:r>
      <w:r>
        <w:rPr>
          <w:b/>
          <w:vertAlign w:val="superscript"/>
        </w:rPr>
        <w:t>1</w:t>
      </w:r>
      <w:r>
        <w:tab/>
        <w:t>represents the odds (expressed as a percentage) offered on the first participant in that race or event;</w:t>
      </w:r>
    </w:p>
    <w:p>
      <w:pPr>
        <w:pStyle w:val="Indenta"/>
        <w:spacing w:before="120"/>
      </w:pPr>
      <w:r>
        <w:tab/>
      </w:r>
      <w:r>
        <w:rPr>
          <w:b/>
        </w:rPr>
        <w:t>p</w:t>
      </w:r>
      <w:r>
        <w:rPr>
          <w:b/>
          <w:vertAlign w:val="superscript"/>
        </w:rPr>
        <w:t>2</w:t>
      </w:r>
      <w:r>
        <w:tab/>
        <w:t>represents the odds (expressed as a percentage) offered on the second participant in that race or event;</w:t>
      </w:r>
    </w:p>
    <w:p>
      <w:pPr>
        <w:pStyle w:val="Indenta"/>
        <w:spacing w:before="120"/>
      </w:pPr>
      <w:r>
        <w:tab/>
      </w:r>
      <w:r>
        <w:rPr>
          <w:b/>
        </w:rPr>
        <w:t>p</w:t>
      </w:r>
      <w:r>
        <w:rPr>
          <w:b/>
          <w:vertAlign w:val="superscript"/>
        </w:rPr>
        <w:t>3</w:t>
      </w:r>
      <w:r>
        <w:tab/>
        <w:t xml:space="preserve">represents the odds (expressed as a percentage) offered on the third participant in that race or event, etc. </w:t>
      </w:r>
      <w:del w:id="224" w:author="svcMRProcess" w:date="2020-02-13T23:26:00Z">
        <w:r>
          <w:delText>(…</w:delText>
        </w:r>
      </w:del>
      <w:ins w:id="225" w:author="svcMRProcess" w:date="2020-02-13T23:26:00Z">
        <w:r>
          <w:t>(...</w:t>
        </w:r>
      </w:ins>
      <w:r>
        <w:rPr>
          <w:i/>
        </w:rPr>
        <w:t>depending on the number of participants in the particular race or event…</w:t>
      </w:r>
      <w:r>
        <w:t>); and</w:t>
      </w:r>
    </w:p>
    <w:p>
      <w:pPr>
        <w:pStyle w:val="Indenta"/>
        <w:spacing w:before="120"/>
      </w:pPr>
      <w:r>
        <w:tab/>
      </w:r>
      <w:r>
        <w:rPr>
          <w:b/>
        </w:rPr>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226" w:name="_Toc519996777"/>
      <w:bookmarkStart w:id="227" w:name="_Toc4564349"/>
      <w:bookmarkStart w:id="228" w:name="_Toc6885599"/>
      <w:bookmarkStart w:id="229" w:name="_Toc131327381"/>
      <w:bookmarkStart w:id="230" w:name="_Toc151285203"/>
      <w:r>
        <w:rPr>
          <w:rStyle w:val="CharSectno"/>
        </w:rPr>
        <w:t>17F</w:t>
      </w:r>
      <w:r>
        <w:rPr>
          <w:snapToGrid w:val="0"/>
        </w:rPr>
        <w:t>.</w:t>
      </w:r>
      <w:r>
        <w:rPr>
          <w:snapToGrid w:val="0"/>
        </w:rPr>
        <w:tab/>
        <w:t>Percentage of bets to belong to racing club</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rPr>
          <w:snapToGrid w:val="0"/>
        </w:rPr>
      </w:pPr>
      <w:bookmarkStart w:id="231" w:name="_Toc519996778"/>
      <w:bookmarkStart w:id="232" w:name="_Toc4564350"/>
      <w:bookmarkStart w:id="233" w:name="_Toc6885600"/>
      <w:bookmarkStart w:id="234" w:name="_Toc131327382"/>
      <w:bookmarkStart w:id="235" w:name="_Toc151285204"/>
      <w:r>
        <w:rPr>
          <w:rStyle w:val="CharSectno"/>
        </w:rPr>
        <w:t>18</w:t>
      </w:r>
      <w:r>
        <w:rPr>
          <w:snapToGrid w:val="0"/>
        </w:rPr>
        <w:t>.</w:t>
      </w:r>
      <w:r>
        <w:rPr>
          <w:snapToGrid w:val="0"/>
        </w:rPr>
        <w:tab/>
        <w:t>Omission of bets from records or returns does not affect liability for levy or penalty</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rPr>
          <w:snapToGrid w:val="0"/>
        </w:rPr>
      </w:pPr>
      <w:bookmarkStart w:id="236" w:name="_Toc519996779"/>
      <w:bookmarkStart w:id="237" w:name="_Toc4564351"/>
      <w:bookmarkStart w:id="238" w:name="_Toc6885601"/>
      <w:bookmarkStart w:id="239" w:name="_Toc131327383"/>
      <w:bookmarkStart w:id="240" w:name="_Toc151285205"/>
      <w:r>
        <w:rPr>
          <w:rStyle w:val="CharSectno"/>
        </w:rPr>
        <w:t>18A</w:t>
      </w:r>
      <w:r>
        <w:rPr>
          <w:snapToGrid w:val="0"/>
        </w:rPr>
        <w:t>.</w:t>
      </w:r>
      <w:r>
        <w:rPr>
          <w:snapToGrid w:val="0"/>
        </w:rPr>
        <w:tab/>
        <w:t>Payment of levy</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12(3)(a)(ii) </w:t>
      </w:r>
      <w:r>
        <w:rPr>
          <w:snapToGrid w:val="0"/>
        </w:rPr>
        <w:t>or otherwise.</w:t>
      </w:r>
    </w:p>
    <w:p>
      <w:pPr>
        <w:pStyle w:val="Subsection"/>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w:t>
      </w:r>
    </w:p>
    <w:p>
      <w:pPr>
        <w:pStyle w:val="Heading5"/>
        <w:rPr>
          <w:snapToGrid w:val="0"/>
        </w:rPr>
      </w:pPr>
      <w:bookmarkStart w:id="241" w:name="_Toc519996780"/>
      <w:bookmarkStart w:id="242" w:name="_Toc4564352"/>
      <w:bookmarkStart w:id="243" w:name="_Toc6885602"/>
      <w:bookmarkStart w:id="244" w:name="_Toc131327384"/>
      <w:bookmarkStart w:id="245" w:name="_Toc151285206"/>
      <w:r>
        <w:rPr>
          <w:rStyle w:val="CharSectno"/>
        </w:rPr>
        <w:t>18B</w:t>
      </w:r>
      <w:r>
        <w:rPr>
          <w:snapToGrid w:val="0"/>
        </w:rPr>
        <w:t>.</w:t>
      </w:r>
      <w:r>
        <w:rPr>
          <w:snapToGrid w:val="0"/>
        </w:rPr>
        <w:tab/>
        <w:t>Assessments, and additional levy</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246" w:name="_Toc89168164"/>
      <w:bookmarkStart w:id="247" w:name="_Toc96937691"/>
      <w:bookmarkStart w:id="248" w:name="_Toc96937799"/>
      <w:bookmarkStart w:id="249" w:name="_Toc101927977"/>
      <w:bookmarkStart w:id="250" w:name="_Toc101928092"/>
      <w:bookmarkStart w:id="251" w:name="_Toc102796943"/>
      <w:bookmarkStart w:id="252" w:name="_Toc122949238"/>
      <w:bookmarkStart w:id="253" w:name="_Toc131327385"/>
      <w:bookmarkStart w:id="254" w:name="_Toc142803266"/>
      <w:bookmarkStart w:id="255" w:name="_Toc142809242"/>
      <w:bookmarkStart w:id="256" w:name="_Toc146426955"/>
      <w:bookmarkStart w:id="257" w:name="_Toc146440124"/>
      <w:bookmarkStart w:id="258" w:name="_Toc148849387"/>
      <w:bookmarkStart w:id="259" w:name="_Toc148858324"/>
      <w:bookmarkStart w:id="260" w:name="_Toc151285207"/>
      <w:bookmarkStart w:id="261" w:name="_Toc519996781"/>
      <w:bookmarkStart w:id="262" w:name="_Toc4564353"/>
      <w:bookmarkStart w:id="263" w:name="_Toc6885603"/>
      <w:r>
        <w:rPr>
          <w:rStyle w:val="CharPartNo"/>
        </w:rPr>
        <w:t>Part 4</w:t>
      </w:r>
      <w:r>
        <w:rPr>
          <w:b w:val="0"/>
        </w:rPr>
        <w:t> </w:t>
      </w:r>
      <w:r>
        <w:t>—</w:t>
      </w:r>
      <w:r>
        <w:rPr>
          <w:b w:val="0"/>
        </w:rPr>
        <w:t> </w:t>
      </w:r>
      <w:r>
        <w:rPr>
          <w:rStyle w:val="CharPartText"/>
        </w:rPr>
        <w:t>Enforcement and offences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tabs>
          <w:tab w:val="left" w:pos="851"/>
        </w:tabs>
      </w:pPr>
      <w:r>
        <w:tab/>
        <w:t>[Heading inserted by No. 35 of 2003 s. 101(4).]</w:t>
      </w:r>
    </w:p>
    <w:p>
      <w:pPr>
        <w:pStyle w:val="Heading5"/>
        <w:rPr>
          <w:snapToGrid w:val="0"/>
        </w:rPr>
      </w:pPr>
      <w:bookmarkStart w:id="264" w:name="_Toc131327386"/>
      <w:bookmarkStart w:id="265" w:name="_Toc151285208"/>
      <w:r>
        <w:rPr>
          <w:rStyle w:val="CharSectno"/>
        </w:rPr>
        <w:t>19</w:t>
      </w:r>
      <w:r>
        <w:rPr>
          <w:snapToGrid w:val="0"/>
        </w:rPr>
        <w:t>.</w:t>
      </w:r>
      <w:r>
        <w:rPr>
          <w:snapToGrid w:val="0"/>
        </w:rPr>
        <w:tab/>
      </w:r>
      <w:r>
        <w:t>Commission</w:t>
      </w:r>
      <w:r>
        <w:rPr>
          <w:snapToGrid w:val="0"/>
        </w:rPr>
        <w:t xml:space="preserve"> may sue bookmaker for unpaid levy</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266" w:name="_Toc519996782"/>
      <w:bookmarkStart w:id="267" w:name="_Toc4564354"/>
      <w:bookmarkStart w:id="268" w:name="_Toc6885604"/>
      <w:bookmarkStart w:id="269" w:name="_Toc131327387"/>
      <w:bookmarkStart w:id="270" w:name="_Toc151285209"/>
      <w:r>
        <w:rPr>
          <w:rStyle w:val="CharSectno"/>
        </w:rPr>
        <w:t>19A</w:t>
      </w:r>
      <w:r>
        <w:rPr>
          <w:snapToGrid w:val="0"/>
        </w:rPr>
        <w:t>.</w:t>
      </w:r>
      <w:r>
        <w:rPr>
          <w:snapToGrid w:val="0"/>
        </w:rPr>
        <w:tab/>
      </w:r>
      <w:r>
        <w:t>Commission</w:t>
      </w:r>
      <w:r>
        <w:rPr>
          <w:snapToGrid w:val="0"/>
        </w:rPr>
        <w:t xml:space="preserve"> may recover unpaid money in respect of an annual licence fee</w:t>
      </w:r>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271" w:name="_Toc131327388"/>
      <w:bookmarkStart w:id="272" w:name="_Toc151285210"/>
      <w:bookmarkStart w:id="273" w:name="_Toc519996784"/>
      <w:bookmarkStart w:id="274" w:name="_Toc4564356"/>
      <w:bookmarkStart w:id="275" w:name="_Toc6885606"/>
      <w:r>
        <w:rPr>
          <w:rStyle w:val="CharSectno"/>
        </w:rPr>
        <w:t>20</w:t>
      </w:r>
      <w:r>
        <w:t>.</w:t>
      </w:r>
      <w:r>
        <w:tab/>
        <w:t>Entry and inspection of race courses and certain other premises</w:t>
      </w:r>
      <w:bookmarkEnd w:id="271"/>
      <w:bookmarkEnd w:id="272"/>
    </w:p>
    <w:p>
      <w:pPr>
        <w:pStyle w:val="Subsection"/>
      </w:pPr>
      <w:r>
        <w:tab/>
        <w:t>(1)</w:t>
      </w:r>
      <w:r>
        <w:tab/>
        <w:t xml:space="preserve">In this section — </w:t>
      </w:r>
    </w:p>
    <w:p>
      <w:pPr>
        <w:pStyle w:val="Defstart"/>
      </w:pPr>
      <w:r>
        <w:rPr>
          <w:b/>
        </w:rPr>
        <w:tab/>
        <w:t>“</w:t>
      </w:r>
      <w:r>
        <w:rPr>
          <w:rStyle w:val="CharDefText"/>
        </w:rPr>
        <w:t>Commission representative</w:t>
      </w:r>
      <w:r>
        <w:rPr>
          <w:b/>
        </w:rPr>
        <w:t>”</w:t>
      </w:r>
      <w:r>
        <w:t xml:space="preserve"> means — </w:t>
      </w:r>
    </w:p>
    <w:p>
      <w:pPr>
        <w:pStyle w:val="Defpara"/>
      </w:pPr>
      <w:r>
        <w:tab/>
        <w:t>(a)</w:t>
      </w:r>
      <w:r>
        <w:tab/>
        <w:t>a member of the Commission;</w:t>
      </w:r>
    </w:p>
    <w:p>
      <w:pPr>
        <w:pStyle w:val="Defpara"/>
      </w:pPr>
      <w:r>
        <w:tab/>
        <w:t>(b)</w:t>
      </w:r>
      <w:r>
        <w:tab/>
        <w:t>a person authorised by the Commission or the Minister;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w:t>
      </w:r>
    </w:p>
    <w:p>
      <w:pPr>
        <w:pStyle w:val="Indenta"/>
      </w:pPr>
      <w:r>
        <w:tab/>
        <w:t>(b)</w:t>
      </w:r>
      <w:r>
        <w:tab/>
        <w:t>premises to which section 5(2) applies;</w:t>
      </w:r>
    </w:p>
    <w:p>
      <w:pPr>
        <w:pStyle w:val="Indenta"/>
      </w:pPr>
      <w:r>
        <w:tab/>
        <w:t>(c)</w:t>
      </w:r>
      <w:r>
        <w:tab/>
        <w:t>premises or a vehicle or vessel from or on which a bookmaker carries on business;</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pPr>
      <w:r>
        <w:tab/>
        <w:t>(e)</w:t>
      </w:r>
      <w:r>
        <w:tab/>
        <w:t xml:space="preserve">to gather evidence of a suspected contravention of — </w:t>
      </w:r>
    </w:p>
    <w:p>
      <w:pPr>
        <w:pStyle w:val="Indenti"/>
      </w:pPr>
      <w:r>
        <w:tab/>
        <w:t>(i)</w:t>
      </w:r>
      <w:r>
        <w:tab/>
        <w:t xml:space="preserve">this Act; </w:t>
      </w:r>
    </w:p>
    <w:p>
      <w:pPr>
        <w:pStyle w:val="Indenti"/>
      </w:pPr>
      <w:r>
        <w:tab/>
        <w:t>(ii)</w:t>
      </w:r>
      <w:r>
        <w:tab/>
        <w:t>a condition of a licence, permit or approval under this Act; or</w:t>
      </w:r>
    </w:p>
    <w:p>
      <w:pPr>
        <w:pStyle w:val="Indenti"/>
      </w:pPr>
      <w:r>
        <w:tab/>
        <w:t>(ii)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w:t>
      </w:r>
    </w:p>
    <w:p>
      <w:pPr>
        <w:pStyle w:val="Heading5"/>
      </w:pPr>
      <w:bookmarkStart w:id="276" w:name="_Toc131327389"/>
      <w:bookmarkStart w:id="277" w:name="_Toc151285211"/>
      <w:r>
        <w:rPr>
          <w:rStyle w:val="CharSectno"/>
        </w:rPr>
        <w:t>20A</w:t>
      </w:r>
      <w:r>
        <w:t>.</w:t>
      </w:r>
      <w:r>
        <w:tab/>
        <w:t>Powers of Commission representative</w:t>
      </w:r>
      <w:bookmarkEnd w:id="276"/>
      <w:bookmarkEnd w:id="277"/>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pPr>
      <w:bookmarkStart w:id="278" w:name="_Toc131327390"/>
      <w:bookmarkStart w:id="279" w:name="_Toc151285212"/>
      <w:r>
        <w:rPr>
          <w:rStyle w:val="CharSectno"/>
        </w:rPr>
        <w:t>20B</w:t>
      </w:r>
      <w:r>
        <w:t>.</w:t>
      </w:r>
      <w:r>
        <w:tab/>
        <w:t>Requirement to provide information</w:t>
      </w:r>
      <w:bookmarkEnd w:id="278"/>
      <w:bookmarkEnd w:id="279"/>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280" w:name="_Toc131327391"/>
      <w:bookmarkStart w:id="281" w:name="_Toc151285213"/>
      <w:r>
        <w:rPr>
          <w:rStyle w:val="CharSectno"/>
        </w:rPr>
        <w:t>20C</w:t>
      </w:r>
      <w:r>
        <w:t>.</w:t>
      </w:r>
      <w:r>
        <w:tab/>
        <w:t>Complying with information requirements</w:t>
      </w:r>
      <w:bookmarkEnd w:id="280"/>
      <w:bookmarkEnd w:id="281"/>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282" w:name="_Toc131327392"/>
      <w:bookmarkStart w:id="283" w:name="_Toc151285214"/>
      <w:r>
        <w:rPr>
          <w:rStyle w:val="CharSectno"/>
        </w:rPr>
        <w:t>21</w:t>
      </w:r>
      <w:r>
        <w:rPr>
          <w:snapToGrid w:val="0"/>
        </w:rPr>
        <w:t>.</w:t>
      </w:r>
      <w:r>
        <w:rPr>
          <w:snapToGrid w:val="0"/>
        </w:rPr>
        <w:tab/>
        <w:t>Prohibition of</w:t>
      </w:r>
      <w:del w:id="284" w:author="svcMRProcess" w:date="2020-02-13T23:26:00Z">
        <w:r>
          <w:rPr>
            <w:snapToGrid w:val="0"/>
          </w:rPr>
          <w:delText xml:space="preserve"> </w:delText>
        </w:r>
      </w:del>
      <w:ins w:id="285" w:author="svcMRProcess" w:date="2020-02-13T23:26:00Z">
        <w:r>
          <w:rPr>
            <w:snapToGrid w:val="0"/>
          </w:rPr>
          <w:t> </w:t>
        </w:r>
      </w:ins>
      <w:r>
        <w:rPr>
          <w:snapToGrid w:val="0"/>
        </w:rPr>
        <w:t>betting with minors, intoxicated persons, etc.</w:t>
      </w:r>
      <w:bookmarkEnd w:id="273"/>
      <w:bookmarkEnd w:id="274"/>
      <w:bookmarkEnd w:id="275"/>
      <w:bookmarkEnd w:id="282"/>
      <w:bookmarkEnd w:id="283"/>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w:t>
      </w:r>
    </w:p>
    <w:p>
      <w:pPr>
        <w:pStyle w:val="Indenta"/>
        <w:rPr>
          <w:snapToGrid w:val="0"/>
        </w:rPr>
      </w:pPr>
      <w:r>
        <w:rPr>
          <w:snapToGrid w:val="0"/>
        </w:rPr>
        <w:tab/>
        <w:t>(b)</w:t>
      </w:r>
      <w:r>
        <w:rPr>
          <w:snapToGrid w:val="0"/>
        </w:rPr>
        <w:tab/>
        <w:t>bet with, or pay money or deliver property relating to a bet to, a person apparently under the influence of intoxicating liquor;</w:t>
      </w:r>
    </w:p>
    <w:p>
      <w:pPr>
        <w:pStyle w:val="Ednotepara"/>
        <w:rPr>
          <w:snapToGrid w:val="0"/>
        </w:rPr>
      </w:pPr>
      <w:r>
        <w:rPr>
          <w:snapToGrid w:val="0"/>
        </w:rPr>
        <w:tab/>
        <w:t>[(c</w:t>
      </w:r>
      <w:del w:id="286" w:author="svcMRProcess" w:date="2020-02-13T23:26:00Z">
        <w:r>
          <w:rPr>
            <w:snapToGrid w:val="0"/>
          </w:rPr>
          <w:delText>)</w:delText>
        </w:r>
        <w:r>
          <w:rPr>
            <w:snapToGrid w:val="0"/>
          </w:rPr>
          <w:tab/>
          <w:delText>and</w:delText>
        </w:r>
      </w:del>
      <w:ins w:id="287" w:author="svcMRProcess" w:date="2020-02-13T23:26:00Z">
        <w:r>
          <w:rPr>
            <w:snapToGrid w:val="0"/>
          </w:rPr>
          <w:t>),</w:t>
        </w:r>
      </w:ins>
      <w:r>
        <w:rPr>
          <w:snapToGrid w:val="0"/>
        </w:rPr>
        <w:t xml:space="preserve"> (d)</w:t>
      </w:r>
      <w:del w:id="288" w:author="svcMRProcess" w:date="2020-02-13T23:26:00Z">
        <w:r>
          <w:rPr>
            <w:snapToGrid w:val="0"/>
          </w:rPr>
          <w:delText xml:space="preserve"> </w:delText>
        </w:r>
      </w:del>
      <w:ins w:id="289" w:author="svcMRProcess" w:date="2020-02-13T23:26:00Z">
        <w:r>
          <w:rPr>
            <w:snapToGrid w:val="0"/>
          </w:rPr>
          <w:tab/>
        </w:r>
      </w:ins>
      <w:r>
        <w:rPr>
          <w:snapToGrid w:val="0"/>
        </w:rPr>
        <w:t>repealed]</w:t>
      </w:r>
      <w:del w:id="290" w:author="svcMRProcess" w:date="2020-02-13T23:26:00Z">
        <w:r>
          <w:rPr>
            <w:snapToGrid w:val="0"/>
          </w:rPr>
          <w:delText xml:space="preserve"> </w:delText>
        </w:r>
      </w:del>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rPr>
          <w:snapToGrid w:val="0"/>
        </w:rPr>
      </w:pPr>
      <w:r>
        <w:rPr>
          <w:snapToGrid w:val="0"/>
        </w:rPr>
        <w:tab/>
        <w:t>(d)</w:t>
      </w:r>
      <w:r>
        <w:rPr>
          <w:snapToGrid w:val="0"/>
        </w:rPr>
        <w:tab/>
        <w:t xml:space="preserve">place a bet with or through </w:t>
      </w:r>
      <w:r>
        <w:t>RWWA</w:t>
      </w:r>
      <w:r>
        <w:rPr>
          <w:snapToGrid w:val="0"/>
        </w:rPr>
        <w:t xml:space="preserve"> for any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prohibited from entering a place where a totalisator is being operated.</w:t>
      </w:r>
    </w:p>
    <w:p>
      <w:pPr>
        <w:pStyle w:val="Subsection"/>
        <w:spacing w:before="100"/>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accept a bet from, or pay moneys or deliver a totalisator ticket to, any person apparently under the age of 18 years;</w:t>
      </w:r>
    </w:p>
    <w:p>
      <w:pPr>
        <w:pStyle w:val="Indenta"/>
        <w:rPr>
          <w:snapToGrid w:val="0"/>
        </w:rPr>
      </w:pPr>
      <w:r>
        <w:rPr>
          <w:snapToGrid w:val="0"/>
        </w:rPr>
        <w:tab/>
        <w:t>(b)</w:t>
      </w:r>
      <w:r>
        <w:rPr>
          <w:snapToGrid w:val="0"/>
        </w:rPr>
        <w:tab/>
        <w:t>accept a bet from, or pay moneys or deliver a totalisator ticket to, a person apparently under the influence of intoxicating liquor;</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w:t>
      </w:r>
    </w:p>
    <w:p>
      <w:pPr>
        <w:pStyle w:val="Heading5"/>
        <w:rPr>
          <w:snapToGrid w:val="0"/>
        </w:rPr>
      </w:pPr>
      <w:bookmarkStart w:id="291" w:name="_Toc519996785"/>
      <w:bookmarkStart w:id="292" w:name="_Toc4564357"/>
      <w:bookmarkStart w:id="293" w:name="_Toc6885607"/>
      <w:bookmarkStart w:id="294" w:name="_Toc131327393"/>
      <w:bookmarkStart w:id="295" w:name="_Toc151285215"/>
      <w:r>
        <w:rPr>
          <w:rStyle w:val="CharSectno"/>
        </w:rPr>
        <w:t>22</w:t>
      </w:r>
      <w:r>
        <w:rPr>
          <w:snapToGrid w:val="0"/>
        </w:rPr>
        <w:t>.</w:t>
      </w:r>
      <w:r>
        <w:rPr>
          <w:snapToGrid w:val="0"/>
        </w:rPr>
        <w:tab/>
        <w:t>Offences by minors</w:t>
      </w:r>
      <w:bookmarkEnd w:id="291"/>
      <w:bookmarkEnd w:id="292"/>
      <w:bookmarkEnd w:id="293"/>
      <w:bookmarkEnd w:id="294"/>
      <w:bookmarkEnd w:id="295"/>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keepNext/>
        <w:rPr>
          <w:snapToGrid w:val="0"/>
          <w:spacing w:val="-4"/>
        </w:rPr>
      </w:pPr>
      <w:r>
        <w:rPr>
          <w:snapToGrid w:val="0"/>
          <w:spacing w:val="-4"/>
        </w:rPr>
        <w:tab/>
        <w:t>(c)</w:t>
      </w:r>
      <w:r>
        <w:rPr>
          <w:snapToGrid w:val="0"/>
          <w:spacing w:val="-4"/>
        </w:rPr>
        <w:tab/>
        <w:t>request any other person to place a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rPr>
          <w:snapToGrid w:val="0"/>
        </w:rPr>
      </w:pPr>
      <w:r>
        <w:rPr>
          <w:snapToGrid w:val="0"/>
        </w:rPr>
        <w:tab/>
        <w:t>(c)</w:t>
      </w:r>
      <w:r>
        <w:rPr>
          <w:snapToGrid w:val="0"/>
        </w:rPr>
        <w:tab/>
        <w:t>request any other person to place such a bet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w:t>
      </w:r>
    </w:p>
    <w:p>
      <w:pPr>
        <w:pStyle w:val="Heading5"/>
        <w:rPr>
          <w:snapToGrid w:val="0"/>
        </w:rPr>
      </w:pPr>
      <w:bookmarkStart w:id="296" w:name="_Toc519996786"/>
      <w:bookmarkStart w:id="297" w:name="_Toc4564358"/>
      <w:bookmarkStart w:id="298" w:name="_Toc6885608"/>
      <w:bookmarkStart w:id="299" w:name="_Toc131327394"/>
      <w:bookmarkStart w:id="300" w:name="_Toc151285216"/>
      <w:r>
        <w:rPr>
          <w:rStyle w:val="CharSectno"/>
        </w:rPr>
        <w:t>23</w:t>
      </w:r>
      <w:r>
        <w:rPr>
          <w:snapToGrid w:val="0"/>
        </w:rPr>
        <w:t>.</w:t>
      </w:r>
      <w:r>
        <w:rPr>
          <w:snapToGrid w:val="0"/>
        </w:rPr>
        <w:tab/>
        <w:t>Prohibition of betting on races unless in accordance with this Act</w:t>
      </w:r>
      <w:bookmarkEnd w:id="296"/>
      <w:bookmarkEnd w:id="297"/>
      <w:bookmarkEnd w:id="298"/>
      <w:bookmarkEnd w:id="299"/>
      <w:bookmarkEnd w:id="300"/>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or</w:t>
      </w:r>
    </w:p>
    <w:p>
      <w:pPr>
        <w:pStyle w:val="Indenta"/>
      </w:pPr>
      <w:r>
        <w:tab/>
        <w:t>(b)</w:t>
      </w:r>
      <w:r>
        <w:tab/>
        <w:t>be at or in a public place for the purpose of betting,</w:t>
      </w:r>
    </w:p>
    <w:p>
      <w:pPr>
        <w:pStyle w:val="Subsection"/>
        <w:keepNext/>
        <w:spacing w:before="80"/>
      </w:pPr>
      <w:r>
        <w:tab/>
      </w:r>
      <w:r>
        <w:tab/>
        <w:t xml:space="preserve">unless — </w:t>
      </w:r>
    </w:p>
    <w:p>
      <w:pPr>
        <w:pStyle w:val="Indenta"/>
        <w:keepNext/>
        <w:spacing w:before="50"/>
      </w:pPr>
      <w:r>
        <w:tab/>
        <w:t>(c)</w:t>
      </w:r>
      <w:r>
        <w:tab/>
        <w:t xml:space="preserve">the place is — </w:t>
      </w:r>
    </w:p>
    <w:p>
      <w:pPr>
        <w:pStyle w:val="Indenti"/>
        <w:spacing w:before="50"/>
      </w:pPr>
      <w:r>
        <w:tab/>
        <w:t>(i)</w:t>
      </w:r>
      <w:r>
        <w:tab/>
        <w:t>premises to which section 5(2) for the time being applies;</w:t>
      </w:r>
    </w:p>
    <w:p>
      <w:pPr>
        <w:pStyle w:val="Indenti"/>
        <w:spacing w:before="50"/>
      </w:pPr>
      <w:r>
        <w:tab/>
        <w:t>(ii)</w:t>
      </w:r>
      <w:r>
        <w:tab/>
        <w:t xml:space="preserve">a race course where a race meeting is being held under a licence issued by RWWA under the RWWA Act or the </w:t>
      </w:r>
      <w:r>
        <w:rPr>
          <w:i/>
        </w:rPr>
        <w:t>Racing Restriction Act 2003</w:t>
      </w:r>
      <w:r>
        <w:t>;</w:t>
      </w:r>
    </w:p>
    <w:p>
      <w:pPr>
        <w:pStyle w:val="Indenti"/>
        <w:spacing w:before="50"/>
      </w:pPr>
      <w:r>
        <w:tab/>
        <w:t>(iii)</w:t>
      </w:r>
      <w:r>
        <w:tab/>
        <w:t>a part of a race course where for the time being a bookmaker is permitted by section 12(3) to bet or carry on business as such on that race course; or</w:t>
      </w:r>
    </w:p>
    <w:p>
      <w:pPr>
        <w:pStyle w:val="Indenti"/>
        <w:spacing w:before="50"/>
      </w:pPr>
      <w:r>
        <w:tab/>
        <w:t>(iv)</w:t>
      </w:r>
      <w:r>
        <w:tab/>
        <w:t>a registered place;</w:t>
      </w:r>
    </w:p>
    <w:p>
      <w:pPr>
        <w:pStyle w:val="Indenta"/>
        <w:spacing w:before="50"/>
      </w:pPr>
      <w:r>
        <w:tab/>
        <w:t>(d)</w:t>
      </w:r>
      <w:r>
        <w:tab/>
        <w:t xml:space="preserve">the bet is made — </w:t>
      </w:r>
    </w:p>
    <w:p>
      <w:pPr>
        <w:pStyle w:val="Indenti"/>
        <w:spacing w:before="50"/>
      </w:pPr>
      <w:r>
        <w:tab/>
        <w:t>(i)</w:t>
      </w:r>
      <w:r>
        <w:tab/>
        <w:t>by means of a totalisator authorised to operate under a written law;</w:t>
      </w:r>
    </w:p>
    <w:p>
      <w:pPr>
        <w:pStyle w:val="Indenti"/>
        <w:spacing w:before="50"/>
      </w:pPr>
      <w:r>
        <w:tab/>
        <w:t>(ii)</w:t>
      </w:r>
      <w:r>
        <w:tab/>
        <w:t>as a fixed odds bet with RWWA in accordance with a written law; or</w:t>
      </w:r>
    </w:p>
    <w:p>
      <w:pPr>
        <w:pStyle w:val="Indenti"/>
        <w:spacing w:before="50"/>
      </w:pPr>
      <w:r>
        <w:tab/>
        <w:t>(iii)</w:t>
      </w:r>
      <w:r>
        <w:tab/>
        <w:t>with a bookmaker in accordance with this Act;</w:t>
      </w:r>
    </w:p>
    <w:p>
      <w:pPr>
        <w:pStyle w:val="Indenta"/>
        <w:spacing w:before="50"/>
      </w:pPr>
      <w:r>
        <w:tab/>
      </w:r>
      <w:r>
        <w:tab/>
        <w:t>or</w:t>
      </w:r>
    </w:p>
    <w:p>
      <w:pPr>
        <w:pStyle w:val="Indenta"/>
        <w:spacing w:before="50"/>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spacing w:before="120"/>
        <w:rPr>
          <w:snapToGrid w:val="0"/>
        </w:rPr>
      </w:pPr>
      <w:r>
        <w:rPr>
          <w:snapToGrid w:val="0"/>
        </w:rPr>
        <w:tab/>
        <w:t>(2)</w:t>
      </w:r>
      <w:r>
        <w:rPr>
          <w:snapToGrid w:val="0"/>
        </w:rPr>
        <w:tab/>
        <w:t>No person shall knowingly — </w:t>
      </w:r>
    </w:p>
    <w:p>
      <w:pPr>
        <w:pStyle w:val="Indenta"/>
        <w:spacing w:before="50"/>
        <w:rPr>
          <w:snapToGrid w:val="0"/>
        </w:rPr>
      </w:pPr>
      <w:r>
        <w:rPr>
          <w:snapToGrid w:val="0"/>
        </w:rPr>
        <w:tab/>
        <w:t>(a)</w:t>
      </w:r>
      <w:r>
        <w:rPr>
          <w:snapToGrid w:val="0"/>
        </w:rPr>
        <w:tab/>
        <w:t>place a bet for a person who is apparently under the age of 18 years; or</w:t>
      </w:r>
    </w:p>
    <w:p>
      <w:pPr>
        <w:pStyle w:val="Indenta"/>
        <w:spacing w:before="50"/>
        <w:rPr>
          <w:snapToGrid w:val="0"/>
        </w:rPr>
      </w:pPr>
      <w:r>
        <w:rPr>
          <w:snapToGrid w:val="0"/>
        </w:rPr>
        <w:tab/>
        <w:t>(b)</w:t>
      </w:r>
      <w:r>
        <w:rPr>
          <w:snapToGrid w:val="0"/>
        </w:rPr>
        <w:tab/>
        <w:t>place a bet for, or assist in laying, procuring or obtaining a bet with any bookmaker for, a person to whom an order made under section 25 applies.</w:t>
      </w:r>
    </w:p>
    <w:p>
      <w:pPr>
        <w:pStyle w:val="Penstart"/>
        <w:rPr>
          <w:snapToGrid w:val="0"/>
        </w:rPr>
      </w:pPr>
      <w:r>
        <w:rPr>
          <w:snapToGrid w:val="0"/>
        </w:rPr>
        <w:tab/>
        <w:t>Penalty: $200.</w:t>
      </w:r>
    </w:p>
    <w:p>
      <w:pPr>
        <w:pStyle w:val="Footnotesection"/>
        <w:spacing w:before="60"/>
        <w:ind w:left="890" w:hanging="890"/>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w:t>
      </w:r>
    </w:p>
    <w:p>
      <w:pPr>
        <w:pStyle w:val="Heading5"/>
        <w:rPr>
          <w:snapToGrid w:val="0"/>
        </w:rPr>
      </w:pPr>
      <w:bookmarkStart w:id="301" w:name="_Toc519996787"/>
      <w:bookmarkStart w:id="302" w:name="_Toc4564359"/>
      <w:bookmarkStart w:id="303" w:name="_Toc6885609"/>
      <w:bookmarkStart w:id="304" w:name="_Toc131327395"/>
      <w:bookmarkStart w:id="305" w:name="_Toc151285217"/>
      <w:r>
        <w:rPr>
          <w:rStyle w:val="CharSectno"/>
        </w:rPr>
        <w:t>24</w:t>
      </w:r>
      <w:r>
        <w:rPr>
          <w:snapToGrid w:val="0"/>
        </w:rPr>
        <w:t>.</w:t>
      </w:r>
      <w:r>
        <w:rPr>
          <w:snapToGrid w:val="0"/>
        </w:rPr>
        <w:tab/>
        <w:t>Unlawful betting</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at any time or at any place, commits an offence.</w:t>
      </w:r>
    </w:p>
    <w:p>
      <w:pPr>
        <w:pStyle w:val="Penstart"/>
        <w:rPr>
          <w:snapToGrid w:val="0"/>
        </w:rPr>
      </w:pPr>
      <w:r>
        <w:rPr>
          <w:snapToGrid w:val="0"/>
        </w:rPr>
        <w:tab/>
        <w:t>Penalty: $10 000, or 24 months imprisonment, or both.</w:t>
      </w:r>
    </w:p>
    <w:p>
      <w:pPr>
        <w:pStyle w:val="Subsection"/>
        <w:rPr>
          <w:snapToGrid w:val="0"/>
        </w:rPr>
      </w:pPr>
      <w:r>
        <w:rPr>
          <w:snapToGrid w:val="0"/>
        </w:rPr>
        <w:tab/>
        <w:t>(1a)</w:t>
      </w:r>
      <w:r>
        <w:rPr>
          <w:snapToGrid w:val="0"/>
        </w:rPr>
        <w:tab/>
        <w:t>Without limiting the matters which a court may take into consideration when passing sentence in respect of an offence committed under subsection (1), 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b/>
        </w:rPr>
        <w:t>“</w:t>
      </w:r>
      <w:r>
        <w:rPr>
          <w:rStyle w:val="CharDefText"/>
        </w:rPr>
        <w:t>bets</w:t>
      </w:r>
      <w:r>
        <w:rPr>
          <w:b/>
        </w:rPr>
        <w:t>”</w:t>
      </w:r>
      <w:r>
        <w:t xml:space="preserve"> includes — </w:t>
      </w:r>
    </w:p>
    <w:p>
      <w:pPr>
        <w:pStyle w:val="Defpara"/>
      </w:pPr>
      <w:r>
        <w:tab/>
        <w:t>(a)</w:t>
      </w:r>
      <w:r>
        <w:tab/>
        <w:t>negotiating bets;</w:t>
      </w:r>
    </w:p>
    <w:p>
      <w:pPr>
        <w:pStyle w:val="Defpara"/>
      </w:pPr>
      <w:r>
        <w:tab/>
        <w:t>(b)</w:t>
      </w:r>
      <w:r>
        <w:tab/>
        <w:t>receiving or paying money in connection with bets; and</w:t>
      </w:r>
    </w:p>
    <w:p>
      <w:pPr>
        <w:pStyle w:val="Defpara"/>
      </w:pPr>
      <w:r>
        <w:tab/>
        <w:t>(c)</w:t>
      </w:r>
      <w:r>
        <w:tab/>
        <w:t>settling bets,</w:t>
      </w:r>
    </w:p>
    <w:p>
      <w:pPr>
        <w:pStyle w:val="Defstart"/>
      </w:pPr>
      <w:r>
        <w:tab/>
      </w:r>
      <w:r>
        <w:tab/>
        <w:t>on or in connection with the result of any race or sporting event;</w:t>
      </w:r>
    </w:p>
    <w:p>
      <w:pPr>
        <w:pStyle w:val="Defstart"/>
      </w:pPr>
      <w:r>
        <w:tab/>
      </w:r>
      <w:r>
        <w:rPr>
          <w:b/>
        </w:rPr>
        <w:t>“</w:t>
      </w:r>
      <w:r>
        <w:rPr>
          <w:rStyle w:val="CharDefText"/>
        </w:rPr>
        <w:t>interstate offence</w:t>
      </w:r>
      <w:r>
        <w:rPr>
          <w:b/>
        </w:rPr>
        <w:t>”</w:t>
      </w:r>
      <w:r>
        <w:t xml:space="preserve"> means offence under the law of another State or a Territory, which offence is declared by the regulations to be an offence that corresponds to an offence under subsection (1).</w:t>
      </w:r>
    </w:p>
    <w:p>
      <w:pPr>
        <w:pStyle w:val="Subsection"/>
        <w:spacing w:before="120"/>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by No. 63 of 1995 s. 68; amended by No. 17 of 1998 s. 20; No. 84 of 2004 s. 80 and 82.] </w:t>
      </w:r>
    </w:p>
    <w:p>
      <w:pPr>
        <w:pStyle w:val="Heading5"/>
        <w:spacing w:before="180"/>
        <w:rPr>
          <w:snapToGrid w:val="0"/>
        </w:rPr>
      </w:pPr>
      <w:bookmarkStart w:id="306" w:name="_Toc519996788"/>
      <w:bookmarkStart w:id="307" w:name="_Toc4564360"/>
      <w:bookmarkStart w:id="308" w:name="_Toc6885610"/>
      <w:bookmarkStart w:id="309" w:name="_Toc131327396"/>
      <w:bookmarkStart w:id="310" w:name="_Toc151285218"/>
      <w:r>
        <w:rPr>
          <w:rStyle w:val="CharSectno"/>
        </w:rPr>
        <w:t>25</w:t>
      </w:r>
      <w:r>
        <w:rPr>
          <w:snapToGrid w:val="0"/>
        </w:rPr>
        <w:t>.</w:t>
      </w:r>
      <w:r>
        <w:rPr>
          <w:snapToGrid w:val="0"/>
        </w:rPr>
        <w:tab/>
        <w:t>Bookmakers may be ordered not to bet</w:t>
      </w:r>
      <w:bookmarkEnd w:id="306"/>
      <w:bookmarkEnd w:id="307"/>
      <w:bookmarkEnd w:id="308"/>
      <w:bookmarkEnd w:id="309"/>
      <w:bookmarkEnd w:id="310"/>
      <w:r>
        <w:rPr>
          <w:snapToGrid w:val="0"/>
        </w:rPr>
        <w:t xml:space="preserve"> </w:t>
      </w:r>
    </w:p>
    <w:p>
      <w:pPr>
        <w:pStyle w:val="Subsection"/>
        <w:spacing w:before="12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2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2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rPr>
          <w:snapToGrid w:val="0"/>
        </w:rPr>
      </w:pPr>
      <w:r>
        <w:rPr>
          <w:snapToGrid w:val="0"/>
        </w:rPr>
        <w:tab/>
        <w:t>Penalty: $250.</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An order made under this section may be revoked by the Court.</w:t>
      </w:r>
    </w:p>
    <w:p>
      <w:pPr>
        <w:pStyle w:val="Subsection"/>
        <w:spacing w:before="12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311" w:name="_Toc519996789"/>
      <w:bookmarkStart w:id="312" w:name="_Toc4564361"/>
      <w:bookmarkStart w:id="313" w:name="_Toc6885611"/>
      <w:bookmarkStart w:id="314" w:name="_Toc131327397"/>
      <w:bookmarkStart w:id="315" w:name="_Toc151285219"/>
      <w:r>
        <w:rPr>
          <w:rStyle w:val="CharSectno"/>
        </w:rPr>
        <w:t>26</w:t>
      </w:r>
      <w:r>
        <w:rPr>
          <w:snapToGrid w:val="0"/>
        </w:rPr>
        <w:t>.</w:t>
      </w:r>
      <w:r>
        <w:rPr>
          <w:snapToGrid w:val="0"/>
        </w:rPr>
        <w:tab/>
        <w:t>Loitering in street or public place</w:t>
      </w:r>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316" w:name="_Toc519996790"/>
      <w:bookmarkStart w:id="317" w:name="_Toc4564362"/>
      <w:bookmarkStart w:id="318" w:name="_Toc6885612"/>
      <w:bookmarkStart w:id="319" w:name="_Toc131327398"/>
      <w:bookmarkStart w:id="320" w:name="_Toc151285220"/>
      <w:r>
        <w:rPr>
          <w:rStyle w:val="CharSectno"/>
        </w:rPr>
        <w:t>26A</w:t>
      </w:r>
      <w:r>
        <w:rPr>
          <w:snapToGrid w:val="0"/>
        </w:rPr>
        <w:t>.</w:t>
      </w:r>
      <w:r>
        <w:rPr>
          <w:snapToGrid w:val="0"/>
        </w:rPr>
        <w:tab/>
        <w:t>Removal of persons</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321" w:name="_Toc519996791"/>
      <w:bookmarkStart w:id="322" w:name="_Toc4564363"/>
      <w:bookmarkStart w:id="323" w:name="_Toc6885613"/>
      <w:bookmarkStart w:id="324" w:name="_Toc131327399"/>
      <w:bookmarkStart w:id="325" w:name="_Toc151285221"/>
      <w:r>
        <w:rPr>
          <w:rStyle w:val="CharSectno"/>
        </w:rPr>
        <w:t>26B</w:t>
      </w:r>
      <w:r>
        <w:rPr>
          <w:snapToGrid w:val="0"/>
        </w:rPr>
        <w:t>.</w:t>
      </w:r>
      <w:r>
        <w:rPr>
          <w:snapToGrid w:val="0"/>
        </w:rPr>
        <w:tab/>
        <w:t>Penalty for persons warning offenders of the approach of a member of the Police Force</w:t>
      </w:r>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pPr>
      <w:r>
        <w:tab/>
        <w:t xml:space="preserve">[Section 26B inserted by No. 63 of 1995 s. 72.] </w:t>
      </w:r>
    </w:p>
    <w:p>
      <w:pPr>
        <w:pStyle w:val="Heading5"/>
        <w:rPr>
          <w:snapToGrid w:val="0"/>
        </w:rPr>
      </w:pPr>
      <w:bookmarkStart w:id="326" w:name="_Toc519996792"/>
      <w:bookmarkStart w:id="327" w:name="_Toc4564364"/>
      <w:bookmarkStart w:id="328" w:name="_Toc6885614"/>
      <w:bookmarkStart w:id="329" w:name="_Toc131327400"/>
      <w:bookmarkStart w:id="330" w:name="_Toc151285222"/>
      <w:r>
        <w:rPr>
          <w:rStyle w:val="CharSectno"/>
        </w:rPr>
        <w:t>26C</w:t>
      </w:r>
      <w:r>
        <w:rPr>
          <w:snapToGrid w:val="0"/>
        </w:rPr>
        <w:t>.</w:t>
      </w:r>
      <w:r>
        <w:rPr>
          <w:snapToGrid w:val="0"/>
        </w:rPr>
        <w:tab/>
        <w:t>Unlawful betting on licensed premises</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 xml:space="preserve">the offence took place on premises in respect of which a licence has been granted under the </w:t>
      </w:r>
      <w:r>
        <w:rPr>
          <w:i/>
          <w:snapToGrid w:val="0"/>
        </w:rPr>
        <w:t>Liquor Licensing Act 1988</w:t>
      </w:r>
      <w:r>
        <w:rPr>
          <w:snapToGrid w:val="0"/>
        </w:rPr>
        <w:t>,</w:t>
      </w:r>
    </w:p>
    <w:p>
      <w:pPr>
        <w:pStyle w:val="Subsection"/>
        <w:spacing w:before="10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snapToGrid w:val="0"/>
        </w:rPr>
        <w:t>Liquor Licensing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pPr>
      <w:r>
        <w:tab/>
        <w:t xml:space="preserve">[Section 26C inserted by No. 63 of 1995 s. 73.] </w:t>
      </w:r>
    </w:p>
    <w:p>
      <w:pPr>
        <w:pStyle w:val="Heading5"/>
      </w:pPr>
      <w:bookmarkStart w:id="331" w:name="_Toc131327401"/>
      <w:bookmarkStart w:id="332" w:name="_Toc151285223"/>
      <w:bookmarkStart w:id="333" w:name="_Toc519996794"/>
      <w:bookmarkStart w:id="334" w:name="_Toc4564366"/>
      <w:bookmarkStart w:id="335" w:name="_Toc6885616"/>
      <w:r>
        <w:rPr>
          <w:rStyle w:val="CharSectno"/>
        </w:rPr>
        <w:t>27</w:t>
      </w:r>
      <w:r>
        <w:t>.</w:t>
      </w:r>
      <w:r>
        <w:tab/>
        <w:t>Penalty on owner or occupier of premises used for unlawful betting</w:t>
      </w:r>
      <w:bookmarkEnd w:id="331"/>
      <w:bookmarkEnd w:id="332"/>
    </w:p>
    <w:p>
      <w:pPr>
        <w:pStyle w:val="Subsection"/>
        <w:spacing w:before="10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 course where a race meeting is being held under a licence issued by RWWA under the RWWA Act or the </w:t>
      </w:r>
      <w:r>
        <w:rPr>
          <w:i/>
        </w:rPr>
        <w:t>Racing Restriction Act 2003</w:t>
      </w:r>
      <w:r>
        <w:t xml:space="preserve">; </w:t>
      </w:r>
    </w:p>
    <w:p>
      <w:pPr>
        <w:pStyle w:val="Indenti"/>
      </w:pPr>
      <w:r>
        <w:tab/>
        <w:t>(ii)</w:t>
      </w:r>
      <w:r>
        <w:tab/>
        <w:t>at the time it is opened or used or permitted to be used for betting, a part of a race course where a bookmaker is for the time being permitted under section 12(3) to bet or carry on business as a bookmaker; or</w:t>
      </w:r>
    </w:p>
    <w:p>
      <w:pPr>
        <w:pStyle w:val="Indenti"/>
      </w:pPr>
      <w:r>
        <w:tab/>
        <w:t>(iii)</w:t>
      </w:r>
      <w:r>
        <w:tab/>
        <w:t>a registered place;</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t>(c)</w:t>
      </w:r>
      <w:r>
        <w:tab/>
        <w:t>the provisions of section 5(2) apply;</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spacing w:before="180"/>
      </w:pPr>
      <w:bookmarkStart w:id="336" w:name="_Toc131327402"/>
      <w:bookmarkStart w:id="337" w:name="_Toc151285224"/>
      <w:r>
        <w:rPr>
          <w:rStyle w:val="CharSectno"/>
        </w:rPr>
        <w:t>27A</w:t>
      </w:r>
      <w:r>
        <w:t>.</w:t>
      </w:r>
      <w:r>
        <w:tab/>
        <w:t>Offshore betting</w:t>
      </w:r>
      <w:bookmarkEnd w:id="336"/>
      <w:bookmarkEnd w:id="337"/>
      <w:r>
        <w:t xml:space="preserve"> </w:t>
      </w:r>
    </w:p>
    <w:p>
      <w:pPr>
        <w:pStyle w:val="Subsection"/>
        <w:spacing w:before="120"/>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 xml:space="preserve">a bookmaker; </w:t>
      </w:r>
    </w:p>
    <w:p>
      <w:pPr>
        <w:pStyle w:val="Defpara"/>
      </w:pPr>
      <w:r>
        <w:tab/>
        <w:t>(b)</w:t>
      </w:r>
      <w:r>
        <w:tab/>
        <w:t>a person authorised under the law of another State or Territory to engage in or conduct betting on races; or</w:t>
      </w:r>
    </w:p>
    <w:p>
      <w:pPr>
        <w:pStyle w:val="Defpara"/>
      </w:pPr>
      <w:r>
        <w:tab/>
        <w:t>(c)</w:t>
      </w:r>
      <w:r>
        <w:tab/>
        <w:t>an offshore betting operator granted an exemption by the Commission under this section;</w:t>
      </w:r>
    </w:p>
    <w:p>
      <w:pPr>
        <w:pStyle w:val="Defstart"/>
      </w:pPr>
      <w:r>
        <w:rPr>
          <w:b/>
        </w:rPr>
        <w:tab/>
        <w:t>“</w:t>
      </w:r>
      <w:r>
        <w:rPr>
          <w:rStyle w:val="CharDefText"/>
        </w:rPr>
        <w:t>offshore bet</w:t>
      </w:r>
      <w:r>
        <w:rPr>
          <w:b/>
        </w:rPr>
        <w:t>”</w:t>
      </w:r>
      <w:r>
        <w:t xml:space="preserve"> means a bet made — </w:t>
      </w:r>
    </w:p>
    <w:p>
      <w:pPr>
        <w:pStyle w:val="Defpara"/>
      </w:pPr>
      <w:r>
        <w:tab/>
        <w:t>(a)</w:t>
      </w:r>
      <w:r>
        <w:tab/>
        <w:t>on a race conducted in Australia;</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t>“</w:t>
      </w:r>
      <w:r>
        <w:rPr>
          <w:rStyle w:val="CharDefText"/>
        </w:rPr>
        <w:t>offshore betting operator</w:t>
      </w:r>
      <w:r>
        <w:rPr>
          <w:b/>
        </w:rPr>
        <w:t>”</w:t>
      </w:r>
      <w:r>
        <w:t xml:space="preserve"> means a person authorised under the law of a jurisdiction outside Australia to engage in or conduct betting on races.</w:t>
      </w:r>
    </w:p>
    <w:p>
      <w:pPr>
        <w:pStyle w:val="Subsection"/>
        <w:spacing w:before="120"/>
      </w:pPr>
      <w:r>
        <w:tab/>
        <w:t>(2)</w:t>
      </w:r>
      <w:r>
        <w:tab/>
        <w:t>A person in this State who makes an offshore bet with a person whom the person making the bet knows, or would be reasonably expected to know, is not an authorised person commits an offence.</w:t>
      </w:r>
    </w:p>
    <w:p>
      <w:pPr>
        <w:pStyle w:val="Penstart"/>
      </w:pPr>
      <w:r>
        <w:tab/>
        <w:t>Penalty: $5 000, or 12 months imprisonment, or both.</w:t>
      </w:r>
    </w:p>
    <w:p>
      <w:pPr>
        <w:pStyle w:val="Subsection"/>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spacing w:before="120"/>
      </w:pPr>
      <w:r>
        <w:tab/>
      </w:r>
      <w:r>
        <w:tab/>
        <w:t>commits an offence.</w:t>
      </w:r>
    </w:p>
    <w:p>
      <w:pPr>
        <w:pStyle w:val="Penstart"/>
      </w:pPr>
      <w:r>
        <w:tab/>
        <w:t>Penalty: $5 000, or 12 months imprisonment, or both.</w:t>
      </w:r>
    </w:p>
    <w:p>
      <w:pPr>
        <w:pStyle w:val="Subsection"/>
        <w:spacing w:before="120"/>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applies similar standards to those that would apply to an authorisation granted in Australia; and</w:t>
      </w:r>
    </w:p>
    <w:p>
      <w:pPr>
        <w:pStyle w:val="Indenta"/>
      </w:pPr>
      <w:r>
        <w:tab/>
        <w:t>(b)</w:t>
      </w:r>
      <w:r>
        <w:tab/>
        <w:t>any arrangements made by the offshore betting operator with Australian racing organisations in relation to engaging in or conducting betting on races,</w:t>
      </w:r>
    </w:p>
    <w:p>
      <w:pPr>
        <w:pStyle w:val="Subsection"/>
      </w:pPr>
      <w:r>
        <w:tab/>
      </w:r>
      <w:r>
        <w:tab/>
        <w:t>is satisfied that the exemption would not be in the public interest.</w:t>
      </w:r>
    </w:p>
    <w:p>
      <w:pPr>
        <w:pStyle w:val="Footnotesection"/>
      </w:pPr>
      <w:r>
        <w:tab/>
        <w:t>[Section 27A inserted by No. 35 of 2003 s. 90.]</w:t>
      </w:r>
    </w:p>
    <w:p>
      <w:pPr>
        <w:pStyle w:val="Heading5"/>
        <w:rPr>
          <w:snapToGrid w:val="0"/>
        </w:rPr>
      </w:pPr>
      <w:bookmarkStart w:id="338" w:name="_Toc131327403"/>
      <w:bookmarkStart w:id="339" w:name="_Toc151285225"/>
      <w:r>
        <w:rPr>
          <w:rStyle w:val="CharSectno"/>
        </w:rPr>
        <w:t>28</w:t>
      </w:r>
      <w:r>
        <w:rPr>
          <w:snapToGrid w:val="0"/>
        </w:rPr>
        <w:t>.</w:t>
      </w:r>
      <w:r>
        <w:rPr>
          <w:snapToGrid w:val="0"/>
        </w:rPr>
        <w:tab/>
        <w:t>Forfeiture of betting material and money in certain cases</w:t>
      </w:r>
      <w:bookmarkEnd w:id="333"/>
      <w:bookmarkEnd w:id="334"/>
      <w:bookmarkEnd w:id="335"/>
      <w:bookmarkEnd w:id="338"/>
      <w:bookmarkEnd w:id="339"/>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rPr>
          <w:snapToGrid w:val="0"/>
        </w:rPr>
      </w:pPr>
      <w:bookmarkStart w:id="340" w:name="_Toc519996795"/>
      <w:bookmarkStart w:id="341" w:name="_Toc4564367"/>
      <w:bookmarkStart w:id="342" w:name="_Toc6885617"/>
      <w:bookmarkStart w:id="343" w:name="_Toc131327404"/>
      <w:bookmarkStart w:id="344" w:name="_Toc151285226"/>
      <w:r>
        <w:rPr>
          <w:rStyle w:val="CharSectno"/>
        </w:rPr>
        <w:t>28A</w:t>
      </w:r>
      <w:r>
        <w:rPr>
          <w:snapToGrid w:val="0"/>
        </w:rPr>
        <w:t>.</w:t>
      </w:r>
      <w:r>
        <w:rPr>
          <w:snapToGrid w:val="0"/>
        </w:rPr>
        <w:tab/>
        <w:t>Search warrant</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w:t>
      </w:r>
    </w:p>
    <w:p>
      <w:pPr>
        <w:pStyle w:val="Indenta"/>
        <w:rPr>
          <w:snapToGrid w:val="0"/>
        </w:rPr>
      </w:pPr>
      <w:r>
        <w:rPr>
          <w:snapToGrid w:val="0"/>
        </w:rPr>
        <w:tab/>
        <w:t>(b)</w:t>
      </w:r>
      <w:r>
        <w:rPr>
          <w:snapToGrid w:val="0"/>
        </w:rPr>
        <w:tab/>
        <w:t>to use force if necessary in making entry whether by breaking open doors or otherwise;</w:t>
      </w:r>
    </w:p>
    <w:p>
      <w:pPr>
        <w:pStyle w:val="Indenta"/>
        <w:spacing w:before="120"/>
        <w:rPr>
          <w:snapToGrid w:val="0"/>
        </w:rPr>
      </w:pPr>
      <w:r>
        <w:rPr>
          <w:snapToGrid w:val="0"/>
        </w:rPr>
        <w:tab/>
        <w:t>(c)</w:t>
      </w:r>
      <w:r>
        <w:rPr>
          <w:snapToGrid w:val="0"/>
        </w:rPr>
        <w:tab/>
        <w:t>to search all persons found therein or thereupon;</w:t>
      </w:r>
    </w:p>
    <w:p>
      <w:pPr>
        <w:pStyle w:val="Indenta"/>
        <w:spacing w:before="120"/>
      </w:pPr>
      <w:r>
        <w:tab/>
        <w:t>(d)</w:t>
      </w:r>
      <w:r>
        <w:tab/>
        <w:t>to arrest all persons found therein or thereupon and to detain them until they are dealt with according to law;</w:t>
      </w:r>
    </w:p>
    <w:p>
      <w:pPr>
        <w:pStyle w:val="Indenta"/>
        <w:spacing w:before="120"/>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spacing w:before="120"/>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b/>
          <w:snapToGrid w:val="0"/>
        </w:rPr>
        <w:t>“</w:t>
      </w:r>
      <w:r>
        <w:rPr>
          <w:rStyle w:val="CharDefText"/>
        </w:rPr>
        <w:t>unlawful betting</w:t>
      </w:r>
      <w:r>
        <w:rPr>
          <w:b/>
          <w:snapToGrid w:val="0"/>
        </w:rPr>
        <w:t>”</w:t>
      </w:r>
      <w:r>
        <w:rPr>
          <w:snapToGrid w:val="0"/>
        </w:rPr>
        <w:t xml:space="preserve"> means any contravention of or failure to observe any provision of section 23, 24</w:t>
      </w:r>
      <w:r>
        <w:t>, 27 or 27A</w:t>
      </w:r>
      <w:r>
        <w:rPr>
          <w:snapToGrid w:val="0"/>
        </w:rPr>
        <w:t>.</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spacing w:before="120"/>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w:t>
      </w:r>
    </w:p>
    <w:p>
      <w:pPr>
        <w:pStyle w:val="Heading5"/>
        <w:rPr>
          <w:snapToGrid w:val="0"/>
        </w:rPr>
      </w:pPr>
      <w:bookmarkStart w:id="345" w:name="_Toc519996796"/>
      <w:bookmarkStart w:id="346" w:name="_Toc4564368"/>
      <w:bookmarkStart w:id="347" w:name="_Toc6885618"/>
      <w:bookmarkStart w:id="348" w:name="_Toc131327405"/>
      <w:bookmarkStart w:id="349" w:name="_Toc151285227"/>
      <w:r>
        <w:rPr>
          <w:rStyle w:val="CharSectno"/>
        </w:rPr>
        <w:t>28B</w:t>
      </w:r>
      <w:r>
        <w:rPr>
          <w:snapToGrid w:val="0"/>
        </w:rPr>
        <w:t>.</w:t>
      </w:r>
      <w:r>
        <w:rPr>
          <w:snapToGrid w:val="0"/>
        </w:rPr>
        <w:tab/>
        <w:t>Prima facie</w:t>
      </w:r>
      <w:del w:id="350" w:author="svcMRProcess" w:date="2020-02-13T23:26:00Z">
        <w:r>
          <w:rPr>
            <w:snapToGrid w:val="0"/>
          </w:rPr>
          <w:delText xml:space="preserve"> </w:delText>
        </w:r>
      </w:del>
      <w:ins w:id="351" w:author="svcMRProcess" w:date="2020-02-13T23:26:00Z">
        <w:r>
          <w:rPr>
            <w:snapToGrid w:val="0"/>
          </w:rPr>
          <w:t> </w:t>
        </w:r>
      </w:ins>
      <w:r>
        <w:rPr>
          <w:snapToGrid w:val="0"/>
        </w:rPr>
        <w:t>evidence of offence</w:t>
      </w:r>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ins w:id="352" w:author="svcMRProcess" w:date="2020-02-13T23:26:00Z">
        <w:r>
          <w:rPr>
            <w:snapToGrid w:val="0"/>
          </w:rPr>
          <w:t>,</w:t>
        </w:r>
      </w:ins>
      <w:r>
        <w:rPr>
          <w:snapToGrid w:val="0"/>
        </w:rPr>
        <w:t xml:space="preserve"> </w:t>
      </w:r>
      <w:r>
        <w:t>27 or 27A</w:t>
      </w:r>
      <w:r>
        <w:rPr>
          <w:snapToGrid w:val="0"/>
        </w:rPr>
        <w:t> —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spacing w:before="120"/>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pPr>
      <w:r>
        <w:tab/>
        <w:t xml:space="preserve">[Section 28B inserted by No. 14 of 1961 s. 2; amended by No. 63 of 1995 s. 76; No. 35 of 2003 s. 92; No. 84 of 2004 s. 80.] </w:t>
      </w:r>
    </w:p>
    <w:p>
      <w:pPr>
        <w:pStyle w:val="Heading5"/>
        <w:rPr>
          <w:snapToGrid w:val="0"/>
        </w:rPr>
      </w:pPr>
      <w:bookmarkStart w:id="353" w:name="_Toc519996797"/>
      <w:bookmarkStart w:id="354" w:name="_Toc4564369"/>
      <w:bookmarkStart w:id="355" w:name="_Toc6885619"/>
      <w:bookmarkStart w:id="356" w:name="_Toc131327406"/>
      <w:bookmarkStart w:id="357" w:name="_Toc151285228"/>
      <w:r>
        <w:rPr>
          <w:rStyle w:val="CharSectno"/>
        </w:rPr>
        <w:t>28C</w:t>
      </w:r>
      <w:r>
        <w:rPr>
          <w:snapToGrid w:val="0"/>
        </w:rPr>
        <w:t>.</w:t>
      </w:r>
      <w:r>
        <w:rPr>
          <w:snapToGrid w:val="0"/>
        </w:rPr>
        <w:tab/>
        <w:t>Offences in respect of conducting totalisator agencies</w:t>
      </w:r>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358" w:name="_Toc519996798"/>
      <w:bookmarkStart w:id="359" w:name="_Toc4564370"/>
      <w:bookmarkStart w:id="360" w:name="_Toc6885620"/>
      <w:bookmarkStart w:id="361" w:name="_Toc131327407"/>
      <w:bookmarkStart w:id="362" w:name="_Toc151285229"/>
      <w:r>
        <w:rPr>
          <w:rStyle w:val="CharSectno"/>
        </w:rPr>
        <w:t>28D</w:t>
      </w:r>
      <w:r>
        <w:rPr>
          <w:snapToGrid w:val="0"/>
        </w:rPr>
        <w:t>.</w:t>
      </w:r>
      <w:r>
        <w:rPr>
          <w:snapToGrid w:val="0"/>
        </w:rPr>
        <w:tab/>
        <w:t>Penalty for acting as totalisator agent</w:t>
      </w:r>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363" w:name="_Toc519996799"/>
      <w:bookmarkStart w:id="364" w:name="_Toc4564371"/>
      <w:bookmarkStart w:id="365" w:name="_Toc6885621"/>
      <w:bookmarkStart w:id="366" w:name="_Toc131327408"/>
      <w:bookmarkStart w:id="367" w:name="_Toc151285230"/>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363"/>
      <w:bookmarkEnd w:id="364"/>
      <w:bookmarkEnd w:id="365"/>
      <w:bookmarkEnd w:id="366"/>
      <w:bookmarkEnd w:id="367"/>
      <w:r>
        <w:rPr>
          <w:snapToGrid w:val="0"/>
        </w:rPr>
        <w:t xml:space="preserve"> </w:t>
      </w:r>
    </w:p>
    <w:p>
      <w:pPr>
        <w:pStyle w:val="Subsection"/>
        <w:spacing w:before="120"/>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2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368" w:name="_Toc519996800"/>
      <w:bookmarkStart w:id="369" w:name="_Toc4564372"/>
      <w:bookmarkStart w:id="370" w:name="_Toc6885622"/>
      <w:bookmarkStart w:id="371" w:name="_Toc131327409"/>
      <w:bookmarkStart w:id="372" w:name="_Toc151285231"/>
      <w:r>
        <w:rPr>
          <w:rStyle w:val="CharSectno"/>
        </w:rPr>
        <w:t>28F</w:t>
      </w:r>
      <w:r>
        <w:rPr>
          <w:snapToGrid w:val="0"/>
        </w:rPr>
        <w:t>.</w:t>
      </w:r>
      <w:r>
        <w:rPr>
          <w:snapToGrid w:val="0"/>
        </w:rPr>
        <w:tab/>
        <w:t>Non</w:t>
      </w:r>
      <w:r>
        <w:rPr>
          <w:snapToGrid w:val="0"/>
        </w:rPr>
        <w:noBreakHyphen/>
        <w:t>application of sections 28D and 28E</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rPr>
          <w:snapToGrid w:val="0"/>
        </w:rPr>
      </w:pPr>
      <w:bookmarkStart w:id="373" w:name="_Toc519996801"/>
      <w:bookmarkStart w:id="374" w:name="_Toc4564373"/>
      <w:bookmarkStart w:id="375" w:name="_Toc6885623"/>
      <w:bookmarkStart w:id="376" w:name="_Toc131327410"/>
      <w:bookmarkStart w:id="377" w:name="_Toc151285232"/>
      <w:r>
        <w:rPr>
          <w:rStyle w:val="CharSectno"/>
        </w:rPr>
        <w:t>28G</w:t>
      </w:r>
      <w:r>
        <w:rPr>
          <w:snapToGrid w:val="0"/>
        </w:rPr>
        <w:t>.</w:t>
      </w:r>
      <w:r>
        <w:rPr>
          <w:snapToGrid w:val="0"/>
        </w:rPr>
        <w:tab/>
        <w:t>Penalty for accepting bets after closing time</w:t>
      </w:r>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Footnotesection"/>
      </w:pPr>
      <w:r>
        <w:tab/>
        <w:t xml:space="preserve">[Section 28G inserted by No. 63 of 1995 s. 81; amended by No. 35 of 2003 s. 103.] </w:t>
      </w:r>
    </w:p>
    <w:p>
      <w:pPr>
        <w:pStyle w:val="Heading5"/>
      </w:pPr>
      <w:bookmarkStart w:id="378" w:name="_Toc519996802"/>
      <w:bookmarkStart w:id="379" w:name="_Toc4564374"/>
      <w:bookmarkStart w:id="380" w:name="_Toc6885624"/>
      <w:bookmarkStart w:id="381" w:name="_Toc131327411"/>
      <w:bookmarkStart w:id="382" w:name="_Toc151285233"/>
      <w:r>
        <w:rPr>
          <w:rStyle w:val="CharSectno"/>
        </w:rPr>
        <w:t>29</w:t>
      </w:r>
      <w:r>
        <w:t>.</w:t>
      </w:r>
      <w:r>
        <w:tab/>
        <w:t>Penalty for providing credit</w:t>
      </w:r>
      <w:bookmarkEnd w:id="378"/>
      <w:bookmarkEnd w:id="379"/>
      <w:bookmarkEnd w:id="380"/>
      <w:bookmarkEnd w:id="381"/>
      <w:bookmarkEnd w:id="382"/>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383" w:name="_Toc519996803"/>
      <w:bookmarkStart w:id="384" w:name="_Toc4564375"/>
      <w:bookmarkStart w:id="385" w:name="_Toc6885625"/>
      <w:bookmarkStart w:id="386" w:name="_Toc131327412"/>
      <w:bookmarkStart w:id="387" w:name="_Toc151285234"/>
      <w:r>
        <w:rPr>
          <w:rStyle w:val="CharSectno"/>
        </w:rPr>
        <w:t>30</w:t>
      </w:r>
      <w:r>
        <w:rPr>
          <w:snapToGrid w:val="0"/>
        </w:rPr>
        <w:t>.</w:t>
      </w:r>
      <w:r>
        <w:rPr>
          <w:snapToGrid w:val="0"/>
        </w:rPr>
        <w:tab/>
        <w:t>General penalty</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rPr>
          <w:b w:val="0"/>
        </w:rPr>
      </w:pPr>
      <w:bookmarkStart w:id="388" w:name="_Toc131327413"/>
      <w:bookmarkStart w:id="389" w:name="_Toc151285235"/>
      <w:bookmarkStart w:id="390" w:name="_Toc519996805"/>
      <w:bookmarkStart w:id="391" w:name="_Toc4564377"/>
      <w:bookmarkStart w:id="392" w:name="_Toc6885627"/>
      <w:r>
        <w:rPr>
          <w:rStyle w:val="CharSectno"/>
        </w:rPr>
        <w:t>30A</w:t>
      </w:r>
      <w:r>
        <w:rPr>
          <w:bCs/>
        </w:rPr>
        <w:t>.</w:t>
      </w:r>
      <w:r>
        <w:rPr>
          <w:b w:val="0"/>
        </w:rPr>
        <w:tab/>
      </w:r>
      <w:r>
        <w:rPr>
          <w:snapToGrid w:val="0"/>
        </w:rPr>
        <w:t>Offences to be dealt with by a magistrate</w:t>
      </w:r>
      <w:bookmarkEnd w:id="388"/>
      <w:bookmarkEnd w:id="389"/>
    </w:p>
    <w:p>
      <w:pPr>
        <w:pStyle w:val="Subsection"/>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rPr>
          <w:snapToGrid w:val="0"/>
        </w:rPr>
      </w:pPr>
      <w:bookmarkStart w:id="393" w:name="_Toc131327414"/>
      <w:bookmarkStart w:id="394" w:name="_Toc151285236"/>
      <w:r>
        <w:rPr>
          <w:rStyle w:val="CharSectno"/>
        </w:rPr>
        <w:t>31</w:t>
      </w:r>
      <w:r>
        <w:rPr>
          <w:snapToGrid w:val="0"/>
        </w:rPr>
        <w:t>.</w:t>
      </w:r>
      <w:r>
        <w:rPr>
          <w:snapToGrid w:val="0"/>
        </w:rPr>
        <w:tab/>
        <w:t>Conduct of betting</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spacing w:before="100"/>
        <w:rPr>
          <w:snapToGrid w:val="0"/>
        </w:rPr>
      </w:pPr>
      <w:r>
        <w:rPr>
          <w:snapToGrid w:val="0"/>
        </w:rPr>
        <w:tab/>
      </w:r>
      <w:r>
        <w:rPr>
          <w:snapToGrid w:val="0"/>
        </w:rPr>
        <w:tab/>
        <w:t>bets with that bookmaker;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395" w:name="_Toc519996806"/>
      <w:bookmarkStart w:id="396" w:name="_Toc4564378"/>
      <w:bookmarkStart w:id="397" w:name="_Toc6885628"/>
      <w:bookmarkStart w:id="398" w:name="_Toc131327415"/>
      <w:bookmarkStart w:id="399" w:name="_Toc151285237"/>
      <w:r>
        <w:rPr>
          <w:rStyle w:val="CharSectno"/>
        </w:rPr>
        <w:t>31A</w:t>
      </w:r>
      <w:r>
        <w:rPr>
          <w:snapToGrid w:val="0"/>
        </w:rPr>
        <w:t>.</w:t>
      </w:r>
      <w:r>
        <w:rPr>
          <w:snapToGrid w:val="0"/>
        </w:rPr>
        <w:tab/>
        <w:t>Evidence</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place at which an offence was committed was a place to which a licence, permit or approval applies or did not apply;</w:t>
      </w:r>
    </w:p>
    <w:p>
      <w:pPr>
        <w:pStyle w:val="Indenti"/>
        <w:rPr>
          <w:snapToGrid w:val="0"/>
        </w:rPr>
      </w:pPr>
      <w:r>
        <w:rPr>
          <w:snapToGrid w:val="0"/>
        </w:rPr>
        <w:tab/>
        <w:t>(iii)</w:t>
      </w:r>
      <w:r>
        <w:rPr>
          <w:snapToGrid w:val="0"/>
        </w:rPr>
        <w:tab/>
        <w:t>a specified term, condition, restriction or prohibition had effect in relation to any specified licence, permit or approval;</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and take before a justice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w:t>
      </w:r>
    </w:p>
    <w:p>
      <w:pPr>
        <w:pStyle w:val="Heading5"/>
        <w:rPr>
          <w:snapToGrid w:val="0"/>
        </w:rPr>
      </w:pPr>
      <w:bookmarkStart w:id="400" w:name="_Toc519996807"/>
      <w:bookmarkStart w:id="401" w:name="_Toc4564379"/>
      <w:bookmarkStart w:id="402" w:name="_Toc6885629"/>
      <w:bookmarkStart w:id="403" w:name="_Toc131327416"/>
      <w:bookmarkStart w:id="404" w:name="_Toc151285238"/>
      <w:r>
        <w:rPr>
          <w:rStyle w:val="CharSectno"/>
        </w:rPr>
        <w:t>32</w:t>
      </w:r>
      <w:r>
        <w:rPr>
          <w:snapToGrid w:val="0"/>
        </w:rPr>
        <w:t>.</w:t>
      </w:r>
      <w:r>
        <w:rPr>
          <w:snapToGrid w:val="0"/>
        </w:rPr>
        <w:tab/>
        <w:t>Disputes as to bets with bookmakers</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rPr>
          <w:snapToGrid w:val="0"/>
        </w:rPr>
      </w:pPr>
      <w:bookmarkStart w:id="405" w:name="_Toc519996808"/>
      <w:bookmarkStart w:id="406" w:name="_Toc4564380"/>
      <w:bookmarkStart w:id="407" w:name="_Toc6885630"/>
      <w:bookmarkStart w:id="408" w:name="_Toc131327417"/>
      <w:bookmarkStart w:id="409" w:name="_Toc151285239"/>
      <w:r>
        <w:rPr>
          <w:rStyle w:val="CharSectno"/>
        </w:rPr>
        <w:t>32A</w:t>
      </w:r>
      <w:r>
        <w:rPr>
          <w:snapToGrid w:val="0"/>
        </w:rPr>
        <w:t>.</w:t>
      </w:r>
      <w:r>
        <w:rPr>
          <w:snapToGrid w:val="0"/>
        </w:rPr>
        <w:tab/>
        <w:t>Disciplinary powers</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been convicted of an offence under this Act;</w:t>
      </w:r>
    </w:p>
    <w:p>
      <w:pPr>
        <w:pStyle w:val="Indenti"/>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w:t>
      </w:r>
    </w:p>
    <w:p>
      <w:pPr>
        <w:pStyle w:val="Indenta"/>
        <w:keepNext/>
        <w:keepLines/>
        <w:rPr>
          <w:snapToGrid w:val="0"/>
        </w:rPr>
      </w:pPr>
      <w:r>
        <w:rPr>
          <w:snapToGrid w:val="0"/>
        </w:rPr>
        <w:tab/>
        <w:t>(d)</w:t>
      </w:r>
      <w:r>
        <w:rPr>
          <w:snapToGrid w:val="0"/>
        </w:rPr>
        <w:tab/>
        <w:t>has become incapable of properly conducting the business, or any aspect of the business, of a bookmaker;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on, or otherwise limit the authority conferred by, the licence or such an authorisation;</w:t>
      </w:r>
    </w:p>
    <w:p>
      <w:pPr>
        <w:pStyle w:val="Indenta"/>
        <w:rPr>
          <w:snapToGrid w:val="0"/>
        </w:rPr>
      </w:pPr>
      <w:r>
        <w:rPr>
          <w:snapToGrid w:val="0"/>
        </w:rPr>
        <w:tab/>
        <w:t>(c)</w:t>
      </w:r>
      <w:r>
        <w:rPr>
          <w:snapToGrid w:val="0"/>
        </w:rPr>
        <w:tab/>
        <w:t>vary or cancel any term or condition to which the licence or such an authorisation is subject;</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 or such an authorisation;</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410" w:name="_Toc89168196"/>
      <w:bookmarkStart w:id="411" w:name="_Toc96937723"/>
      <w:bookmarkStart w:id="412" w:name="_Toc96937831"/>
      <w:bookmarkStart w:id="413" w:name="_Toc101928010"/>
      <w:bookmarkStart w:id="414" w:name="_Toc101928125"/>
      <w:bookmarkStart w:id="415" w:name="_Toc102796976"/>
      <w:bookmarkStart w:id="416" w:name="_Toc122949271"/>
      <w:bookmarkStart w:id="417" w:name="_Toc131327418"/>
      <w:bookmarkStart w:id="418" w:name="_Toc142803299"/>
      <w:bookmarkStart w:id="419" w:name="_Toc142809275"/>
      <w:bookmarkStart w:id="420" w:name="_Toc146426988"/>
      <w:bookmarkStart w:id="421" w:name="_Toc146440157"/>
      <w:bookmarkStart w:id="422" w:name="_Toc148849420"/>
      <w:bookmarkStart w:id="423" w:name="_Toc148858357"/>
      <w:bookmarkStart w:id="424" w:name="_Toc151285240"/>
      <w:bookmarkStart w:id="425" w:name="_Toc519996809"/>
      <w:bookmarkStart w:id="426" w:name="_Toc4564381"/>
      <w:bookmarkStart w:id="427" w:name="_Toc6885631"/>
      <w:r>
        <w:rPr>
          <w:rStyle w:val="CharPartNo"/>
        </w:rPr>
        <w:t>Part 5</w:t>
      </w:r>
      <w:r>
        <w:rPr>
          <w:b w:val="0"/>
        </w:rPr>
        <w:t> </w:t>
      </w:r>
      <w:r>
        <w:t>—</w:t>
      </w:r>
      <w:r>
        <w:rPr>
          <w:b w:val="0"/>
        </w:rPr>
        <w:t> </w:t>
      </w:r>
      <w:r>
        <w:rPr>
          <w:rStyle w:val="CharPartText"/>
        </w:rPr>
        <w:t>Miscellaneous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Footnoteheading"/>
        <w:tabs>
          <w:tab w:val="left" w:pos="851"/>
        </w:tabs>
      </w:pPr>
      <w:r>
        <w:tab/>
        <w:t>[Heading inserted by No. 35 of 2003 s. 101(5).]</w:t>
      </w:r>
    </w:p>
    <w:p>
      <w:pPr>
        <w:pStyle w:val="Heading5"/>
        <w:rPr>
          <w:snapToGrid w:val="0"/>
        </w:rPr>
      </w:pPr>
      <w:bookmarkStart w:id="428" w:name="_Toc131327419"/>
      <w:bookmarkStart w:id="429" w:name="_Toc151285241"/>
      <w:r>
        <w:rPr>
          <w:rStyle w:val="CharSectno"/>
        </w:rPr>
        <w:t>33</w:t>
      </w:r>
      <w:r>
        <w:rPr>
          <w:snapToGrid w:val="0"/>
        </w:rPr>
        <w:t>.</w:t>
      </w:r>
      <w:r>
        <w:rPr>
          <w:snapToGrid w:val="0"/>
        </w:rPr>
        <w:tab/>
        <w:t>Regulations</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w:t>
      </w:r>
    </w:p>
    <w:p>
      <w:pPr>
        <w:pStyle w:val="Indenti"/>
        <w:rPr>
          <w:snapToGrid w:val="0"/>
        </w:rPr>
      </w:pPr>
      <w:r>
        <w:rPr>
          <w:snapToGrid w:val="0"/>
        </w:rPr>
        <w:tab/>
        <w:t>(ii)</w:t>
      </w:r>
      <w:r>
        <w:rPr>
          <w:snapToGrid w:val="0"/>
        </w:rPr>
        <w:tab/>
        <w:t>licensing of bookmakers’ employees;</w:t>
      </w:r>
    </w:p>
    <w:p>
      <w:pPr>
        <w:pStyle w:val="Indenti"/>
      </w:pPr>
      <w:r>
        <w:tab/>
        <w:t>(iia)</w:t>
      </w:r>
      <w:r>
        <w:tab/>
        <w:t>the licensing of a manager of a bookmaker that is a body corporate or a partnership;</w:t>
      </w:r>
    </w:p>
    <w:p>
      <w:pPr>
        <w:pStyle w:val="Indenti"/>
        <w:rPr>
          <w:snapToGrid w:val="0"/>
        </w:rPr>
      </w:pPr>
      <w:r>
        <w:rPr>
          <w:snapToGrid w:val="0"/>
        </w:rPr>
        <w:tab/>
        <w:t>(iii)</w:t>
      </w:r>
      <w:r>
        <w:rPr>
          <w:snapToGrid w:val="0"/>
        </w:rPr>
        <w:tab/>
        <w:t>classification of licences;</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w:t>
      </w:r>
    </w:p>
    <w:p>
      <w:pPr>
        <w:pStyle w:val="Indenti"/>
        <w:rPr>
          <w:snapToGrid w:val="0"/>
        </w:rPr>
      </w:pPr>
      <w:r>
        <w:rPr>
          <w:snapToGrid w:val="0"/>
        </w:rPr>
        <w:tab/>
        <w:t>(vi)</w:t>
      </w:r>
      <w:r>
        <w:rPr>
          <w:snapToGrid w:val="0"/>
        </w:rPr>
        <w:tab/>
        <w:t>variation, suspension, and cancellation of licences, and the grounds upon which licences may be varied, suspended, or cancelled;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w:t>
      </w:r>
    </w:p>
    <w:p>
      <w:pPr>
        <w:pStyle w:val="Indenti"/>
        <w:rPr>
          <w:snapToGrid w:val="0"/>
        </w:rPr>
      </w:pPr>
      <w:r>
        <w:rPr>
          <w:snapToGrid w:val="0"/>
        </w:rPr>
        <w:tab/>
        <w:t>(ix)</w:t>
      </w:r>
      <w:r>
        <w:rPr>
          <w:snapToGrid w:val="0"/>
        </w:rPr>
        <w:tab/>
        <w:t>the conduct of persons and their agents and employees;</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w:t>
      </w:r>
    </w:p>
    <w:p>
      <w:pPr>
        <w:pStyle w:val="Indenti"/>
        <w:rPr>
          <w:snapToGrid w:val="0"/>
        </w:rPr>
      </w:pPr>
      <w:r>
        <w:rPr>
          <w:snapToGrid w:val="0"/>
        </w:rPr>
        <w:tab/>
        <w:t>(xiv)</w:t>
      </w:r>
      <w:r>
        <w:rPr>
          <w:snapToGrid w:val="0"/>
        </w:rPr>
        <w:tab/>
        <w:t>the supply and use of betting material;</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Subsection"/>
      </w:pPr>
      <w:r>
        <w:tab/>
        <w:t>(3)</w:t>
      </w:r>
      <w:r>
        <w:tab/>
        <w:t xml:space="preserve">In subsection (2) a reference to rules or regulations made under the RWWA Act includes a reference to rules or regulations continued under section 48 of the </w:t>
      </w:r>
      <w:r>
        <w:rPr>
          <w:i/>
        </w:rPr>
        <w:t>Racing and Gambling Legislation Amendment and Repeal Act 2003</w:t>
      </w:r>
      <w:r>
        <w:t xml:space="preserve"> and in force.</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w:t>
      </w:r>
    </w:p>
    <w:p>
      <w:pPr>
        <w:pStyle w:val="Ednotesection"/>
        <w:ind w:left="0" w:firstLine="0"/>
      </w:pPr>
      <w:r>
        <w:t>[</w:t>
      </w:r>
      <w:r>
        <w:rPr>
          <w:b/>
        </w:rPr>
        <w:t>34.</w:t>
      </w:r>
      <w:r>
        <w:tab/>
        <w:t>Repealed by No. 35 of 2003 s. 97.]</w:t>
      </w:r>
    </w:p>
    <w:p>
      <w:pPr>
        <w:pStyle w:val="Ednotesection"/>
        <w:ind w:left="0" w:firstLine="0"/>
      </w:pPr>
      <w:r>
        <w:t>[</w:t>
      </w:r>
      <w:r>
        <w:rPr>
          <w:b/>
        </w:rPr>
        <w:t>35.</w:t>
      </w:r>
      <w:r>
        <w:tab/>
        <w:t xml:space="preserve">Repealed by No. 63 of 1995 s. 86.] </w:t>
      </w:r>
    </w:p>
    <w:p>
      <w:pPr>
        <w:pStyle w:val="Ednotesection"/>
        <w:ind w:left="0" w:firstLine="0"/>
      </w:pPr>
      <w:r>
        <w:t>[</w:t>
      </w:r>
      <w:r>
        <w:rPr>
          <w:b/>
        </w:rPr>
        <w:t>36.</w:t>
      </w:r>
      <w:r>
        <w:tab/>
        <w:t xml:space="preserve">Repealed by No. 35 of 2003 s. 98.] </w:t>
      </w:r>
    </w:p>
    <w:p>
      <w:pPr>
        <w:pStyle w:val="yEdnoteschedule"/>
      </w:pPr>
      <w:r>
        <w:t>[Schedule 1 repealed by No. 35 of 2003 s. 99.]</w:t>
      </w:r>
    </w:p>
    <w:p>
      <w:pPr>
        <w:pStyle w:val="yEdnoteschedule"/>
      </w:pPr>
      <w:r>
        <w:t>[Schedule 2 repealed by No. 35 of 2003 s. 100.]</w:t>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start="1"/>
          <w:cols w:space="720"/>
          <w:noEndnote/>
          <w:titlePg/>
          <w:docGrid w:linePitch="326"/>
        </w:sectPr>
      </w:pPr>
    </w:p>
    <w:p>
      <w:pPr>
        <w:pStyle w:val="yScheduleHeading"/>
      </w:pPr>
      <w:bookmarkStart w:id="430" w:name="_Toc131327420"/>
      <w:bookmarkStart w:id="431" w:name="_Toc142803301"/>
      <w:bookmarkStart w:id="432" w:name="_Toc142809277"/>
      <w:bookmarkStart w:id="433" w:name="_Toc146426990"/>
      <w:bookmarkStart w:id="434" w:name="_Toc146440159"/>
      <w:bookmarkStart w:id="435" w:name="_Toc148849422"/>
      <w:bookmarkStart w:id="436" w:name="_Toc148858359"/>
      <w:bookmarkStart w:id="437" w:name="_Toc151285242"/>
      <w:r>
        <w:rPr>
          <w:rStyle w:val="CharSchNo"/>
        </w:rPr>
        <w:t>Schedule 3</w:t>
      </w:r>
      <w:r>
        <w:t xml:space="preserve"> — </w:t>
      </w:r>
      <w:r>
        <w:rPr>
          <w:rStyle w:val="CharSchText"/>
        </w:rPr>
        <w:t>Requirements for licensing of a body corporate and continuation of the licence of a body corporate</w:t>
      </w:r>
      <w:bookmarkEnd w:id="430"/>
      <w:bookmarkEnd w:id="431"/>
      <w:bookmarkEnd w:id="432"/>
      <w:bookmarkEnd w:id="433"/>
      <w:bookmarkEnd w:id="434"/>
      <w:bookmarkEnd w:id="435"/>
      <w:bookmarkEnd w:id="436"/>
      <w:bookmarkEnd w:id="437"/>
    </w:p>
    <w:p>
      <w:pPr>
        <w:pStyle w:val="yShoulderClause"/>
      </w:pPr>
      <w:r>
        <w:t>[s. 11C(1)(a)]</w:t>
      </w:r>
    </w:p>
    <w:p>
      <w:pPr>
        <w:pStyle w:val="yFootnoteheading"/>
        <w:rPr>
          <w:ins w:id="438" w:author="svcMRProcess" w:date="2020-02-13T23:26:00Z"/>
        </w:rPr>
      </w:pPr>
      <w:ins w:id="439" w:author="svcMRProcess" w:date="2020-02-13T23:26:00Z">
        <w:r>
          <w:tab/>
          <w:t>[Heading inserted by No. 13 of 2002 s. 29.]</w:t>
        </w:r>
      </w:ins>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440" w:name="_Toc89168199"/>
      <w:bookmarkStart w:id="441" w:name="_Toc96937726"/>
      <w:bookmarkStart w:id="442" w:name="_Toc96937834"/>
      <w:bookmarkStart w:id="443" w:name="_Toc101928013"/>
      <w:bookmarkStart w:id="444" w:name="_Toc101928128"/>
      <w:bookmarkStart w:id="445" w:name="_Toc102796979"/>
      <w:bookmarkStart w:id="446" w:name="_Toc122949274"/>
      <w:bookmarkStart w:id="447" w:name="_Toc131327421"/>
      <w:bookmarkStart w:id="448" w:name="_Toc142803302"/>
      <w:bookmarkStart w:id="449" w:name="_Toc142809278"/>
      <w:bookmarkStart w:id="450" w:name="_Toc146426991"/>
      <w:bookmarkStart w:id="451" w:name="_Toc146440160"/>
      <w:bookmarkStart w:id="452" w:name="_Toc148849423"/>
      <w:bookmarkStart w:id="453" w:name="_Toc148858360"/>
      <w:bookmarkStart w:id="454" w:name="_Toc151285243"/>
      <w:r>
        <w:t>Notes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nSubsection"/>
        <w:rPr>
          <w:snapToGrid w:val="0"/>
        </w:rPr>
      </w:pPr>
      <w:r>
        <w:rPr>
          <w:snapToGrid w:val="0"/>
          <w:vertAlign w:val="superscript"/>
        </w:rPr>
        <w:t>1</w:t>
      </w:r>
      <w:r>
        <w:rPr>
          <w:snapToGrid w:val="0"/>
        </w:rPr>
        <w:tab/>
        <w:t xml:space="preserve">This </w:t>
      </w:r>
      <w:ins w:id="455" w:author="svcMRProcess" w:date="2020-02-13T23:26:00Z">
        <w:r>
          <w:rPr>
            <w:snapToGrid w:val="0"/>
          </w:rPr>
          <w:t xml:space="preserve">reprint </w:t>
        </w:r>
      </w:ins>
      <w:r>
        <w:rPr>
          <w:snapToGrid w:val="0"/>
        </w:rPr>
        <w:t>is a compilation</w:t>
      </w:r>
      <w:ins w:id="456" w:author="svcMRProcess" w:date="2020-02-13T23:26:00Z">
        <w:r>
          <w:rPr>
            <w:snapToGrid w:val="0"/>
          </w:rPr>
          <w:t xml:space="preserve"> as at 20 October 2006</w:t>
        </w:r>
      </w:ins>
      <w:r>
        <w:rPr>
          <w:snapToGrid w:val="0"/>
        </w:rPr>
        <w:t xml:space="preserve"> of the </w:t>
      </w:r>
      <w:r>
        <w:rPr>
          <w:i/>
          <w:noProof/>
          <w:snapToGrid w:val="0"/>
        </w:rPr>
        <w:t>Betting Control Act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7" w:name="_Toc151285244"/>
      <w:bookmarkStart w:id="458" w:name="_Toc6885641"/>
      <w:bookmarkStart w:id="459" w:name="_Toc131327422"/>
      <w:r>
        <w:rPr>
          <w:snapToGrid w:val="0"/>
        </w:rPr>
        <w:t>Compilation table</w:t>
      </w:r>
      <w:bookmarkEnd w:id="457"/>
      <w:bookmarkEnd w:id="458"/>
      <w:bookmarkEnd w:id="4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Betting Control Act 1954</w:t>
            </w:r>
          </w:p>
        </w:tc>
        <w:tc>
          <w:tcPr>
            <w:tcW w:w="1134" w:type="dxa"/>
            <w:tcBorders>
              <w:top w:val="single" w:sz="8" w:space="0" w:color="auto"/>
            </w:tcBorders>
          </w:tcPr>
          <w:p>
            <w:pPr>
              <w:pStyle w:val="nTable"/>
              <w:spacing w:after="40"/>
              <w:rPr>
                <w:sz w:val="19"/>
              </w:rPr>
            </w:pPr>
            <w:r>
              <w:rPr>
                <w:sz w:val="19"/>
              </w:rPr>
              <w:t>63 of 1954</w:t>
            </w:r>
            <w:ins w:id="460" w:author="svcMRProcess" w:date="2020-02-13T23:26:00Z">
              <w:r>
                <w:rPr>
                  <w:sz w:val="19"/>
                </w:rPr>
                <w:br/>
                <w:t>(3 Eliz. II No. 63)</w:t>
              </w:r>
            </w:ins>
          </w:p>
        </w:tc>
        <w:tc>
          <w:tcPr>
            <w:tcW w:w="1134" w:type="dxa"/>
            <w:tcBorders>
              <w:top w:val="single" w:sz="8" w:space="0" w:color="auto"/>
            </w:tcBorders>
          </w:tcPr>
          <w:p>
            <w:pPr>
              <w:pStyle w:val="nTable"/>
              <w:spacing w:after="40"/>
              <w:rPr>
                <w:sz w:val="19"/>
              </w:rPr>
            </w:pPr>
            <w:r>
              <w:rPr>
                <w:sz w:val="19"/>
              </w:rPr>
              <w:t>30 Dec 1954</w:t>
            </w:r>
          </w:p>
        </w:tc>
        <w:tc>
          <w:tcPr>
            <w:tcW w:w="2552" w:type="dxa"/>
            <w:tcBorders>
              <w:top w:val="single" w:sz="8" w:space="0" w:color="auto"/>
            </w:tcBorders>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8" w:type="dxa"/>
          </w:tcPr>
          <w:p>
            <w:pPr>
              <w:pStyle w:val="nTable"/>
              <w:spacing w:after="40"/>
              <w:rPr>
                <w:sz w:val="19"/>
              </w:rPr>
            </w:pPr>
            <w:r>
              <w:rPr>
                <w:i/>
                <w:sz w:val="19"/>
              </w:rPr>
              <w:t>Betting Control Act Amendment Act 1956</w:t>
            </w:r>
          </w:p>
        </w:tc>
        <w:tc>
          <w:tcPr>
            <w:tcW w:w="1134" w:type="dxa"/>
          </w:tcPr>
          <w:p>
            <w:pPr>
              <w:pStyle w:val="nTable"/>
              <w:spacing w:after="40"/>
              <w:rPr>
                <w:sz w:val="19"/>
              </w:rPr>
            </w:pPr>
            <w:r>
              <w:rPr>
                <w:sz w:val="19"/>
              </w:rPr>
              <w:t>50 of 1956</w:t>
            </w:r>
            <w:ins w:id="461" w:author="svcMRProcess" w:date="2020-02-13T23:26:00Z">
              <w:r>
                <w:rPr>
                  <w:sz w:val="19"/>
                </w:rPr>
                <w:br/>
                <w:t>(5 Eliz. II No. 50)</w:t>
              </w:r>
            </w:ins>
          </w:p>
        </w:tc>
        <w:tc>
          <w:tcPr>
            <w:tcW w:w="1134" w:type="dxa"/>
          </w:tcPr>
          <w:p>
            <w:pPr>
              <w:pStyle w:val="nTable"/>
              <w:spacing w:after="40"/>
              <w:rPr>
                <w:sz w:val="19"/>
              </w:rPr>
            </w:pPr>
            <w:r>
              <w:rPr>
                <w:sz w:val="19"/>
              </w:rPr>
              <w:t>18 Dec 1956</w:t>
            </w:r>
          </w:p>
        </w:tc>
        <w:tc>
          <w:tcPr>
            <w:tcW w:w="2552" w:type="dxa"/>
          </w:tcPr>
          <w:p>
            <w:pPr>
              <w:pStyle w:val="nTable"/>
              <w:spacing w:after="40"/>
              <w:rPr>
                <w:sz w:val="19"/>
              </w:rPr>
            </w:pPr>
            <w:r>
              <w:rPr>
                <w:sz w:val="19"/>
              </w:rPr>
              <w:t>18 Dec 1956</w:t>
            </w:r>
          </w:p>
        </w:tc>
      </w:tr>
      <w:tr>
        <w:trPr>
          <w:cantSplit/>
        </w:trPr>
        <w:tc>
          <w:tcPr>
            <w:tcW w:w="2268" w:type="dxa"/>
          </w:tcPr>
          <w:p>
            <w:pPr>
              <w:pStyle w:val="nTable"/>
              <w:spacing w:after="40"/>
              <w:rPr>
                <w:sz w:val="19"/>
              </w:rPr>
            </w:pPr>
            <w:r>
              <w:rPr>
                <w:i/>
                <w:sz w:val="19"/>
              </w:rPr>
              <w:t>Betting Control Act Continuance Act 1957</w:t>
            </w:r>
          </w:p>
        </w:tc>
        <w:tc>
          <w:tcPr>
            <w:tcW w:w="1134" w:type="dxa"/>
          </w:tcPr>
          <w:p>
            <w:pPr>
              <w:pStyle w:val="nTable"/>
              <w:spacing w:after="40"/>
              <w:rPr>
                <w:sz w:val="19"/>
              </w:rPr>
            </w:pPr>
            <w:r>
              <w:rPr>
                <w:sz w:val="19"/>
              </w:rPr>
              <w:t>36 of 1957</w:t>
            </w:r>
            <w:ins w:id="462" w:author="svcMRProcess" w:date="2020-02-13T23:26:00Z">
              <w:r>
                <w:rPr>
                  <w:sz w:val="19"/>
                </w:rPr>
                <w:br/>
                <w:t>(6 Eliz. II No. 36)</w:t>
              </w:r>
            </w:ins>
          </w:p>
        </w:tc>
        <w:tc>
          <w:tcPr>
            <w:tcW w:w="1134" w:type="dxa"/>
          </w:tcPr>
          <w:p>
            <w:pPr>
              <w:pStyle w:val="nTable"/>
              <w:spacing w:after="40"/>
              <w:rPr>
                <w:sz w:val="19"/>
              </w:rPr>
            </w:pPr>
            <w:r>
              <w:rPr>
                <w:sz w:val="19"/>
              </w:rPr>
              <w:t>18 Nov 1957</w:t>
            </w:r>
          </w:p>
        </w:tc>
        <w:tc>
          <w:tcPr>
            <w:tcW w:w="2552" w:type="dxa"/>
          </w:tcPr>
          <w:p>
            <w:pPr>
              <w:pStyle w:val="nTable"/>
              <w:spacing w:after="40"/>
              <w:rPr>
                <w:sz w:val="19"/>
              </w:rPr>
            </w:pPr>
            <w:r>
              <w:rPr>
                <w:sz w:val="19"/>
              </w:rPr>
              <w:t>18 Nov 1957</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approved 16 Feb 1959 in Vol. 14 of Reprinted</w:t>
            </w:r>
            <w:r>
              <w:rPr>
                <w:sz w:val="19"/>
              </w:rPr>
              <w:t xml:space="preserve"> </w:t>
            </w:r>
            <w:r>
              <w:rPr>
                <w:b/>
                <w:sz w:val="19"/>
              </w:rPr>
              <w:t>Acts</w:t>
            </w:r>
            <w:r>
              <w:rPr>
                <w:sz w:val="19"/>
              </w:rPr>
              <w:t xml:space="preserve"> (includes amendments listed above)</w:t>
            </w:r>
          </w:p>
        </w:tc>
      </w:tr>
      <w:tr>
        <w:trPr>
          <w:cantSplit/>
        </w:trPr>
        <w:tc>
          <w:tcPr>
            <w:tcW w:w="2268" w:type="dxa"/>
          </w:tcPr>
          <w:p>
            <w:pPr>
              <w:pStyle w:val="nTable"/>
              <w:spacing w:after="40"/>
              <w:rPr>
                <w:sz w:val="19"/>
              </w:rPr>
            </w:pPr>
            <w:r>
              <w:rPr>
                <w:i/>
                <w:sz w:val="19"/>
              </w:rPr>
              <w:t>Betting Control Act Amendment Act 1959</w:t>
            </w:r>
          </w:p>
        </w:tc>
        <w:tc>
          <w:tcPr>
            <w:tcW w:w="1134" w:type="dxa"/>
          </w:tcPr>
          <w:p>
            <w:pPr>
              <w:pStyle w:val="nTable"/>
              <w:spacing w:after="40"/>
              <w:rPr>
                <w:sz w:val="19"/>
              </w:rPr>
            </w:pPr>
            <w:r>
              <w:rPr>
                <w:sz w:val="19"/>
              </w:rPr>
              <w:t>76 of 1959</w:t>
            </w:r>
            <w:ins w:id="463" w:author="svcMRProcess" w:date="2020-02-13T23:26:00Z">
              <w:r>
                <w:rPr>
                  <w:sz w:val="19"/>
                </w:rPr>
                <w:br/>
                <w:t>(8 Eliz. II No. 76)</w:t>
              </w:r>
            </w:ins>
          </w:p>
        </w:tc>
        <w:tc>
          <w:tcPr>
            <w:tcW w:w="1134" w:type="dxa"/>
          </w:tcPr>
          <w:p>
            <w:pPr>
              <w:pStyle w:val="nTable"/>
              <w:spacing w:after="40"/>
              <w:rPr>
                <w:sz w:val="19"/>
              </w:rPr>
            </w:pPr>
            <w:r>
              <w:rPr>
                <w:sz w:val="19"/>
              </w:rPr>
              <w:t>14 Dec 1959</w:t>
            </w:r>
          </w:p>
        </w:tc>
        <w:tc>
          <w:tcPr>
            <w:tcW w:w="2552" w:type="dxa"/>
          </w:tcPr>
          <w:p>
            <w:pPr>
              <w:pStyle w:val="nTable"/>
              <w:spacing w:after="40"/>
              <w:rPr>
                <w:sz w:val="19"/>
              </w:rPr>
            </w:pPr>
            <w:r>
              <w:rPr>
                <w:sz w:val="19"/>
              </w:rPr>
              <w:t xml:space="preserve">21 Dec 1959 (see s. 2 and </w:t>
            </w:r>
            <w:r>
              <w:rPr>
                <w:i/>
                <w:sz w:val="19"/>
              </w:rPr>
              <w:t>Gazette</w:t>
            </w:r>
            <w:r>
              <w:rPr>
                <w:sz w:val="19"/>
              </w:rPr>
              <w:t xml:space="preserve"> 18 Dec 1959 p. 3339)</w:t>
            </w:r>
          </w:p>
        </w:tc>
      </w:tr>
      <w:tr>
        <w:trPr>
          <w:cantSplit/>
        </w:trPr>
        <w:tc>
          <w:tcPr>
            <w:tcW w:w="2268" w:type="dxa"/>
          </w:tcPr>
          <w:p>
            <w:pPr>
              <w:pStyle w:val="nTable"/>
              <w:spacing w:after="40"/>
              <w:rPr>
                <w:sz w:val="19"/>
              </w:rPr>
            </w:pPr>
            <w:r>
              <w:rPr>
                <w:i/>
                <w:sz w:val="19"/>
              </w:rPr>
              <w:t>Betting Control Act Amendment Act 1960</w:t>
            </w:r>
          </w:p>
        </w:tc>
        <w:tc>
          <w:tcPr>
            <w:tcW w:w="1134" w:type="dxa"/>
          </w:tcPr>
          <w:p>
            <w:pPr>
              <w:pStyle w:val="nTable"/>
              <w:spacing w:after="40"/>
              <w:rPr>
                <w:sz w:val="19"/>
              </w:rPr>
            </w:pPr>
            <w:r>
              <w:rPr>
                <w:sz w:val="19"/>
              </w:rPr>
              <w:t>49 of 1960</w:t>
            </w:r>
            <w:ins w:id="464" w:author="svcMRProcess" w:date="2020-02-13T23:26:00Z">
              <w:r>
                <w:rPr>
                  <w:sz w:val="19"/>
                </w:rPr>
                <w:br/>
                <w:t>(9 Eliz. II No. 49)</w:t>
              </w:r>
            </w:ins>
          </w:p>
        </w:tc>
        <w:tc>
          <w:tcPr>
            <w:tcW w:w="1134" w:type="dxa"/>
          </w:tcPr>
          <w:p>
            <w:pPr>
              <w:pStyle w:val="nTable"/>
              <w:spacing w:after="40"/>
              <w:rPr>
                <w:sz w:val="19"/>
              </w:rPr>
            </w:pPr>
            <w:r>
              <w:rPr>
                <w:sz w:val="19"/>
              </w:rPr>
              <w:t>28 Nov 1960</w:t>
            </w:r>
          </w:p>
        </w:tc>
        <w:tc>
          <w:tcPr>
            <w:tcW w:w="2552" w:type="dxa"/>
          </w:tcPr>
          <w:p>
            <w:pPr>
              <w:pStyle w:val="nTable"/>
              <w:spacing w:after="40"/>
              <w:rPr>
                <w:sz w:val="19"/>
              </w:rPr>
            </w:pPr>
            <w:r>
              <w:rPr>
                <w:sz w:val="19"/>
              </w:rPr>
              <w:t xml:space="preserve">31 Dec 1960 (see s. 2 and </w:t>
            </w:r>
            <w:r>
              <w:rPr>
                <w:i/>
                <w:sz w:val="19"/>
              </w:rPr>
              <w:t>Gazette</w:t>
            </w:r>
            <w:r>
              <w:rPr>
                <w:sz w:val="19"/>
              </w:rPr>
              <w:t xml:space="preserve"> 23 Dec 1960 p. 4074)</w:t>
            </w:r>
          </w:p>
        </w:tc>
      </w:tr>
      <w:tr>
        <w:trPr>
          <w:cantSplit/>
        </w:trPr>
        <w:tc>
          <w:tcPr>
            <w:tcW w:w="2268" w:type="dxa"/>
          </w:tcPr>
          <w:p>
            <w:pPr>
              <w:pStyle w:val="nTable"/>
              <w:spacing w:after="40"/>
              <w:rPr>
                <w:sz w:val="19"/>
              </w:rPr>
            </w:pPr>
            <w:r>
              <w:rPr>
                <w:i/>
                <w:sz w:val="19"/>
              </w:rPr>
              <w:t>Betting Control Act Amendment Act (No. 2) 1960</w:t>
            </w:r>
          </w:p>
        </w:tc>
        <w:tc>
          <w:tcPr>
            <w:tcW w:w="1134" w:type="dxa"/>
          </w:tcPr>
          <w:p>
            <w:pPr>
              <w:pStyle w:val="nTable"/>
              <w:spacing w:after="40"/>
              <w:rPr>
                <w:sz w:val="19"/>
              </w:rPr>
            </w:pPr>
            <w:r>
              <w:rPr>
                <w:sz w:val="19"/>
              </w:rPr>
              <w:t>66 of 1960</w:t>
            </w:r>
            <w:ins w:id="465" w:author="svcMRProcess" w:date="2020-02-13T23:26:00Z">
              <w:r>
                <w:rPr>
                  <w:sz w:val="19"/>
                </w:rPr>
                <w:br/>
                <w:t>(9 Eliz. II No. 66)</w:t>
              </w:r>
            </w:ins>
          </w:p>
        </w:tc>
        <w:tc>
          <w:tcPr>
            <w:tcW w:w="1134" w:type="dxa"/>
          </w:tcPr>
          <w:p>
            <w:pPr>
              <w:pStyle w:val="nTable"/>
              <w:spacing w:after="40"/>
              <w:rPr>
                <w:sz w:val="19"/>
              </w:rPr>
            </w:pPr>
            <w:r>
              <w:rPr>
                <w:sz w:val="19"/>
              </w:rPr>
              <w:t>2 Dec 1960</w:t>
            </w:r>
          </w:p>
        </w:tc>
        <w:tc>
          <w:tcPr>
            <w:tcW w:w="2552" w:type="dxa"/>
          </w:tcPr>
          <w:p>
            <w:pPr>
              <w:pStyle w:val="nTable"/>
              <w:spacing w:after="40"/>
              <w:rPr>
                <w:sz w:val="19"/>
              </w:rPr>
            </w:pPr>
            <w:r>
              <w:rPr>
                <w:sz w:val="19"/>
              </w:rPr>
              <w:t>2 Dec 1960</w:t>
            </w:r>
          </w:p>
        </w:tc>
      </w:tr>
      <w:tr>
        <w:trPr>
          <w:cantSplit/>
        </w:trPr>
        <w:tc>
          <w:tcPr>
            <w:tcW w:w="2268" w:type="dxa"/>
          </w:tcPr>
          <w:p>
            <w:pPr>
              <w:pStyle w:val="nTable"/>
              <w:spacing w:after="40"/>
              <w:rPr>
                <w:sz w:val="19"/>
              </w:rPr>
            </w:pPr>
            <w:r>
              <w:rPr>
                <w:i/>
                <w:sz w:val="19"/>
              </w:rPr>
              <w:t xml:space="preserve">Anzac Day Act 1960 </w:t>
            </w:r>
            <w:r>
              <w:rPr>
                <w:sz w:val="19"/>
              </w:rPr>
              <w:t>s. 9</w:t>
            </w:r>
          </w:p>
        </w:tc>
        <w:tc>
          <w:tcPr>
            <w:tcW w:w="1134" w:type="dxa"/>
          </w:tcPr>
          <w:p>
            <w:pPr>
              <w:pStyle w:val="nTable"/>
              <w:spacing w:after="40"/>
              <w:rPr>
                <w:sz w:val="19"/>
              </w:rPr>
            </w:pPr>
            <w:r>
              <w:rPr>
                <w:sz w:val="19"/>
              </w:rPr>
              <w:t>73 of 1960</w:t>
            </w:r>
            <w:ins w:id="466" w:author="svcMRProcess" w:date="2020-02-13T23:26:00Z">
              <w:r>
                <w:rPr>
                  <w:sz w:val="19"/>
                </w:rPr>
                <w:br/>
                <w:t>(9 Eliz. II No. 73)</w:t>
              </w:r>
            </w:ins>
          </w:p>
        </w:tc>
        <w:tc>
          <w:tcPr>
            <w:tcW w:w="1134" w:type="dxa"/>
          </w:tcPr>
          <w:p>
            <w:pPr>
              <w:pStyle w:val="nTable"/>
              <w:spacing w:after="40"/>
              <w:rPr>
                <w:sz w:val="19"/>
              </w:rPr>
            </w:pPr>
            <w:r>
              <w:rPr>
                <w:sz w:val="19"/>
              </w:rPr>
              <w:t>12 Dec 1960</w:t>
            </w:r>
          </w:p>
        </w:tc>
        <w:tc>
          <w:tcPr>
            <w:tcW w:w="2552" w:type="dxa"/>
          </w:tcPr>
          <w:p>
            <w:pPr>
              <w:pStyle w:val="nTable"/>
              <w:spacing w:after="40"/>
              <w:rPr>
                <w:sz w:val="19"/>
              </w:rPr>
            </w:pPr>
            <w:r>
              <w:rPr>
                <w:sz w:val="19"/>
              </w:rPr>
              <w:t>12 Dec 1960</w:t>
            </w:r>
          </w:p>
        </w:tc>
      </w:tr>
      <w:tr>
        <w:trPr>
          <w:cantSplit/>
        </w:trPr>
        <w:tc>
          <w:tcPr>
            <w:tcW w:w="2268" w:type="dxa"/>
          </w:tcPr>
          <w:p>
            <w:pPr>
              <w:pStyle w:val="nTable"/>
              <w:spacing w:after="40"/>
              <w:rPr>
                <w:sz w:val="19"/>
              </w:rPr>
            </w:pPr>
            <w:r>
              <w:rPr>
                <w:i/>
                <w:sz w:val="19"/>
              </w:rPr>
              <w:t>Betting Control Act Amendment Act 1961</w:t>
            </w:r>
          </w:p>
        </w:tc>
        <w:tc>
          <w:tcPr>
            <w:tcW w:w="1134" w:type="dxa"/>
          </w:tcPr>
          <w:p>
            <w:pPr>
              <w:pStyle w:val="nTable"/>
              <w:spacing w:after="40"/>
              <w:rPr>
                <w:sz w:val="19"/>
              </w:rPr>
            </w:pPr>
            <w:r>
              <w:rPr>
                <w:sz w:val="19"/>
              </w:rPr>
              <w:t>14 of 1961</w:t>
            </w:r>
            <w:ins w:id="467" w:author="svcMRProcess" w:date="2020-02-13T23:26:00Z">
              <w:r>
                <w:rPr>
                  <w:sz w:val="19"/>
                </w:rPr>
                <w:br/>
                <w:t>(10 Eliz. II No. 14)</w:t>
              </w:r>
            </w:ins>
          </w:p>
        </w:tc>
        <w:tc>
          <w:tcPr>
            <w:tcW w:w="1134" w:type="dxa"/>
          </w:tcPr>
          <w:p>
            <w:pPr>
              <w:pStyle w:val="nTable"/>
              <w:spacing w:after="40"/>
              <w:rPr>
                <w:sz w:val="19"/>
              </w:rPr>
            </w:pPr>
            <w:r>
              <w:rPr>
                <w:sz w:val="19"/>
              </w:rPr>
              <w:t>20 Oct 1961</w:t>
            </w:r>
          </w:p>
        </w:tc>
        <w:tc>
          <w:tcPr>
            <w:tcW w:w="2552" w:type="dxa"/>
          </w:tcPr>
          <w:p>
            <w:pPr>
              <w:pStyle w:val="nTable"/>
              <w:spacing w:after="40"/>
              <w:rPr>
                <w:sz w:val="19"/>
              </w:rPr>
            </w:pPr>
            <w:r>
              <w:rPr>
                <w:sz w:val="19"/>
              </w:rPr>
              <w:t>20 Oct 1961</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approved 11 Apr 1963 in Vol. 17 of Reprinted</w:t>
            </w:r>
            <w:r>
              <w:rPr>
                <w:sz w:val="19"/>
              </w:rPr>
              <w:t xml:space="preserve"> </w:t>
            </w:r>
            <w:r>
              <w:rPr>
                <w:b/>
                <w:sz w:val="19"/>
              </w:rPr>
              <w:t>Acts</w:t>
            </w:r>
            <w:r>
              <w:rPr>
                <w:sz w:val="19"/>
              </w:rPr>
              <w:t xml:space="preserve"> (includes amendments listed above)</w:t>
            </w:r>
          </w:p>
        </w:tc>
      </w:tr>
      <w:tr>
        <w:trPr>
          <w:cantSplit/>
        </w:trPr>
        <w:tc>
          <w:tcPr>
            <w:tcW w:w="2268" w:type="dxa"/>
          </w:tcPr>
          <w:p>
            <w:pPr>
              <w:pStyle w:val="nTable"/>
              <w:spacing w:after="40"/>
              <w:rPr>
                <w:sz w:val="19"/>
              </w:rPr>
            </w:pPr>
            <w:r>
              <w:rPr>
                <w:i/>
                <w:sz w:val="19"/>
              </w:rPr>
              <w:t>Betting Control Act Amendment Act 1963</w:t>
            </w:r>
          </w:p>
        </w:tc>
        <w:tc>
          <w:tcPr>
            <w:tcW w:w="1134" w:type="dxa"/>
          </w:tcPr>
          <w:p>
            <w:pPr>
              <w:pStyle w:val="nTable"/>
              <w:spacing w:after="40"/>
              <w:rPr>
                <w:sz w:val="19"/>
              </w:rPr>
            </w:pPr>
            <w:r>
              <w:rPr>
                <w:sz w:val="19"/>
              </w:rPr>
              <w:t>28 of 1963</w:t>
            </w:r>
            <w:ins w:id="468" w:author="svcMRProcess" w:date="2020-02-13T23:26:00Z">
              <w:r>
                <w:rPr>
                  <w:sz w:val="19"/>
                </w:rPr>
                <w:br/>
                <w:t>(12 Eliz. II No. 28)</w:t>
              </w:r>
            </w:ins>
          </w:p>
        </w:tc>
        <w:tc>
          <w:tcPr>
            <w:tcW w:w="1134" w:type="dxa"/>
          </w:tcPr>
          <w:p>
            <w:pPr>
              <w:pStyle w:val="nTable"/>
              <w:spacing w:after="40"/>
              <w:rPr>
                <w:sz w:val="19"/>
              </w:rPr>
            </w:pPr>
            <w:r>
              <w:rPr>
                <w:sz w:val="19"/>
              </w:rPr>
              <w:t>13 Nov 1963</w:t>
            </w:r>
          </w:p>
        </w:tc>
        <w:tc>
          <w:tcPr>
            <w:tcW w:w="2552" w:type="dxa"/>
          </w:tcPr>
          <w:p>
            <w:pPr>
              <w:pStyle w:val="nTable"/>
              <w:spacing w:after="40"/>
              <w:rPr>
                <w:sz w:val="19"/>
              </w:rPr>
            </w:pPr>
            <w:r>
              <w:rPr>
                <w:sz w:val="19"/>
              </w:rPr>
              <w:t>13 Nov 1963</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ins w:id="469" w:author="svcMRProcess" w:date="2020-02-13T23:26:00Z">
              <w:r>
                <w:rPr>
                  <w:sz w:val="19"/>
                </w:rPr>
                <w:t xml:space="preserve">Act other than </w:t>
              </w:r>
            </w:ins>
            <w:r>
              <w:rPr>
                <w:sz w:val="19"/>
              </w:rPr>
              <w:t>s. </w:t>
            </w:r>
            <w:ins w:id="470" w:author="svcMRProcess" w:date="2020-02-13T23:26:00Z">
              <w:r>
                <w:rPr>
                  <w:sz w:val="19"/>
                </w:rPr>
                <w:t>4-9: 21 Dec</w:t>
              </w:r>
              <w:r>
                <w:rPr>
                  <w:caps/>
                  <w:sz w:val="19"/>
                </w:rPr>
                <w:t> 1965 (</w:t>
              </w:r>
              <w:r>
                <w:rPr>
                  <w:sz w:val="19"/>
                </w:rPr>
                <w:t>see s. 2(1));</w:t>
              </w:r>
              <w:r>
                <w:rPr>
                  <w:sz w:val="19"/>
                </w:rPr>
                <w:br/>
                <w:t>s. </w:t>
              </w:r>
            </w:ins>
            <w:r>
              <w:rPr>
                <w:sz w:val="19"/>
              </w:rPr>
              <w:t>4-9: 14 Feb 1966 (see s. </w:t>
            </w:r>
            <w:del w:id="471" w:author="svcMRProcess" w:date="2020-02-13T23:26:00Z">
              <w:r>
                <w:rPr>
                  <w:sz w:val="19"/>
                </w:rPr>
                <w:delText>2(</w:delText>
              </w:r>
            </w:del>
            <w:r>
              <w:rPr>
                <w:sz w:val="19"/>
              </w:rPr>
              <w:t>2</w:t>
            </w:r>
            <w:del w:id="472" w:author="svcMRProcess" w:date="2020-02-13T23:26:00Z">
              <w:r>
                <w:rPr>
                  <w:sz w:val="19"/>
                </w:rPr>
                <w:delText xml:space="preserve">)); </w:delText>
              </w:r>
              <w:r>
                <w:rPr>
                  <w:sz w:val="19"/>
                </w:rPr>
                <w:br/>
                <w:delText>balance: 21 Dec</w:delText>
              </w:r>
              <w:r>
                <w:rPr>
                  <w:caps/>
                  <w:sz w:val="19"/>
                </w:rPr>
                <w:delText> 1965 (</w:delText>
              </w:r>
              <w:r>
                <w:rPr>
                  <w:sz w:val="19"/>
                </w:rPr>
                <w:delText>see s. 2(1</w:delText>
              </w:r>
            </w:del>
            <w:ins w:id="473" w:author="svcMRProcess" w:date="2020-02-13T23:26:00Z">
              <w:r>
                <w:rPr>
                  <w:sz w:val="19"/>
                </w:rPr>
                <w:t>(2</w:t>
              </w:r>
            </w:ins>
            <w:r>
              <w:rPr>
                <w:sz w:val="19"/>
              </w:rPr>
              <w:t>))</w:t>
            </w:r>
          </w:p>
        </w:tc>
      </w:tr>
      <w:tr>
        <w:trPr>
          <w:cantSplit/>
        </w:trPr>
        <w:tc>
          <w:tcPr>
            <w:tcW w:w="2268" w:type="dxa"/>
          </w:tcPr>
          <w:p>
            <w:pPr>
              <w:pStyle w:val="nTable"/>
              <w:spacing w:after="40"/>
              <w:rPr>
                <w:sz w:val="19"/>
              </w:rPr>
            </w:pPr>
            <w:r>
              <w:rPr>
                <w:i/>
                <w:sz w:val="19"/>
              </w:rPr>
              <w:t>Acts Amendment (Commissioner of State Taxation) Act 1970</w:t>
            </w:r>
            <w:r>
              <w:rPr>
                <w:sz w:val="19"/>
              </w:rPr>
              <w:t xml:space="preserve"> Pt. IX</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rPr>
                <w:sz w:val="19"/>
              </w:rPr>
            </w:pPr>
            <w:r>
              <w:rPr>
                <w:i/>
                <w:sz w:val="19"/>
              </w:rPr>
              <w:t>Betting Control Act Amendment Act 1970</w:t>
            </w:r>
          </w:p>
        </w:tc>
        <w:tc>
          <w:tcPr>
            <w:tcW w:w="1134" w:type="dxa"/>
          </w:tcPr>
          <w:p>
            <w:pPr>
              <w:pStyle w:val="nTable"/>
              <w:spacing w:after="40"/>
              <w:rPr>
                <w:sz w:val="19"/>
              </w:rPr>
            </w:pPr>
            <w:r>
              <w:rPr>
                <w:sz w:val="19"/>
              </w:rPr>
              <w:t>66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2268" w:type="dxa"/>
          </w:tcPr>
          <w:p>
            <w:pPr>
              <w:pStyle w:val="nTable"/>
              <w:spacing w:after="40"/>
              <w:rPr>
                <w:sz w:val="19"/>
              </w:rPr>
            </w:pPr>
            <w:r>
              <w:rPr>
                <w:i/>
                <w:sz w:val="19"/>
              </w:rPr>
              <w:t>Betting Control Act Amendment Act (No. 2) 1970</w:t>
            </w:r>
          </w:p>
        </w:tc>
        <w:tc>
          <w:tcPr>
            <w:tcW w:w="1134" w:type="dxa"/>
          </w:tcPr>
          <w:p>
            <w:pPr>
              <w:pStyle w:val="nTable"/>
              <w:spacing w:after="40"/>
              <w:rPr>
                <w:sz w:val="19"/>
              </w:rPr>
            </w:pPr>
            <w:r>
              <w:rPr>
                <w:sz w:val="19"/>
              </w:rPr>
              <w:t>75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 Jan 1971 (see s. 2)</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approved 24 Mar 1971</w:t>
            </w:r>
            <w:del w:id="474" w:author="svcMRProcess" w:date="2020-02-13T23:26:00Z">
              <w:r>
                <w:rPr>
                  <w:b/>
                  <w:sz w:val="19"/>
                </w:rPr>
                <w:br/>
              </w:r>
            </w:del>
            <w:ins w:id="475" w:author="svcMRProcess" w:date="2020-02-13T23:26:00Z">
              <w:r>
                <w:rPr>
                  <w:b/>
                  <w:sz w:val="19"/>
                </w:rPr>
                <w:t xml:space="preserve"> </w:t>
              </w:r>
            </w:ins>
            <w:r>
              <w:rPr>
                <w:sz w:val="19"/>
              </w:rPr>
              <w:t>(includes amendments listed above)</w:t>
            </w:r>
          </w:p>
        </w:tc>
      </w:tr>
      <w:tr>
        <w:trPr>
          <w:cantSplit/>
        </w:trPr>
        <w:tc>
          <w:tcPr>
            <w:tcW w:w="2268" w:type="dxa"/>
          </w:tcPr>
          <w:p>
            <w:pPr>
              <w:pStyle w:val="nTable"/>
              <w:spacing w:after="40"/>
              <w:rPr>
                <w:sz w:val="19"/>
              </w:rPr>
            </w:pPr>
            <w:r>
              <w:rPr>
                <w:i/>
                <w:sz w:val="19"/>
              </w:rPr>
              <w:t xml:space="preserve">Age of Majority Act 1972 </w:t>
            </w:r>
            <w:r>
              <w:rPr>
                <w:sz w:val="19"/>
              </w:rPr>
              <w:t>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rPr>
                <w:sz w:val="19"/>
              </w:rPr>
            </w:pPr>
            <w:r>
              <w:rPr>
                <w:i/>
                <w:sz w:val="19"/>
              </w:rPr>
              <w:t>Betting Control Act Amendment Act 1976</w:t>
            </w:r>
          </w:p>
        </w:tc>
        <w:tc>
          <w:tcPr>
            <w:tcW w:w="1134" w:type="dxa"/>
          </w:tcPr>
          <w:p>
            <w:pPr>
              <w:pStyle w:val="nTable"/>
              <w:spacing w:after="40"/>
              <w:rPr>
                <w:sz w:val="19"/>
              </w:rPr>
            </w:pPr>
            <w:r>
              <w:rPr>
                <w:sz w:val="19"/>
              </w:rPr>
              <w:t>77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 xml:space="preserve">10 Dec 1976 (see s. 2 and </w:t>
            </w:r>
            <w:r>
              <w:rPr>
                <w:i/>
                <w:sz w:val="19"/>
              </w:rPr>
              <w:t>Gazette</w:t>
            </w:r>
            <w:r>
              <w:rPr>
                <w:sz w:val="19"/>
              </w:rPr>
              <w:t xml:space="preserve"> 10 Dec 1976 p. 4879)</w:t>
            </w:r>
          </w:p>
        </w:tc>
      </w:tr>
      <w:tr>
        <w:trPr>
          <w:cantSplit/>
        </w:trPr>
        <w:tc>
          <w:tcPr>
            <w:tcW w:w="2268" w:type="dxa"/>
          </w:tcPr>
          <w:p>
            <w:pPr>
              <w:pStyle w:val="nTable"/>
              <w:spacing w:after="40"/>
              <w:rPr>
                <w:sz w:val="19"/>
              </w:rPr>
            </w:pPr>
            <w:r>
              <w:rPr>
                <w:i/>
                <w:sz w:val="19"/>
              </w:rPr>
              <w:t>Betting Control Act Amendment Act 1978</w:t>
            </w:r>
          </w:p>
        </w:tc>
        <w:tc>
          <w:tcPr>
            <w:tcW w:w="1134" w:type="dxa"/>
          </w:tcPr>
          <w:p>
            <w:pPr>
              <w:pStyle w:val="nTable"/>
              <w:spacing w:after="40"/>
              <w:rPr>
                <w:sz w:val="19"/>
              </w:rPr>
            </w:pPr>
            <w:r>
              <w:rPr>
                <w:sz w:val="19"/>
              </w:rPr>
              <w:t>78 of 1978</w:t>
            </w:r>
          </w:p>
        </w:tc>
        <w:tc>
          <w:tcPr>
            <w:tcW w:w="1134" w:type="dxa"/>
          </w:tcPr>
          <w:p>
            <w:pPr>
              <w:pStyle w:val="nTable"/>
              <w:spacing w:after="40"/>
              <w:rPr>
                <w:sz w:val="19"/>
              </w:rPr>
            </w:pPr>
            <w:r>
              <w:rPr>
                <w:sz w:val="19"/>
              </w:rPr>
              <w:t>27 Oct 1978</w:t>
            </w:r>
          </w:p>
        </w:tc>
        <w:tc>
          <w:tcPr>
            <w:tcW w:w="2552" w:type="dxa"/>
          </w:tcPr>
          <w:p>
            <w:pPr>
              <w:pStyle w:val="nTable"/>
              <w:spacing w:after="40"/>
              <w:rPr>
                <w:sz w:val="19"/>
              </w:rPr>
            </w:pPr>
            <w:r>
              <w:rPr>
                <w:sz w:val="19"/>
              </w:rPr>
              <w:t>27 Oct 1978</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approved 1 Jun 1979</w:t>
            </w:r>
            <w:del w:id="476" w:author="svcMRProcess" w:date="2020-02-13T23:26:00Z">
              <w:r>
                <w:rPr>
                  <w:b/>
                  <w:sz w:val="19"/>
                </w:rPr>
                <w:br/>
              </w:r>
            </w:del>
            <w:ins w:id="477" w:author="svcMRProcess" w:date="2020-02-13T23:26:00Z">
              <w:r>
                <w:rPr>
                  <w:b/>
                  <w:sz w:val="19"/>
                </w:rPr>
                <w:t xml:space="preserve"> </w:t>
              </w:r>
            </w:ins>
            <w:r>
              <w:rPr>
                <w:sz w:val="19"/>
              </w:rPr>
              <w:t>(includes amendments listed above)</w:t>
            </w:r>
          </w:p>
        </w:tc>
      </w:tr>
      <w:tr>
        <w:trPr>
          <w:cantSplit/>
        </w:trPr>
        <w:tc>
          <w:tcPr>
            <w:tcW w:w="2268" w:type="dxa"/>
          </w:tcPr>
          <w:p>
            <w:pPr>
              <w:pStyle w:val="nTable"/>
              <w:spacing w:after="40"/>
              <w:rPr>
                <w:sz w:val="19"/>
              </w:rPr>
            </w:pPr>
            <w:r>
              <w:rPr>
                <w:i/>
                <w:sz w:val="19"/>
              </w:rPr>
              <w:t xml:space="preserve">Acts Amendment (Gaming and Related Provisions) Act 1985 </w:t>
            </w:r>
            <w:r>
              <w:rPr>
                <w:sz w:val="19"/>
              </w:rPr>
              <w:t>Pt. 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1 Jun 1985 (see s. 2 and </w:t>
            </w:r>
            <w:r>
              <w:rPr>
                <w:i/>
                <w:sz w:val="19"/>
              </w:rPr>
              <w:t>Gazette</w:t>
            </w:r>
            <w:r>
              <w:rPr>
                <w:sz w:val="19"/>
              </w:rPr>
              <w:t xml:space="preserve"> 31 May 1985 p. 1877)</w:t>
            </w:r>
          </w:p>
        </w:tc>
      </w:tr>
      <w:tr>
        <w:trPr>
          <w:cantSplit/>
        </w:trPr>
        <w:tc>
          <w:tcPr>
            <w:tcW w:w="2268" w:type="dxa"/>
          </w:tcPr>
          <w:p>
            <w:pPr>
              <w:pStyle w:val="nTable"/>
              <w:spacing w:after="40"/>
              <w:rPr>
                <w:sz w:val="19"/>
              </w:rPr>
            </w:pPr>
            <w:r>
              <w:rPr>
                <w:i/>
                <w:sz w:val="19"/>
              </w:rPr>
              <w:t>Acts Amendment (Betting Control) Act 1985</w:t>
            </w:r>
            <w:r>
              <w:rPr>
                <w:sz w:val="19"/>
              </w:rPr>
              <w:t xml:space="preserve"> Pt. II</w:t>
            </w:r>
          </w:p>
        </w:tc>
        <w:tc>
          <w:tcPr>
            <w:tcW w:w="1134" w:type="dxa"/>
          </w:tcPr>
          <w:p>
            <w:pPr>
              <w:pStyle w:val="nTable"/>
              <w:spacing w:after="40"/>
              <w:rPr>
                <w:sz w:val="19"/>
              </w:rPr>
            </w:pPr>
            <w:r>
              <w:rPr>
                <w:sz w:val="19"/>
              </w:rPr>
              <w:t>34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24 Apr 1985 (see s. 2)</w:t>
            </w:r>
          </w:p>
        </w:tc>
      </w:tr>
      <w:tr>
        <w:trPr>
          <w:cantSplit/>
        </w:trPr>
        <w:tc>
          <w:tcPr>
            <w:tcW w:w="2268" w:type="dxa"/>
          </w:tcPr>
          <w:p>
            <w:pPr>
              <w:pStyle w:val="nTable"/>
              <w:spacing w:after="40"/>
              <w:rPr>
                <w:sz w:val="19"/>
              </w:rPr>
            </w:pPr>
            <w:r>
              <w:rPr>
                <w:i/>
                <w:sz w:val="19"/>
              </w:rPr>
              <w:t>Betting Control Amendment Act 1987</w:t>
            </w:r>
          </w:p>
        </w:tc>
        <w:tc>
          <w:tcPr>
            <w:tcW w:w="1134" w:type="dxa"/>
          </w:tcPr>
          <w:p>
            <w:pPr>
              <w:pStyle w:val="nTable"/>
              <w:spacing w:after="40"/>
              <w:rPr>
                <w:sz w:val="19"/>
              </w:rPr>
            </w:pPr>
            <w:r>
              <w:rPr>
                <w:sz w:val="19"/>
              </w:rPr>
              <w:t>6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6 Nov 1987 (see s. 2 and </w:t>
            </w:r>
            <w:r>
              <w:rPr>
                <w:i/>
                <w:sz w:val="19"/>
              </w:rPr>
              <w:t>Gazette</w:t>
            </w:r>
            <w:r>
              <w:rPr>
                <w:sz w:val="19"/>
              </w:rPr>
              <w:t xml:space="preserve"> 6 Nov 1987 p. 4069)</w:t>
            </w:r>
          </w:p>
        </w:tc>
      </w:tr>
      <w:tr>
        <w:trPr>
          <w:cantSplit/>
        </w:trPr>
        <w:tc>
          <w:tcPr>
            <w:tcW w:w="2268" w:type="dxa"/>
          </w:tcPr>
          <w:p>
            <w:pPr>
              <w:pStyle w:val="nTable"/>
              <w:spacing w:after="40"/>
              <w:rPr>
                <w:sz w:val="19"/>
              </w:rPr>
            </w:pPr>
            <w:r>
              <w:rPr>
                <w:i/>
                <w:sz w:val="19"/>
              </w:rPr>
              <w:t xml:space="preserve">Acts Amendment and Repeal (Gaming) Act 1987 </w:t>
            </w:r>
            <w:r>
              <w:rPr>
                <w:sz w:val="19"/>
              </w:rPr>
              <w:t>Pt. II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2 May 1988 (see s. 2 and </w:t>
            </w:r>
            <w:r>
              <w:rPr>
                <w:i/>
                <w:sz w:val="19"/>
              </w:rPr>
              <w:t>Gazette</w:t>
            </w:r>
            <w:r>
              <w:rPr>
                <w:sz w:val="19"/>
              </w:rPr>
              <w:t xml:space="preserve"> 29 Apr 1988 p. 1292)</w:t>
            </w:r>
          </w:p>
        </w:tc>
      </w:tr>
      <w:tr>
        <w:trPr>
          <w:cantSplit/>
        </w:trPr>
        <w:tc>
          <w:tcPr>
            <w:tcW w:w="2268" w:type="dxa"/>
          </w:tcPr>
          <w:p>
            <w:pPr>
              <w:pStyle w:val="nTable"/>
              <w:spacing w:after="40"/>
              <w:rPr>
                <w:sz w:val="19"/>
              </w:rPr>
            </w:pPr>
            <w:r>
              <w:rPr>
                <w:i/>
                <w:sz w:val="19"/>
              </w:rPr>
              <w:t>Betting Control Amendment Act (No. 2) 1987</w:t>
            </w:r>
          </w:p>
        </w:tc>
        <w:tc>
          <w:tcPr>
            <w:tcW w:w="1134" w:type="dxa"/>
          </w:tcPr>
          <w:p>
            <w:pPr>
              <w:pStyle w:val="nTable"/>
              <w:spacing w:after="40"/>
              <w:rPr>
                <w:sz w:val="19"/>
              </w:rPr>
            </w:pPr>
            <w:r>
              <w:rPr>
                <w:sz w:val="19"/>
              </w:rPr>
              <w:t>78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8" w:type="dxa"/>
          </w:tcPr>
          <w:p>
            <w:pPr>
              <w:pStyle w:val="nTable"/>
              <w:spacing w:after="40"/>
              <w:rPr>
                <w:sz w:val="19"/>
              </w:rPr>
            </w:pPr>
            <w:r>
              <w:rPr>
                <w:i/>
                <w:sz w:val="19"/>
              </w:rPr>
              <w:t xml:space="preserve">Acts Amendment (Betting Tax and Stamp Duty) Act (No. 2) 1990 </w:t>
            </w:r>
            <w:r>
              <w:rPr>
                <w:sz w:val="19"/>
              </w:rPr>
              <w:t xml:space="preserve">Pt. 3 </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 Aug 1989 (see s. 2)</w:t>
            </w:r>
          </w:p>
        </w:tc>
      </w:tr>
      <w:tr>
        <w:trPr>
          <w:cantSplit/>
        </w:trPr>
        <w:tc>
          <w:tcPr>
            <w:tcW w:w="2268" w:type="dxa"/>
          </w:tcPr>
          <w:p>
            <w:pPr>
              <w:pStyle w:val="nTable"/>
              <w:spacing w:after="40"/>
              <w:rPr>
                <w:sz w:val="19"/>
              </w:rPr>
            </w:pPr>
            <w:r>
              <w:rPr>
                <w:i/>
                <w:sz w:val="19"/>
              </w:rPr>
              <w:t xml:space="preserve">Acts Amendment and Repeal (Betting) Act 1992 </w:t>
            </w:r>
            <w:r>
              <w:rPr>
                <w:sz w:val="19"/>
              </w:rPr>
              <w:t>Pt. 3 and 4</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Pt. 3: 10 Jul 1992 (see s. 2(1) and </w:t>
            </w:r>
            <w:r>
              <w:rPr>
                <w:i/>
                <w:sz w:val="19"/>
              </w:rPr>
              <w:t>Gazette</w:t>
            </w:r>
            <w:r>
              <w:rPr>
                <w:sz w:val="19"/>
              </w:rPr>
              <w:t xml:space="preserve"> 10 Jul 1992 p. 3185);</w:t>
            </w:r>
            <w:r>
              <w:rPr>
                <w:sz w:val="19"/>
              </w:rPr>
              <w:br/>
              <w:t xml:space="preserve">Pt. 4: 31 Jul 1992 (see s. 2(2) and </w:t>
            </w:r>
            <w:r>
              <w:rPr>
                <w:i/>
                <w:sz w:val="19"/>
              </w:rPr>
              <w:t>Gazette</w:t>
            </w:r>
            <w:r>
              <w:rPr>
                <w:sz w:val="19"/>
              </w:rPr>
              <w:t xml:space="preserve"> 10 Jul 1992 p. 3185)</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as at 20 Aug 1992 </w:t>
            </w:r>
            <w:r>
              <w:rPr>
                <w:sz w:val="19"/>
              </w:rPr>
              <w:t>(includes amendments listed above)</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 xml:space="preserve">Acts Amendment (Racing and Betting Legislation) Act 1995 </w:t>
            </w:r>
            <w:r>
              <w:rPr>
                <w:sz w:val="19"/>
              </w:rPr>
              <w:t>Pt. 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20 Feb 1997</w:t>
            </w:r>
            <w:del w:id="478" w:author="svcMRProcess" w:date="2020-02-13T23:26:00Z">
              <w:r>
                <w:rPr>
                  <w:b/>
                  <w:sz w:val="19"/>
                </w:rPr>
                <w:br/>
              </w:r>
            </w:del>
            <w:ins w:id="479" w:author="svcMRProcess" w:date="2020-02-13T23:26:00Z">
              <w:r>
                <w:rPr>
                  <w:b/>
                  <w:sz w:val="19"/>
                </w:rPr>
                <w:t xml:space="preserve"> </w:t>
              </w:r>
            </w:ins>
            <w:r>
              <w:rPr>
                <w:sz w:val="19"/>
              </w:rPr>
              <w:t>(includes amendments listed above)</w:t>
            </w:r>
          </w:p>
        </w:tc>
      </w:tr>
      <w:tr>
        <w:trPr>
          <w:cantSplit/>
        </w:trPr>
        <w:tc>
          <w:tcPr>
            <w:tcW w:w="2268" w:type="dxa"/>
          </w:tcPr>
          <w:p>
            <w:pPr>
              <w:pStyle w:val="nTable"/>
              <w:spacing w:after="40"/>
              <w:rPr>
                <w:sz w:val="19"/>
              </w:rPr>
            </w:pPr>
            <w:r>
              <w:rPr>
                <w:i/>
                <w:sz w:val="19"/>
              </w:rPr>
              <w:t xml:space="preserve">Statutes (Repeals and Minor Amendments) Act 1997 </w:t>
            </w:r>
            <w:r>
              <w:rPr>
                <w:sz w:val="19"/>
              </w:rPr>
              <w:t>s. 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i/>
                <w:sz w:val="19"/>
                <w:vertAlign w:val="superscript"/>
              </w:rPr>
            </w:pPr>
            <w:r>
              <w:rPr>
                <w:i/>
                <w:sz w:val="19"/>
              </w:rPr>
              <w:t>Betting Control Amendment Act 1998</w:t>
            </w:r>
            <w:r>
              <w:rPr>
                <w:i/>
                <w:sz w:val="19"/>
                <w:vertAlign w:val="superscript"/>
              </w:rPr>
              <w:t> </w:t>
            </w:r>
            <w:del w:id="480" w:author="svcMRProcess" w:date="2020-02-13T23:26:00Z">
              <w:r>
                <w:rPr>
                  <w:sz w:val="19"/>
                  <w:vertAlign w:val="superscript"/>
                </w:rPr>
                <w:delText>4</w:delText>
              </w:r>
            </w:del>
            <w:ins w:id="481" w:author="svcMRProcess" w:date="2020-02-13T23:26:00Z">
              <w:r>
                <w:rPr>
                  <w:sz w:val="19"/>
                  <w:vertAlign w:val="superscript"/>
                </w:rPr>
                <w:t>3</w:t>
              </w:r>
            </w:ins>
          </w:p>
        </w:tc>
        <w:tc>
          <w:tcPr>
            <w:tcW w:w="1134" w:type="dxa"/>
          </w:tcPr>
          <w:p>
            <w:pPr>
              <w:pStyle w:val="nTable"/>
              <w:spacing w:after="40"/>
              <w:rPr>
                <w:sz w:val="19"/>
              </w:rPr>
            </w:pPr>
            <w:r>
              <w:rPr>
                <w:sz w:val="19"/>
              </w:rPr>
              <w:t>17 of 1998</w:t>
            </w:r>
          </w:p>
        </w:tc>
        <w:tc>
          <w:tcPr>
            <w:tcW w:w="1134" w:type="dxa"/>
          </w:tcPr>
          <w:p>
            <w:pPr>
              <w:pStyle w:val="nTable"/>
              <w:spacing w:after="40"/>
              <w:rPr>
                <w:sz w:val="19"/>
              </w:rPr>
            </w:pPr>
            <w:r>
              <w:rPr>
                <w:sz w:val="19"/>
              </w:rPr>
              <w:t>15 Jun 1998</w:t>
            </w:r>
          </w:p>
        </w:tc>
        <w:tc>
          <w:tcPr>
            <w:tcW w:w="2552" w:type="dxa"/>
          </w:tcPr>
          <w:p>
            <w:pPr>
              <w:pStyle w:val="nTable"/>
              <w:spacing w:after="40"/>
              <w:rPr>
                <w:sz w:val="19"/>
              </w:rPr>
            </w:pPr>
            <w:r>
              <w:rPr>
                <w:sz w:val="19"/>
              </w:rPr>
              <w:t xml:space="preserve">1 Aug 1998 (see s. 2 and </w:t>
            </w:r>
            <w:r>
              <w:rPr>
                <w:i/>
                <w:sz w:val="19"/>
              </w:rPr>
              <w:t>Gazette</w:t>
            </w:r>
            <w:r>
              <w:rPr>
                <w:sz w:val="19"/>
              </w:rPr>
              <w:t xml:space="preserve"> 21 Jul 1998 p. 3825)</w:t>
            </w:r>
          </w:p>
        </w:tc>
      </w:tr>
      <w:tr>
        <w:trPr>
          <w:cantSplit/>
        </w:trPr>
        <w:tc>
          <w:tcPr>
            <w:tcW w:w="2268" w:type="dxa"/>
          </w:tcPr>
          <w:p>
            <w:pPr>
              <w:pStyle w:val="nTable"/>
              <w:spacing w:after="40"/>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rPr>
                <w:sz w:val="19"/>
              </w:rPr>
            </w:pPr>
            <w:r>
              <w:rPr>
                <w:i/>
                <w:sz w:val="19"/>
              </w:rPr>
              <w:t>Acts Amendment (Fixed Odds Betting) Act 1999</w:t>
            </w:r>
            <w:r>
              <w:rPr>
                <w:sz w:val="19"/>
              </w:rPr>
              <w:t xml:space="preserve"> Pt. 3</w:t>
            </w:r>
          </w:p>
        </w:tc>
        <w:tc>
          <w:tcPr>
            <w:tcW w:w="1134" w:type="dxa"/>
          </w:tcPr>
          <w:p>
            <w:pPr>
              <w:pStyle w:val="nTable"/>
              <w:spacing w:after="40"/>
              <w:rPr>
                <w:sz w:val="19"/>
              </w:rPr>
            </w:pPr>
            <w:r>
              <w:rPr>
                <w:sz w:val="19"/>
              </w:rPr>
              <w:t>40 of 1999</w:t>
            </w:r>
          </w:p>
        </w:tc>
        <w:tc>
          <w:tcPr>
            <w:tcW w:w="1134" w:type="dxa"/>
          </w:tcPr>
          <w:p>
            <w:pPr>
              <w:pStyle w:val="nTable"/>
              <w:spacing w:after="40"/>
              <w:rPr>
                <w:sz w:val="19"/>
              </w:rPr>
            </w:pPr>
            <w:r>
              <w:rPr>
                <w:sz w:val="19"/>
              </w:rPr>
              <w:t>16 Nov 1999</w:t>
            </w:r>
          </w:p>
        </w:tc>
        <w:tc>
          <w:tcPr>
            <w:tcW w:w="2552" w:type="dxa"/>
          </w:tcPr>
          <w:p>
            <w:pPr>
              <w:pStyle w:val="nTable"/>
              <w:spacing w:after="40"/>
              <w:rPr>
                <w:sz w:val="19"/>
              </w:rPr>
            </w:pPr>
            <w:r>
              <w:rPr>
                <w:sz w:val="19"/>
              </w:rPr>
              <w:t xml:space="preserve">15 Jan 2000 (see s. 2 and </w:t>
            </w:r>
            <w:r>
              <w:rPr>
                <w:i/>
                <w:sz w:val="19"/>
              </w:rPr>
              <w:t>Gazette</w:t>
            </w:r>
            <w:r>
              <w:rPr>
                <w:sz w:val="19"/>
              </w:rPr>
              <w:t xml:space="preserve"> 14 Jan 2000 p. 153)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12 Apr 2002</w:t>
            </w:r>
            <w:del w:id="482" w:author="svcMRProcess" w:date="2020-02-13T23:26:00Z">
              <w:r>
                <w:rPr>
                  <w:b/>
                  <w:sz w:val="19"/>
                </w:rPr>
                <w:br/>
              </w:r>
            </w:del>
            <w:ins w:id="483" w:author="svcMRProcess" w:date="2020-02-13T23:26:00Z">
              <w:r>
                <w:rPr>
                  <w:b/>
                  <w:sz w:val="19"/>
                </w:rPr>
                <w:t xml:space="preserve"> </w:t>
              </w:r>
            </w:ins>
            <w:r>
              <w:rPr>
                <w:sz w:val="19"/>
              </w:rPr>
              <w:t>(includes amendments listed above)</w:t>
            </w:r>
          </w:p>
        </w:tc>
      </w:tr>
      <w:tr>
        <w:trPr>
          <w:cantSplit/>
        </w:trPr>
        <w:tc>
          <w:tcPr>
            <w:tcW w:w="2268" w:type="dxa"/>
          </w:tcPr>
          <w:p>
            <w:pPr>
              <w:pStyle w:val="nTable"/>
              <w:spacing w:after="40"/>
              <w:rPr>
                <w:i/>
                <w:sz w:val="19"/>
              </w:rPr>
            </w:pPr>
            <w:r>
              <w:rPr>
                <w:i/>
                <w:sz w:val="19"/>
              </w:rPr>
              <w:t>Betting Legislation Amendment Act 2002</w:t>
            </w:r>
            <w:r>
              <w:rPr>
                <w:sz w:val="19"/>
              </w:rPr>
              <w:t xml:space="preserve"> Pt. 2</w:t>
            </w:r>
          </w:p>
        </w:tc>
        <w:tc>
          <w:tcPr>
            <w:tcW w:w="1134" w:type="dxa"/>
          </w:tcPr>
          <w:p>
            <w:pPr>
              <w:pStyle w:val="nTable"/>
              <w:spacing w:after="40"/>
              <w:rPr>
                <w:sz w:val="19"/>
              </w:rPr>
            </w:pPr>
            <w:r>
              <w:rPr>
                <w:sz w:val="19"/>
              </w:rPr>
              <w:t>13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Pt. 7 Div. 1</w:t>
            </w:r>
            <w:r>
              <w:rPr>
                <w:sz w:val="19"/>
                <w:vertAlign w:val="superscript"/>
              </w:rPr>
              <w:t> </w:t>
            </w:r>
            <w:ins w:id="484" w:author="svcMRProcess" w:date="2020-02-13T23:26:00Z">
              <w:r>
                <w:rPr>
                  <w:sz w:val="19"/>
                  <w:vertAlign w:val="superscript"/>
                </w:rPr>
                <w:t xml:space="preserve">4, </w:t>
              </w:r>
            </w:ins>
            <w:r>
              <w:rPr>
                <w:sz w:val="19"/>
                <w:vertAlign w:val="superscript"/>
              </w:rPr>
              <w:t>5</w:t>
            </w:r>
            <w:del w:id="485" w:author="svcMRProcess" w:date="2020-02-13T23:26:00Z">
              <w:r>
                <w:rPr>
                  <w:sz w:val="19"/>
                  <w:vertAlign w:val="superscript"/>
                </w:rPr>
                <w:delText>, 6</w:delText>
              </w:r>
            </w:del>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74, 76(b), (d)</w:t>
            </w:r>
            <w:r>
              <w:rPr>
                <w:sz w:val="19"/>
              </w:rPr>
              <w:noBreakHyphen/>
              <w:t>(g), 77(1), 80, 81(1)</w:t>
            </w:r>
            <w:r>
              <w:rPr>
                <w:sz w:val="19"/>
              </w:rPr>
              <w:noBreakHyphen/>
              <w:t>(4), 82</w:t>
            </w:r>
            <w:r>
              <w:rPr>
                <w:sz w:val="19"/>
              </w:rPr>
              <w:noBreakHyphen/>
              <w:t xml:space="preserve">84, 95, 98: 1 Aug 2003 (see s. 2 and </w:t>
            </w:r>
            <w:r>
              <w:rPr>
                <w:i/>
                <w:sz w:val="19"/>
              </w:rPr>
              <w:t>Gazette</w:t>
            </w:r>
            <w:r>
              <w:rPr>
                <w:sz w:val="19"/>
              </w:rPr>
              <w:t xml:space="preserve"> 29 Jul 2003 p. 3259); </w:t>
            </w:r>
            <w:del w:id="486" w:author="svcMRProcess" w:date="2020-02-13T23:26:00Z">
              <w:r>
                <w:rPr>
                  <w:sz w:val="19"/>
                </w:rPr>
                <w:delText xml:space="preserve"> </w:delText>
              </w:r>
            </w:del>
            <w:r>
              <w:rPr>
                <w:sz w:val="19"/>
              </w:rPr>
              <w:t>s. 75, 76(a), (c) and (h), 77(2), 78, 79, 81(5) and (6), 85</w:t>
            </w:r>
            <w:r>
              <w:rPr>
                <w:sz w:val="19"/>
              </w:rPr>
              <w:noBreakHyphen/>
              <w:t>94, 96, 97 and 99</w:t>
            </w:r>
            <w:r>
              <w:rPr>
                <w:sz w:val="19"/>
              </w:rPr>
              <w:noBreakHyphen/>
            </w:r>
            <w:del w:id="487" w:author="svcMRProcess" w:date="2020-02-13T23:26:00Z">
              <w:r>
                <w:rPr>
                  <w:sz w:val="19"/>
                </w:rPr>
                <w:delText>115</w:delText>
              </w:r>
            </w:del>
            <w:ins w:id="488" w:author="svcMRProcess" w:date="2020-02-13T23:26:00Z">
              <w:r>
                <w:rPr>
                  <w:sz w:val="19"/>
                </w:rPr>
                <w:t>103</w:t>
              </w:r>
            </w:ins>
            <w:r>
              <w:rPr>
                <w:sz w:val="19"/>
              </w:rPr>
              <w:t xml:space="preserve">: 30 Jan 2004 (see s. 2 and </w:t>
            </w:r>
            <w:r>
              <w:rPr>
                <w:i/>
                <w:sz w:val="19"/>
              </w:rPr>
              <w:t>Gazette</w:t>
            </w:r>
            <w:r>
              <w:rPr>
                <w:sz w:val="19"/>
              </w:rPr>
              <w:t xml:space="preserve"> 30 Jan 2004 p. 397)</w:t>
            </w:r>
          </w:p>
        </w:tc>
      </w:tr>
      <w:tr>
        <w:trPr>
          <w:cantSplit/>
        </w:trP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rPr>
          <w:del w:id="489" w:author="svcMRProcess" w:date="2020-02-13T23:26:00Z"/>
          <w:snapToGrid w:val="0"/>
        </w:rPr>
      </w:pPr>
      <w:del w:id="490" w:author="svcMRProcess" w:date="2020-02-13T23:26:00Z">
        <w:r>
          <w:rPr>
            <w:snapToGrid w:val="0"/>
            <w:vertAlign w:val="superscript"/>
          </w:rPr>
          <w:delText>2</w:delText>
        </w:r>
        <w:r>
          <w:rPr>
            <w:snapToGrid w:val="0"/>
          </w:rPr>
          <w:tab/>
          <w:delText xml:space="preserve">Under the </w:delText>
        </w:r>
        <w:r>
          <w:rPr>
            <w:i/>
            <w:snapToGrid w:val="0"/>
          </w:rPr>
          <w:delText>Alteration of Statutory Designations Order (No. 3) 2001</w:delText>
        </w:r>
        <w:r>
          <w:rPr>
            <w:snapToGrid w:val="0"/>
          </w:rPr>
          <w:delText xml:space="preserve"> the former Office of Racing Gaming and Liquor is now called the Department of Racing, Gaming and Liquor.</w:delText>
        </w:r>
      </w:del>
    </w:p>
    <w:p>
      <w:pPr>
        <w:pStyle w:val="nSubsection"/>
        <w:rPr>
          <w:del w:id="491" w:author="svcMRProcess" w:date="2020-02-13T23:26:00Z"/>
          <w:snapToGrid w:val="0"/>
        </w:rPr>
      </w:pPr>
      <w:del w:id="492" w:author="svcMRProcess" w:date="2020-02-13T23:26:00Z">
        <w:r>
          <w:rPr>
            <w:snapToGrid w:val="0"/>
            <w:vertAlign w:val="superscript"/>
          </w:rPr>
          <w:delText>3</w:delText>
        </w:r>
        <w:r>
          <w:rPr>
            <w:snapToGrid w:val="0"/>
          </w:rPr>
          <w:tab/>
          <w:delText xml:space="preserve">Repealed by the </w:delText>
        </w:r>
        <w:r>
          <w:rPr>
            <w:i/>
            <w:snapToGrid w:val="0"/>
          </w:rPr>
          <w:delText xml:space="preserve">Associations Incorporation Act 1987 </w:delText>
        </w:r>
        <w:r>
          <w:rPr>
            <w:snapToGrid w:val="0"/>
          </w:rPr>
          <w:delText>s. 47.</w:delText>
        </w:r>
      </w:del>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493" w:author="svcMRProcess" w:date="2020-02-13T23:26:00Z"/>
        </w:trPr>
        <w:tc>
          <w:tcPr>
            <w:tcW w:w="7088" w:type="dxa"/>
            <w:tcBorders>
              <w:bottom w:val="single" w:sz="8" w:space="0" w:color="auto"/>
            </w:tcBorders>
          </w:tcPr>
          <w:p>
            <w:pPr>
              <w:pStyle w:val="nTable"/>
              <w:spacing w:after="40"/>
              <w:rPr>
                <w:ins w:id="494" w:author="svcMRProcess" w:date="2020-02-13T23:26:00Z"/>
                <w:snapToGrid w:val="0"/>
                <w:sz w:val="19"/>
                <w:lang w:val="en-US"/>
              </w:rPr>
            </w:pPr>
            <w:del w:id="495" w:author="svcMRProcess" w:date="2020-02-13T23:26:00Z">
              <w:r>
                <w:rPr>
                  <w:snapToGrid w:val="0"/>
                  <w:vertAlign w:val="superscript"/>
                </w:rPr>
                <w:delText>4</w:delText>
              </w:r>
            </w:del>
            <w:ins w:id="496" w:author="svcMRProcess" w:date="2020-02-13T23:26:00Z">
              <w:r>
                <w:rPr>
                  <w:b/>
                  <w:sz w:val="19"/>
                </w:rPr>
                <w:t xml:space="preserve">Reprint 8: The </w:t>
              </w:r>
              <w:r>
                <w:rPr>
                  <w:b/>
                  <w:i/>
                  <w:sz w:val="19"/>
                </w:rPr>
                <w:t>Betting Control Act 1954</w:t>
              </w:r>
              <w:r>
                <w:rPr>
                  <w:b/>
                  <w:sz w:val="19"/>
                </w:rPr>
                <w:t xml:space="preserve"> as at 20 Oct 2006 </w:t>
              </w:r>
              <w:r>
                <w:rPr>
                  <w:sz w:val="19"/>
                </w:rPr>
                <w:t>(includes amendments listed above)</w:t>
              </w:r>
            </w:ins>
          </w:p>
        </w:tc>
      </w:tr>
    </w:tbl>
    <w:p>
      <w:pPr>
        <w:pStyle w:val="nSubsection"/>
        <w:rPr>
          <w:ins w:id="497" w:author="svcMRProcess" w:date="2020-02-13T23:26:00Z"/>
          <w:snapToGrid w:val="0"/>
        </w:rPr>
      </w:pPr>
      <w:ins w:id="498" w:author="svcMRProcess" w:date="2020-02-13T23:26:00Z">
        <w:r>
          <w:rPr>
            <w:snapToGrid w:val="0"/>
            <w:vertAlign w:val="superscript"/>
          </w:rPr>
          <w:t>2</w:t>
        </w:r>
        <w:r>
          <w:rPr>
            <w:snapToGrid w:val="0"/>
          </w:rPr>
          <w:tab/>
          <w:t xml:space="preserve">Repealed by the </w:t>
        </w:r>
        <w:r>
          <w:rPr>
            <w:i/>
            <w:color w:val="000000"/>
          </w:rPr>
          <w:t>Acts Amendment and Repeal (Betting) Act 1992</w:t>
        </w:r>
        <w:r>
          <w:rPr>
            <w:snapToGrid w:val="0"/>
          </w:rPr>
          <w:t>.</w:t>
        </w:r>
      </w:ins>
    </w:p>
    <w:p>
      <w:pPr>
        <w:pStyle w:val="nSubsection"/>
        <w:rPr>
          <w:snapToGrid w:val="0"/>
        </w:rPr>
      </w:pPr>
      <w:ins w:id="499" w:author="svcMRProcess" w:date="2020-02-13T23:26:00Z">
        <w:r>
          <w:rPr>
            <w:snapToGrid w:val="0"/>
            <w:vertAlign w:val="superscript"/>
          </w:rPr>
          <w:t>3</w:t>
        </w:r>
      </w:ins>
      <w:r>
        <w:rPr>
          <w:snapToGrid w:val="0"/>
        </w:rPr>
        <w:tab/>
        <w:t xml:space="preserve">The </w:t>
      </w:r>
      <w:r>
        <w:rPr>
          <w:i/>
          <w:snapToGrid w:val="0"/>
        </w:rPr>
        <w:t>Betting Control Amendment Act 1998</w:t>
      </w:r>
      <w:r>
        <w:rPr>
          <w:snapToGrid w:val="0"/>
        </w:rPr>
        <w:t xml:space="preserve"> s. 5(2) and (3) read as follows:</w:t>
      </w:r>
    </w:p>
    <w:p>
      <w:pPr>
        <w:pStyle w:val="MiscOpen"/>
        <w:rPr>
          <w:snapToGrid w:val="0"/>
        </w:rPr>
      </w:pPr>
      <w:r>
        <w:rPr>
          <w:snapToGrid w:val="0"/>
        </w:rPr>
        <w:t>“</w:t>
      </w:r>
    </w:p>
    <w:p>
      <w:pPr>
        <w:pStyle w:val="nzSubsection"/>
      </w:pPr>
      <w:r>
        <w:tab/>
        <w:t>(2)</w:t>
      </w:r>
      <w:r>
        <w:tab/>
        <w:t>An approval which was in force under section 4A of the principal Act immediately before the commencement of this section continues in force, subject to subsection (3), for the remainder of the period for which it would, but for this section, have continued in force, and the principal Act as in force immediately before that commencement continues to apply to and in relation to that approval accordingly.</w:t>
      </w:r>
    </w:p>
    <w:p>
      <w:pPr>
        <w:pStyle w:val="nzSubsection"/>
        <w:rPr>
          <w:spacing w:val="-2"/>
        </w:rPr>
      </w:pPr>
      <w:r>
        <w:rPr>
          <w:spacing w:val="-2"/>
        </w:rPr>
        <w:tab/>
        <w:t>(3)</w:t>
      </w:r>
      <w:r>
        <w:rPr>
          <w:spacing w:val="-2"/>
        </w:rPr>
        <w:tab/>
        <w:t xml:space="preserve">An </w:t>
      </w:r>
      <w:r>
        <w:t>approval</w:t>
      </w:r>
      <w:r>
        <w:rPr>
          <w:spacing w:val="-2"/>
        </w:rPr>
        <w:t xml:space="preserve"> continued in force by subsection (2) cannot be renewed, but may be cancelled or suspended under section 4A(8) of the principal Act as in force immediately before the commencement of this section during the period referred to in subsection (2).</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Betting Control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An </w:t>
      </w:r>
      <w:r>
        <w:t>authority</w:t>
      </w:r>
      <w:r>
        <w:rPr>
          <w:snapToGrid w:val="0"/>
        </w:rPr>
        <w:t xml:space="preserve"> in force under section 5(1a) of the principal Act immediately before the commencement of this section (</w:t>
      </w:r>
      <w:r>
        <w:rPr>
          <w:b/>
          <w:snapToGrid w:val="0"/>
        </w:rPr>
        <w:t>“the old authority”</w:t>
      </w:r>
      <w:r>
        <w:rPr>
          <w:snapToGrid w:val="0"/>
        </w:rPr>
        <w:t xml:space="preserve">) continues in force, subject to the principal Act as amended by this Act, as if — </w:t>
      </w:r>
    </w:p>
    <w:p>
      <w:pPr>
        <w:pStyle w:val="nzIndenta"/>
        <w:rPr>
          <w:snapToGrid w:val="0"/>
        </w:rPr>
      </w:pPr>
      <w:r>
        <w:rPr>
          <w:snapToGrid w:val="0"/>
        </w:rPr>
        <w:tab/>
        <w:t>(a)</w:t>
      </w:r>
      <w:r>
        <w:rPr>
          <w:snapToGrid w:val="0"/>
        </w:rPr>
        <w:tab/>
        <w:t>the old authority were an authority given under section 5(2) as inserted by this section (</w:t>
      </w:r>
      <w:r>
        <w:rPr>
          <w:b/>
          <w:snapToGrid w:val="0"/>
        </w:rPr>
        <w:t>“the new authority”</w:t>
      </w:r>
      <w:r>
        <w:rPr>
          <w:snapToGrid w:val="0"/>
        </w:rPr>
        <w:t>); and</w:t>
      </w:r>
    </w:p>
    <w:p>
      <w:pPr>
        <w:pStyle w:val="nzIndenta"/>
        <w:rPr>
          <w:snapToGrid w:val="0"/>
        </w:rPr>
      </w:pPr>
      <w:r>
        <w:rPr>
          <w:snapToGrid w:val="0"/>
        </w:rPr>
        <w:tab/>
        <w:t>(b)</w:t>
      </w:r>
      <w:r>
        <w:rPr>
          <w:snapToGrid w:val="0"/>
        </w:rPr>
        <w:tab/>
        <w:t>the premises to which the old authority relates were specified in the new authority.</w:t>
      </w:r>
    </w:p>
    <w:p>
      <w:pPr>
        <w:pStyle w:val="MiscClose"/>
        <w:rPr>
          <w:snapToGrid w:val="0"/>
        </w:rPr>
      </w:pPr>
      <w:r>
        <w:rPr>
          <w:snapToGrid w:val="0"/>
        </w:rPr>
        <w:t>”.</w:t>
      </w:r>
    </w:p>
    <w:p>
      <w:pPr>
        <w:pStyle w:val="nSubsection"/>
      </w:pPr>
      <w:del w:id="500" w:author="svcMRProcess" w:date="2020-02-13T23:26:00Z">
        <w:r>
          <w:rPr>
            <w:vertAlign w:val="superscript"/>
          </w:rPr>
          <w:delText>5</w:delText>
        </w:r>
      </w:del>
      <w:ins w:id="501" w:author="svcMRProcess" w:date="2020-02-13T23:26:00Z">
        <w:r>
          <w:rPr>
            <w:vertAlign w:val="superscript"/>
          </w:rPr>
          <w:t>4</w:t>
        </w:r>
      </w:ins>
      <w:r>
        <w:tab/>
        <w:t xml:space="preserve">The </w:t>
      </w:r>
      <w:r>
        <w:rPr>
          <w:i/>
        </w:rPr>
        <w:t>Racing and Gambling Legislation Amendment and Repeal Act 2003</w:t>
      </w:r>
      <w:r>
        <w:t xml:space="preserve"> s. 19 reads as follows:</w:t>
      </w:r>
    </w:p>
    <w:p>
      <w:pPr>
        <w:pStyle w:val="MiscOpen"/>
      </w:pPr>
      <w:r>
        <w:t>“</w:t>
      </w:r>
    </w:p>
    <w:p>
      <w:pPr>
        <w:pStyle w:val="nzHeading5"/>
        <w:spacing w:before="0"/>
      </w:pPr>
      <w:bookmarkStart w:id="502" w:name="_Toc20219085"/>
      <w:bookmarkStart w:id="503" w:name="_Toc20710666"/>
      <w:bookmarkStart w:id="504" w:name="_Toc22632825"/>
      <w:bookmarkStart w:id="505" w:name="_Toc44146574"/>
      <w:r>
        <w:rPr>
          <w:rStyle w:val="CharSectno"/>
        </w:rPr>
        <w:t>19</w:t>
      </w:r>
      <w:r>
        <w:t>.</w:t>
      </w:r>
      <w:r>
        <w:tab/>
        <w:t>Power to amend regulations</w:t>
      </w:r>
      <w:bookmarkEnd w:id="502"/>
      <w:bookmarkEnd w:id="503"/>
      <w:bookmarkEnd w:id="504"/>
      <w:bookmarkEnd w:id="505"/>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del w:id="506" w:author="svcMRProcess" w:date="2020-02-13T23:26:00Z">
        <w:r>
          <w:rPr>
            <w:snapToGrid w:val="0"/>
            <w:vertAlign w:val="superscript"/>
          </w:rPr>
          <w:delText>6</w:delText>
        </w:r>
      </w:del>
      <w:ins w:id="507" w:author="svcMRProcess" w:date="2020-02-13T23:26:00Z">
        <w:r>
          <w:rPr>
            <w:snapToGrid w:val="0"/>
            <w:vertAlign w:val="superscript"/>
          </w:rPr>
          <w:t>5</w:t>
        </w:r>
      </w:ins>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MiscOpen"/>
        <w:keepNext w:val="0"/>
        <w:spacing w:before="60"/>
        <w:rPr>
          <w:sz w:val="20"/>
        </w:rPr>
      </w:pPr>
      <w:r>
        <w:rPr>
          <w:sz w:val="20"/>
        </w:rPr>
        <w:t>“</w:t>
      </w: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bookmarkStart w:id="508" w:name="_Toc44146659"/>
      <w:r>
        <w:t>104.</w:t>
      </w:r>
      <w:r>
        <w:tab/>
        <w:t>Intention</w:t>
      </w:r>
      <w:bookmarkEnd w:id="508"/>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bookmarkStart w:id="509" w:name="_Toc44146660"/>
      <w:r>
        <w:t>105.</w:t>
      </w:r>
      <w:r>
        <w:tab/>
        <w:t>Definitions</w:t>
      </w:r>
      <w:bookmarkEnd w:id="509"/>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t>“</w:t>
      </w:r>
      <w:r>
        <w:rPr>
          <w:b/>
          <w:bCs/>
        </w:rPr>
        <w:t>BCB</w:t>
      </w:r>
      <w:r>
        <w:rPr>
          <w:b/>
        </w:rPr>
        <w:t>”</w:t>
      </w:r>
      <w:r>
        <w:t xml:space="preserve"> means the Betting Control Board established under the BC Act;</w:t>
      </w:r>
    </w:p>
    <w:p>
      <w:pPr>
        <w:pStyle w:val="nzDefstart"/>
      </w:pPr>
      <w:r>
        <w:rPr>
          <w:b/>
        </w:rPr>
        <w:tab/>
        <w:t>“</w:t>
      </w:r>
      <w:r>
        <w:rPr>
          <w:b/>
          <w:bCs/>
        </w:rPr>
        <w:t>BC Act</w:t>
      </w:r>
      <w:r>
        <w:rPr>
          <w:b/>
        </w:rPr>
        <w:t>”</w:t>
      </w:r>
      <w:r>
        <w:t xml:space="preserve"> means the </w:t>
      </w:r>
      <w:r>
        <w:rPr>
          <w:i/>
        </w:rPr>
        <w:t>Betting Control Act 1954</w:t>
      </w:r>
      <w:r>
        <w:t>;</w:t>
      </w:r>
    </w:p>
    <w:p>
      <w:pPr>
        <w:pStyle w:val="nzDefstart"/>
      </w:pPr>
      <w:r>
        <w:rPr>
          <w:b/>
        </w:rPr>
        <w:tab/>
        <w:t>“</w:t>
      </w:r>
      <w:r>
        <w:rPr>
          <w:b/>
          <w:bCs/>
        </w:rPr>
        <w:t>Commission</w:t>
      </w:r>
      <w:r>
        <w:rPr>
          <w:b/>
        </w:rPr>
        <w:t>”</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bookmarkStart w:id="510" w:name="_Toc44146661"/>
      <w:r>
        <w:t>106.</w:t>
      </w:r>
      <w:r>
        <w:tab/>
        <w:t>Transfer of assets and liabilities to Commission</w:t>
      </w:r>
      <w:bookmarkEnd w:id="510"/>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bookmarkStart w:id="511" w:name="_Toc44146662"/>
      <w:r>
        <w:t>107.</w:t>
      </w:r>
      <w:r>
        <w:tab/>
        <w:t>Western Australian Betting Control Board Fund</w:t>
      </w:r>
      <w:bookmarkEnd w:id="511"/>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bookmarkStart w:id="512" w:name="_Toc44146663"/>
      <w:r>
        <w:t>108.</w:t>
      </w:r>
      <w:r>
        <w:tab/>
        <w:t>Exemption from State taxation</w:t>
      </w:r>
      <w:bookmarkEnd w:id="512"/>
    </w:p>
    <w:p>
      <w:pPr>
        <w:pStyle w:val="nzMiscellaneousBody"/>
        <w:tabs>
          <w:tab w:val="left" w:pos="851"/>
          <w:tab w:val="left" w:pos="1454"/>
        </w:tabs>
        <w:ind w:left="1468" w:hanging="901"/>
      </w:pPr>
      <w:r>
        <w:tab/>
        <w:t>(1)</w:t>
      </w:r>
      <w:r>
        <w:tab/>
        <w:t xml:space="preserve">In this section — </w:t>
      </w:r>
    </w:p>
    <w:p>
      <w:pPr>
        <w:pStyle w:val="nzDefstart"/>
      </w:pPr>
      <w:r>
        <w:rPr>
          <w:b/>
        </w:rPr>
        <w:tab/>
        <w:t>“</w:t>
      </w:r>
      <w:r>
        <w:rPr>
          <w:b/>
          <w:bCs/>
        </w:rPr>
        <w:t>State tax</w:t>
      </w:r>
      <w:r>
        <w:rPr>
          <w:b/>
        </w:rPr>
        <w:t>”</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Indenta"/>
        <w:rPr>
          <w:sz w:val="20"/>
        </w:rPr>
      </w:pPr>
      <w:r>
        <w:rPr>
          <w:sz w:val="20"/>
        </w:rPr>
        <w:tab/>
        <w:t>(a)</w:t>
      </w:r>
      <w:r>
        <w:rPr>
          <w:sz w:val="20"/>
        </w:rPr>
        <w:tab/>
        <w:t>anything that occurs by the operation of this Division; or</w:t>
      </w:r>
    </w:p>
    <w:p>
      <w:pPr>
        <w:pStyle w:val="Indenta"/>
        <w:rPr>
          <w:sz w:val="20"/>
        </w:rPr>
      </w:pPr>
      <w:r>
        <w:rPr>
          <w:sz w:val="20"/>
        </w:rPr>
        <w:tab/>
        <w:t>(b)</w:t>
      </w:r>
      <w:r>
        <w:rPr>
          <w:sz w:val="2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Indenta"/>
        <w:rPr>
          <w:sz w:val="20"/>
        </w:rPr>
      </w:pPr>
      <w:r>
        <w:rPr>
          <w:sz w:val="20"/>
        </w:rPr>
        <w:tab/>
        <w:t>(a)</w:t>
      </w:r>
      <w:r>
        <w:rPr>
          <w:sz w:val="20"/>
        </w:rPr>
        <w:tab/>
        <w:t>a specified thing occurred by the operation of this Division; or</w:t>
      </w:r>
    </w:p>
    <w:p>
      <w:pPr>
        <w:pStyle w:val="Indenta"/>
        <w:rPr>
          <w:sz w:val="20"/>
        </w:rPr>
      </w:pPr>
      <w:r>
        <w:rPr>
          <w:sz w:val="20"/>
        </w:rPr>
        <w:tab/>
        <w:t>(b)</w:t>
      </w:r>
      <w:r>
        <w:rPr>
          <w:sz w:val="20"/>
        </w:rPr>
        <w:tab/>
        <w:t>a specified thing was done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pPr>
      <w:bookmarkStart w:id="513" w:name="_Toc44146664"/>
      <w:r>
        <w:t>109.</w:t>
      </w:r>
      <w:r>
        <w:tab/>
        <w:t>Saving</w:t>
      </w:r>
      <w:bookmarkEnd w:id="513"/>
    </w:p>
    <w:p>
      <w:pPr>
        <w:pStyle w:val="nzMiscellaneousBody"/>
        <w:tabs>
          <w:tab w:val="left" w:pos="851"/>
          <w:tab w:val="left" w:pos="1454"/>
        </w:tabs>
        <w:ind w:left="1468" w:hanging="901"/>
      </w:pPr>
      <w:r>
        <w:tab/>
      </w:r>
      <w:r>
        <w:tab/>
        <w:t xml:space="preserve">The operation of section 106 is not to be regarded — </w:t>
      </w:r>
    </w:p>
    <w:p>
      <w:pPr>
        <w:pStyle w:val="Indenta"/>
        <w:rPr>
          <w:sz w:val="20"/>
        </w:rPr>
      </w:pPr>
      <w:r>
        <w:rPr>
          <w:sz w:val="20"/>
        </w:rPr>
        <w:tab/>
        <w:t>(a)</w:t>
      </w:r>
      <w:r>
        <w:rPr>
          <w:sz w:val="20"/>
        </w:rPr>
        <w:tab/>
        <w:t>as a breach of contract or confidence or otherwise as a civil wrong;</w:t>
      </w:r>
    </w:p>
    <w:p>
      <w:pPr>
        <w:pStyle w:val="Indenta"/>
        <w:rPr>
          <w:sz w:val="20"/>
        </w:rPr>
      </w:pPr>
      <w:r>
        <w:rPr>
          <w:sz w:val="20"/>
        </w:rPr>
        <w:tab/>
        <w:t>(b)</w:t>
      </w:r>
      <w:r>
        <w:rPr>
          <w:sz w:val="20"/>
        </w:rPr>
        <w:tab/>
        <w:t>as a breach of any contractual provision prohibiting, restricting or regulating the assignment or transfer of assets, rights or liabilities or the disclosure of information;</w:t>
      </w:r>
    </w:p>
    <w:p>
      <w:pPr>
        <w:pStyle w:val="Indenta"/>
        <w:rPr>
          <w:sz w:val="20"/>
        </w:rPr>
      </w:pPr>
      <w:r>
        <w:rPr>
          <w:sz w:val="20"/>
        </w:rPr>
        <w:tab/>
        <w:t>(c)</w:t>
      </w:r>
      <w:r>
        <w:rPr>
          <w:sz w:val="20"/>
        </w:rPr>
        <w:tab/>
        <w:t>as giving rise to any remedy by a party to an instrument or as causing or permitting the termination of any instrument, because of a change in the beneficial or legal ownership of any assets, right or liability;</w:t>
      </w:r>
    </w:p>
    <w:p>
      <w:pPr>
        <w:pStyle w:val="Indenta"/>
        <w:rPr>
          <w:sz w:val="20"/>
        </w:rPr>
      </w:pPr>
      <w:r>
        <w:rPr>
          <w:sz w:val="20"/>
        </w:rPr>
        <w:tab/>
        <w:t>(d)</w:t>
      </w:r>
      <w:r>
        <w:rPr>
          <w:sz w:val="20"/>
        </w:rPr>
        <w:tab/>
        <w:t>as causing any contract or instrument to be void or otherwise unenforceable; or</w:t>
      </w:r>
    </w:p>
    <w:p>
      <w:pPr>
        <w:pStyle w:val="Indenta"/>
        <w:rPr>
          <w:sz w:val="20"/>
        </w:rPr>
      </w:pPr>
      <w:r>
        <w:rPr>
          <w:sz w:val="20"/>
        </w:rPr>
        <w:tab/>
        <w:t>(e)</w:t>
      </w:r>
      <w:r>
        <w:rPr>
          <w:sz w:val="20"/>
        </w:rPr>
        <w:tab/>
        <w:t>as releasing or allowing the release of any surety.</w:t>
      </w:r>
    </w:p>
    <w:p>
      <w:pPr>
        <w:pStyle w:val="nzHeading4"/>
      </w:pPr>
      <w:r>
        <w:t>Subdivision 3 — General transitional provisions</w:t>
      </w:r>
    </w:p>
    <w:p>
      <w:pPr>
        <w:pStyle w:val="nzHeading5"/>
      </w:pPr>
      <w:bookmarkStart w:id="514" w:name="_Toc44146665"/>
      <w:r>
        <w:t>110.</w:t>
      </w:r>
      <w:r>
        <w:tab/>
        <w:t>Annual report for part of a year</w:t>
      </w:r>
      <w:bookmarkEnd w:id="514"/>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bookmarkStart w:id="515" w:name="_Toc44146666"/>
      <w:r>
        <w:t>111.</w:t>
      </w:r>
      <w:r>
        <w:tab/>
        <w:t>Completion of things commenced</w:t>
      </w:r>
      <w:bookmarkEnd w:id="515"/>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bookmarkStart w:id="516" w:name="_Toc44146667"/>
      <w:r>
        <w:t>112.</w:t>
      </w:r>
      <w:r>
        <w:tab/>
        <w:t>Continuing effect of things done</w:t>
      </w:r>
      <w:bookmarkEnd w:id="516"/>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pPr>
      <w:r>
        <w:tab/>
        <w:t>(a)</w:t>
      </w:r>
      <w:r>
        <w:tab/>
        <w:t>has any force; and</w:t>
      </w:r>
    </w:p>
    <w:p>
      <w:pPr>
        <w:pStyle w:val="nzIndenta"/>
      </w:pPr>
      <w:r>
        <w:tab/>
        <w:t>(b)</w:t>
      </w:r>
      <w:r>
        <w:tab/>
        <w:t>is not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bookmarkStart w:id="517" w:name="_Toc44146668"/>
      <w:r>
        <w:t>113.</w:t>
      </w:r>
      <w:r>
        <w:tab/>
        <w:t>Immunity to continue</w:t>
      </w:r>
      <w:bookmarkEnd w:id="517"/>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bookmarkStart w:id="518" w:name="_Toc44146669"/>
      <w:r>
        <w:t>114.</w:t>
      </w:r>
      <w:r>
        <w:tab/>
        <w:t>Agreements and instruments generally</w:t>
      </w:r>
      <w:bookmarkEnd w:id="518"/>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bookmarkStart w:id="519" w:name="_Toc44146670"/>
      <w:r>
        <w:t>115.</w:t>
      </w:r>
      <w:r>
        <w:tab/>
        <w:t>BCB to perform necessary transitional functions</w:t>
      </w:r>
      <w:bookmarkEnd w:id="519"/>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p>
      <w:pPr>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pPr>
    </w:p>
    <w:p/>
    <w:sectPr>
      <w:headerReference w:type="even" r:id="rId30"/>
      <w:headerReference w:type="default" r:id="rId31"/>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Betting Control Act 1954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Act 1954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Betting Control Act 1954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FCD9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3C6C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72EC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DE0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BD457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84CD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EAAC2F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76E82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0D089B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29006</Words>
  <Characters>133431</Characters>
  <Application>Microsoft Office Word</Application>
  <DocSecurity>0</DocSecurity>
  <Lines>3606</Lines>
  <Paragraphs>1728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160709</CharactersWithSpaces>
  <SharedDoc>false</SharedDoc>
  <HLinks>
    <vt:vector size="12" baseType="variant">
      <vt:variant>
        <vt:i4>3014716</vt:i4>
      </vt:variant>
      <vt:variant>
        <vt:i4>7363</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07-f0-02 - 08-a0-02</dc:title>
  <dc:subject/>
  <dc:creator/>
  <cp:keywords/>
  <dc:description/>
  <cp:lastModifiedBy>svcMRProcess</cp:lastModifiedBy>
  <cp:revision>2</cp:revision>
  <cp:lastPrinted>2006-11-01T04:54:00Z</cp:lastPrinted>
  <dcterms:created xsi:type="dcterms:W3CDTF">2020-02-13T15:26:00Z</dcterms:created>
  <dcterms:modified xsi:type="dcterms:W3CDTF">2020-02-13T15:26:00Z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CommencementDate">
    <vt:lpwstr>20061020</vt:lpwstr>
  </property>
  <property fmtid="{D5CDD505-2E9C-101B-9397-08002B2CF9AE}" pid="4" name="DocumentType">
    <vt:lpwstr>Act</vt:lpwstr>
  </property>
  <property fmtid="{D5CDD505-2E9C-101B-9397-08002B2CF9AE}" pid="5" name="OwlsUID">
    <vt:i4>71</vt:i4>
  </property>
  <property fmtid="{D5CDD505-2E9C-101B-9397-08002B2CF9AE}" pid="6" name="ReprintedAsAt">
    <vt:filetime>2006-10-19T16:00:00Z</vt:filetime>
  </property>
  <property fmtid="{D5CDD505-2E9C-101B-9397-08002B2CF9AE}" pid="7" name="ReprintNo">
    <vt:lpwstr>8</vt:lpwstr>
  </property>
  <property fmtid="{D5CDD505-2E9C-101B-9397-08002B2CF9AE}" pid="8" name="FromSuffix">
    <vt:lpwstr>07-f0-02</vt:lpwstr>
  </property>
  <property fmtid="{D5CDD505-2E9C-101B-9397-08002B2CF9AE}" pid="9" name="FromAsAtDate">
    <vt:lpwstr>09 Apr 2006</vt:lpwstr>
  </property>
  <property fmtid="{D5CDD505-2E9C-101B-9397-08002B2CF9AE}" pid="10" name="ToSuffix">
    <vt:lpwstr>08-a0-02</vt:lpwstr>
  </property>
  <property fmtid="{D5CDD505-2E9C-101B-9397-08002B2CF9AE}" pid="11" name="ToAsAtDate">
    <vt:lpwstr>20 Oct 2006</vt:lpwstr>
  </property>
</Properties>
</file>