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2009</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0" w:name="_Toc184614925"/>
      <w:bookmarkStart w:id="1" w:name="_Toc184616376"/>
      <w:bookmarkStart w:id="2" w:name="_Toc184633161"/>
      <w:bookmarkStart w:id="3" w:name="_Toc184705659"/>
      <w:bookmarkStart w:id="4" w:name="_Toc184785552"/>
      <w:bookmarkStart w:id="5" w:name="_Toc186856428"/>
      <w:bookmarkStart w:id="6" w:name="_Toc186857114"/>
      <w:bookmarkStart w:id="7" w:name="_Toc186857183"/>
      <w:bookmarkStart w:id="8" w:name="_Toc186872262"/>
      <w:bookmarkStart w:id="9" w:name="_Toc191960475"/>
      <w:bookmarkStart w:id="10" w:name="_Toc191982056"/>
      <w:bookmarkStart w:id="11" w:name="_Toc233692970"/>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p>
    <w:p>
      <w:pPr>
        <w:pStyle w:val="Heading5"/>
      </w:pPr>
      <w:bookmarkStart w:id="13" w:name="_Toc184785553"/>
      <w:bookmarkStart w:id="14" w:name="_Toc233692971"/>
      <w:bookmarkStart w:id="15" w:name="_Toc191982057"/>
      <w:r>
        <w:rPr>
          <w:rStyle w:val="CharSectno"/>
        </w:rPr>
        <w:t>1</w:t>
      </w:r>
      <w:r>
        <w:t>.</w:t>
      </w:r>
      <w:r>
        <w:tab/>
        <w:t>Citation</w:t>
      </w:r>
      <w:bookmarkEnd w:id="13"/>
      <w:bookmarkEnd w:id="14"/>
      <w:bookmarkEnd w:id="15"/>
    </w:p>
    <w:p>
      <w:pPr>
        <w:pStyle w:val="Subsection"/>
        <w:rPr>
          <w:i/>
        </w:rPr>
      </w:pPr>
      <w:r>
        <w:tab/>
      </w:r>
      <w:r>
        <w:tab/>
      </w:r>
      <w:bookmarkStart w:id="16" w:name="Start_Cursor"/>
      <w:bookmarkEnd w:id="16"/>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17" w:name="_Toc184785554"/>
      <w:bookmarkStart w:id="18" w:name="_Toc233692972"/>
      <w:bookmarkStart w:id="19" w:name="_Toc191982058"/>
      <w:r>
        <w:rPr>
          <w:rStyle w:val="CharSectno"/>
        </w:rPr>
        <w:t>2</w:t>
      </w:r>
      <w:r>
        <w:t>.</w:t>
      </w:r>
      <w:r>
        <w:tab/>
        <w:t>Commencement</w:t>
      </w:r>
      <w:bookmarkEnd w:id="17"/>
      <w:bookmarkEnd w:id="18"/>
      <w:bookmarkEnd w:id="1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20" w:name="_Toc233692973"/>
      <w:bookmarkStart w:id="21" w:name="_Toc191982059"/>
      <w:r>
        <w:rPr>
          <w:rStyle w:val="CharSectno"/>
        </w:rPr>
        <w:t>3</w:t>
      </w:r>
      <w:r>
        <w:t>.</w:t>
      </w:r>
      <w:r>
        <w:tab/>
        <w:t>Terms used in these regulations</w:t>
      </w:r>
      <w:bookmarkEnd w:id="20"/>
      <w:bookmarkEnd w:id="21"/>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1 921168 </w:t>
      </w:r>
      <w:r>
        <w:lastRenderedPageBreak/>
        <w:t>57 9) (also called the Australian Dangerous Goods Code) including (for the avoidance of doubt) its appendices;</w:t>
      </w:r>
    </w:p>
    <w:p>
      <w:pPr>
        <w:pStyle w:val="Defstart"/>
      </w:pPr>
      <w:r>
        <w:rPr>
          <w:b/>
        </w:rPr>
        <w:tab/>
      </w:r>
      <w:r>
        <w:rPr>
          <w:rStyle w:val="CharDefText"/>
        </w:rPr>
        <w:t>AE Code</w:t>
      </w:r>
      <w:r>
        <w:t xml:space="preserve"> means the </w:t>
      </w:r>
      <w:r>
        <w:rPr>
          <w:i/>
          <w:iCs/>
        </w:rPr>
        <w:t>Australian Code for the Transport of Explosives by Road and Rail</w:t>
      </w:r>
      <w:r>
        <w:t>, Second Edition 2000, published by the Commonwealth of Australia (ISBN 0 642 41486 6) (also called the Australian Explosives Code) including (for the avoidance of doubt) its technical appendices;</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FESA</w:t>
      </w:r>
      <w:r>
        <w:t xml:space="preserve"> means the Fire and Emergency Services Authority of Western Australia established under the </w:t>
      </w:r>
      <w:r>
        <w:rPr>
          <w:i/>
        </w:rPr>
        <w:t>Fire and Emergency Services Authority of Western Australia Act 1998</w:t>
      </w:r>
      <w:r>
        <w:t>;</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 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 or the UNMR;</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UNMR</w:t>
      </w:r>
      <w:r>
        <w:t xml:space="preserve"> means the </w:t>
      </w:r>
      <w:r>
        <w:rPr>
          <w:i/>
          <w:iCs/>
        </w:rPr>
        <w:t>Recommendations on the Transport of Dangerous Goods, Model Regulations</w:t>
      </w:r>
      <w:r>
        <w:t>, Fourteenth revised edition, published by the United Nations (ISBN 92 1 139106 7);</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Heading5"/>
      </w:pPr>
      <w:bookmarkStart w:id="22" w:name="_Toc233692974"/>
      <w:bookmarkStart w:id="23" w:name="_Toc191982060"/>
      <w:r>
        <w:rPr>
          <w:rStyle w:val="CharSectno"/>
        </w:rPr>
        <w:t>4</w:t>
      </w:r>
      <w:r>
        <w:t>.</w:t>
      </w:r>
      <w:r>
        <w:tab/>
        <w:t>Examples and notes are not part of the law</w:t>
      </w:r>
      <w:bookmarkEnd w:id="22"/>
      <w:bookmarkEnd w:id="23"/>
    </w:p>
    <w:p>
      <w:pPr>
        <w:pStyle w:val="Subsection"/>
      </w:pPr>
      <w:r>
        <w:tab/>
      </w:r>
      <w:r>
        <w:tab/>
        <w:t>Examples and notes in these regulations do not form part of them and are provided to assist understanding.</w:t>
      </w:r>
    </w:p>
    <w:p>
      <w:pPr>
        <w:pStyle w:val="Heading5"/>
      </w:pPr>
      <w:bookmarkStart w:id="24" w:name="_Toc233692975"/>
      <w:bookmarkStart w:id="25" w:name="_Toc191982061"/>
      <w:r>
        <w:rPr>
          <w:rStyle w:val="CharSectno"/>
        </w:rPr>
        <w:t>5</w:t>
      </w:r>
      <w:r>
        <w:t>.</w:t>
      </w:r>
      <w:r>
        <w:tab/>
        <w:t>AE Code, general provisions about</w:t>
      </w:r>
      <w:bookmarkEnd w:id="24"/>
      <w:bookmarkEnd w:id="25"/>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6" w:name="_Toc233692976"/>
      <w:bookmarkStart w:id="27" w:name="_Toc191982062"/>
      <w:r>
        <w:rPr>
          <w:rStyle w:val="CharSectno"/>
        </w:rPr>
        <w:t>6</w:t>
      </w:r>
      <w:r>
        <w:t>.</w:t>
      </w:r>
      <w:r>
        <w:tab/>
        <w:t>“Alternative safety measures”, meaning of</w:t>
      </w:r>
      <w:bookmarkEnd w:id="26"/>
      <w:bookmarkEnd w:id="27"/>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in relation to the explosive in relation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Heading5"/>
      </w:pPr>
      <w:bookmarkStart w:id="28" w:name="_Toc233692977"/>
      <w:bookmarkStart w:id="29" w:name="_Toc191982063"/>
      <w:r>
        <w:rPr>
          <w:rStyle w:val="CharSectno"/>
        </w:rPr>
        <w:t>7</w:t>
      </w:r>
      <w:r>
        <w:t>.</w:t>
      </w:r>
      <w:r>
        <w:tab/>
        <w:t>“AS 2187”, meaning of and general provisions about</w:t>
      </w:r>
      <w:bookmarkEnd w:id="28"/>
      <w:bookmarkEnd w:id="29"/>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30" w:name="_Toc233692978"/>
      <w:bookmarkStart w:id="31" w:name="_Toc191982064"/>
      <w:r>
        <w:rPr>
          <w:rStyle w:val="CharSectno"/>
        </w:rPr>
        <w:t>8</w:t>
      </w:r>
      <w:r>
        <w:t>.</w:t>
      </w:r>
      <w:r>
        <w:tab/>
        <w:t>“Explosive”, meaning of</w:t>
      </w:r>
      <w:bookmarkEnd w:id="30"/>
      <w:bookmarkEnd w:id="31"/>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keepNext/>
      </w:pPr>
      <w:r>
        <w:tab/>
        <w:t>(a)</w:t>
      </w:r>
      <w:r>
        <w:tab/>
        <w:t>in the AE Code Appendix 2 —</w:t>
      </w:r>
    </w:p>
    <w:p>
      <w:pPr>
        <w:pStyle w:val="Indenti"/>
      </w:pPr>
      <w:r>
        <w:tab/>
        <w:t>(i)</w:t>
      </w:r>
      <w:r>
        <w:tab/>
        <w:t>it is named in an entry in column 2 that is not an entry referred to in the AE Code Appendix 8; and</w:t>
      </w:r>
    </w:p>
    <w:p>
      <w:pPr>
        <w:pStyle w:val="Indenti"/>
      </w:pPr>
      <w:r>
        <w:tab/>
        <w:t>(ii)</w:t>
      </w:r>
      <w:r>
        <w:tab/>
        <w:t>it is classified as Class 1 in column 4; and</w:t>
      </w:r>
    </w:p>
    <w:p>
      <w:pPr>
        <w:pStyle w:val="Indenti"/>
      </w:pPr>
      <w:r>
        <w:tab/>
        <w:t>(iii)</w:t>
      </w:r>
      <w:r>
        <w:tab/>
        <w:t>it satisfies the criteria in any Special Provision in the AE Code Appendix 3 that is applied to it by column 7; and</w:t>
      </w:r>
    </w:p>
    <w:p>
      <w:pPr>
        <w:pStyle w:val="Indenti"/>
      </w:pPr>
      <w:r>
        <w:tab/>
        <w:t>(iv)</w:t>
      </w:r>
      <w:r>
        <w:tab/>
        <w:t>it satisfies any criteria applied to it by column 9;</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Heading5"/>
      </w:pPr>
      <w:bookmarkStart w:id="32" w:name="_Toc233692979"/>
      <w:bookmarkStart w:id="33" w:name="_Toc191982065"/>
      <w:r>
        <w:rPr>
          <w:rStyle w:val="CharSectno"/>
        </w:rPr>
        <w:t>9</w:t>
      </w:r>
      <w:r>
        <w:t>.</w:t>
      </w:r>
      <w:r>
        <w:tab/>
        <w:t>Classification of explosives</w:t>
      </w:r>
      <w:bookmarkEnd w:id="32"/>
      <w:bookmarkEnd w:id="33"/>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UNMR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418" w:hanging="141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UNMR, and the classification code assigned to it by the Chief Officer under regulation 15 or 31, the latter is the explosive’s classification code for the purposes of these regulations.</w:t>
      </w:r>
    </w:p>
    <w:p>
      <w:pPr>
        <w:pStyle w:val="Heading5"/>
      </w:pPr>
      <w:bookmarkStart w:id="34" w:name="_Toc233692980"/>
      <w:bookmarkStart w:id="35" w:name="_Toc191982066"/>
      <w:r>
        <w:rPr>
          <w:rStyle w:val="CharSectno"/>
        </w:rPr>
        <w:t>10</w:t>
      </w:r>
      <w:r>
        <w:t>.</w:t>
      </w:r>
      <w:r>
        <w:tab/>
        <w:t>“Supervised” and related terms, meaning of</w:t>
      </w:r>
      <w:bookmarkEnd w:id="34"/>
      <w:bookmarkEnd w:id="35"/>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36" w:name="_Toc233692981"/>
      <w:bookmarkStart w:id="37" w:name="_Toc191982067"/>
      <w:r>
        <w:rPr>
          <w:rStyle w:val="CharSectno"/>
        </w:rPr>
        <w:t>11</w:t>
      </w:r>
      <w:r>
        <w:t>.</w:t>
      </w:r>
      <w:r>
        <w:tab/>
        <w:t>“Supply”, meaning of affected</w:t>
      </w:r>
      <w:bookmarkEnd w:id="36"/>
      <w:bookmarkEnd w:id="37"/>
    </w:p>
    <w:p>
      <w:pPr>
        <w:pStyle w:val="Subsection"/>
      </w:pPr>
      <w:r>
        <w:tab/>
      </w:r>
      <w:r>
        <w:tab/>
        <w:t>For the purposes of these regulations a person (</w:t>
      </w:r>
      <w:r>
        <w:rPr>
          <w:b/>
          <w:bCs/>
        </w:rPr>
        <w:t>“A”</w:t>
      </w:r>
      <w:r>
        <w:t>) does not supply an explosive to another person (</w:t>
      </w:r>
      <w:r>
        <w:rPr>
          <w:b/>
          <w:bCs/>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38" w:name="_Toc233692982"/>
      <w:bookmarkStart w:id="39" w:name="_Toc191982068"/>
      <w:r>
        <w:rPr>
          <w:rStyle w:val="CharSectno"/>
        </w:rPr>
        <w:t>12</w:t>
      </w:r>
      <w:r>
        <w:t>.</w:t>
      </w:r>
      <w:r>
        <w:tab/>
        <w:t>Explosives to which these regulations do not apply</w:t>
      </w:r>
      <w:bookmarkEnd w:id="38"/>
      <w:bookmarkEnd w:id="39"/>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40" w:name="_Toc191960488"/>
      <w:bookmarkStart w:id="41" w:name="_Toc191982069"/>
      <w:bookmarkStart w:id="42" w:name="_Toc233692983"/>
      <w:r>
        <w:rPr>
          <w:rStyle w:val="CharPartNo"/>
        </w:rPr>
        <w:t>Part 2</w:t>
      </w:r>
      <w:r>
        <w:rPr>
          <w:rStyle w:val="CharDivNo"/>
        </w:rPr>
        <w:t> </w:t>
      </w:r>
      <w:r>
        <w:t>—</w:t>
      </w:r>
      <w:r>
        <w:rPr>
          <w:rStyle w:val="CharDivText"/>
        </w:rPr>
        <w:t> </w:t>
      </w:r>
      <w:r>
        <w:rPr>
          <w:rStyle w:val="CharPartText"/>
        </w:rPr>
        <w:t>Administrative matters</w:t>
      </w:r>
      <w:bookmarkEnd w:id="40"/>
      <w:bookmarkEnd w:id="41"/>
      <w:bookmarkEnd w:id="42"/>
    </w:p>
    <w:p>
      <w:pPr>
        <w:pStyle w:val="Heading5"/>
      </w:pPr>
      <w:bookmarkStart w:id="43" w:name="_Toc233692984"/>
      <w:bookmarkStart w:id="44" w:name="_Toc191982070"/>
      <w:r>
        <w:rPr>
          <w:rStyle w:val="CharSectno"/>
        </w:rPr>
        <w:t>13</w:t>
      </w:r>
      <w:r>
        <w:t>.</w:t>
      </w:r>
      <w:r>
        <w:tab/>
        <w:t>Forms may be approved by Chief Officer</w:t>
      </w:r>
      <w:bookmarkEnd w:id="43"/>
      <w:bookmarkEnd w:id="44"/>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45" w:name="_Toc233692985"/>
      <w:bookmarkStart w:id="46" w:name="_Toc191982071"/>
      <w:r>
        <w:rPr>
          <w:rStyle w:val="CharSectno"/>
        </w:rPr>
        <w:t>14</w:t>
      </w:r>
      <w:r>
        <w:t>.</w:t>
      </w:r>
      <w:r>
        <w:tab/>
        <w:t>Courses may be approved by Chief Officer</w:t>
      </w:r>
      <w:bookmarkEnd w:id="45"/>
      <w:bookmarkEnd w:id="46"/>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a person who passes the test, or completes the course, will be competent to engage in the activities that would be authorised by the licence concerned.</w:t>
      </w:r>
    </w:p>
    <w:p>
      <w:pPr>
        <w:pStyle w:val="Heading5"/>
      </w:pPr>
      <w:bookmarkStart w:id="47" w:name="_Toc233692986"/>
      <w:bookmarkStart w:id="48" w:name="_Toc191982072"/>
      <w:r>
        <w:rPr>
          <w:rStyle w:val="CharSectno"/>
        </w:rPr>
        <w:t>15</w:t>
      </w:r>
      <w:r>
        <w:t>.</w:t>
      </w:r>
      <w:r>
        <w:tab/>
        <w:t>Declaring a substance to be an explosive</w:t>
      </w:r>
      <w:bookmarkEnd w:id="47"/>
      <w:bookmarkEnd w:id="48"/>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UNMR,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Heading2"/>
      </w:pPr>
      <w:bookmarkStart w:id="49" w:name="_Toc191960492"/>
      <w:bookmarkStart w:id="50" w:name="_Toc191982073"/>
      <w:bookmarkStart w:id="51" w:name="_Toc233692987"/>
      <w:r>
        <w:rPr>
          <w:rStyle w:val="CharPartNo"/>
        </w:rPr>
        <w:t>Part 3</w:t>
      </w:r>
      <w:r>
        <w:rPr>
          <w:rStyle w:val="CharDivNo"/>
        </w:rPr>
        <w:t> </w:t>
      </w:r>
      <w:r>
        <w:t>—</w:t>
      </w:r>
      <w:r>
        <w:rPr>
          <w:rStyle w:val="CharDivText"/>
        </w:rPr>
        <w:t> </w:t>
      </w:r>
      <w:r>
        <w:rPr>
          <w:rStyle w:val="CharPartText"/>
        </w:rPr>
        <w:t>Security matters</w:t>
      </w:r>
      <w:bookmarkEnd w:id="49"/>
      <w:bookmarkEnd w:id="50"/>
      <w:bookmarkEnd w:id="51"/>
    </w:p>
    <w:p>
      <w:pPr>
        <w:pStyle w:val="Heading5"/>
      </w:pPr>
      <w:bookmarkStart w:id="52" w:name="_Toc233692988"/>
      <w:bookmarkStart w:id="53" w:name="_Toc191982074"/>
      <w:r>
        <w:rPr>
          <w:rStyle w:val="CharSectno"/>
        </w:rPr>
        <w:t>16</w:t>
      </w:r>
      <w:r>
        <w:t>.</w:t>
      </w:r>
      <w:r>
        <w:tab/>
        <w:t>Security clearance, meaning of</w:t>
      </w:r>
      <w:bookmarkEnd w:id="52"/>
      <w:bookmarkEnd w:id="53"/>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54" w:name="_Toc233692989"/>
      <w:bookmarkStart w:id="55" w:name="_Toc191982075"/>
      <w:r>
        <w:rPr>
          <w:rStyle w:val="CharSectno"/>
        </w:rPr>
        <w:t>17</w:t>
      </w:r>
      <w:r>
        <w:t>.</w:t>
      </w:r>
      <w:r>
        <w:tab/>
        <w:t>Security card, application for</w:t>
      </w:r>
      <w:bookmarkEnd w:id="54"/>
      <w:bookmarkEnd w:id="55"/>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56" w:name="_Toc233692990"/>
      <w:bookmarkStart w:id="57" w:name="_Toc191982076"/>
      <w:r>
        <w:rPr>
          <w:rStyle w:val="CharSectno"/>
        </w:rPr>
        <w:t>18</w:t>
      </w:r>
      <w:r>
        <w:t>.</w:t>
      </w:r>
      <w:r>
        <w:tab/>
        <w:t>Application to be referred to Commissioner of Police</w:t>
      </w:r>
      <w:bookmarkEnd w:id="56"/>
      <w:bookmarkEnd w:id="57"/>
    </w:p>
    <w:p>
      <w:pPr>
        <w:pStyle w:val="Subsection"/>
      </w:pPr>
      <w:r>
        <w:tab/>
      </w:r>
      <w:r>
        <w:tab/>
        <w:t>The Chief Officer must refer an application made under regulation 17 to the Commissioner of Police.</w:t>
      </w:r>
    </w:p>
    <w:p>
      <w:pPr>
        <w:pStyle w:val="Heading5"/>
      </w:pPr>
      <w:bookmarkStart w:id="58" w:name="_Toc233692991"/>
      <w:bookmarkStart w:id="59" w:name="_Toc191982077"/>
      <w:r>
        <w:rPr>
          <w:rStyle w:val="CharSectno"/>
        </w:rPr>
        <w:t>19</w:t>
      </w:r>
      <w:r>
        <w:t>.</w:t>
      </w:r>
      <w:r>
        <w:tab/>
        <w:t>Commissioner of Police may object to person having a security card</w:t>
      </w:r>
      <w:bookmarkEnd w:id="58"/>
      <w:bookmarkEnd w:id="59"/>
    </w:p>
    <w:p>
      <w:pPr>
        <w:pStyle w:val="Subsection"/>
        <w:keepNext/>
      </w:pPr>
      <w:r>
        <w:tab/>
        <w:t>(1)</w:t>
      </w:r>
      <w:r>
        <w:tab/>
        <w:t>In this regulation —</w:t>
      </w:r>
    </w:p>
    <w:p>
      <w:pPr>
        <w:pStyle w:val="Defstart"/>
      </w:pPr>
      <w:r>
        <w:rPr>
          <w:b/>
        </w:rPr>
        <w:tab/>
      </w:r>
      <w:r>
        <w:rPr>
          <w:rStyle w:val="CharDefText"/>
        </w:rPr>
        <w:t>close associate</w:t>
      </w:r>
      <w:r>
        <w:t xml:space="preserve"> has the meaning given to that term by subregulation (2);</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Subsection"/>
      </w:pPr>
      <w:r>
        <w:tab/>
        <w:t>(2)</w:t>
      </w:r>
      <w:r>
        <w:tab/>
        <w:t>For the purposes of this regulation, 2 persons are close associates if —</w:t>
      </w:r>
    </w:p>
    <w:p>
      <w:pPr>
        <w:pStyle w:val="Indenta"/>
      </w:pPr>
      <w:r>
        <w:tab/>
        <w:t>(a)</w:t>
      </w:r>
      <w:r>
        <w:tab/>
        <w:t>one is the spouse or a de facto partner of the other; or</w:t>
      </w:r>
    </w:p>
    <w:p>
      <w:pPr>
        <w:pStyle w:val="Indenta"/>
      </w:pPr>
      <w:r>
        <w:tab/>
        <w:t>(b)</w:t>
      </w:r>
      <w:r>
        <w:tab/>
        <w:t>one is a parent, brother, sister or child of the other; or</w:t>
      </w:r>
    </w:p>
    <w:p>
      <w:pPr>
        <w:pStyle w:val="Indenta"/>
      </w:pPr>
      <w:r>
        <w:tab/>
        <w:t>(c)</w:t>
      </w:r>
      <w:r>
        <w:tab/>
        <w:t>they are in partnership; or</w:t>
      </w:r>
    </w:p>
    <w:p>
      <w:pPr>
        <w:pStyle w:val="Indenta"/>
      </w:pPr>
      <w:r>
        <w:tab/>
        <w:t>(d)</w:t>
      </w:r>
      <w:r>
        <w:tab/>
        <w:t>they are both involved in the control or management of the same body corporate; or</w:t>
      </w:r>
    </w:p>
    <w:p>
      <w:pPr>
        <w:pStyle w:val="Indenta"/>
      </w:pPr>
      <w:r>
        <w:tab/>
        <w:t>(e)</w:t>
      </w:r>
      <w:r>
        <w:tab/>
        <w:t>one is or may be the beneficiary of the other under a trust; or</w:t>
      </w:r>
    </w:p>
    <w:p>
      <w:pPr>
        <w:pStyle w:val="Indenta"/>
      </w:pPr>
      <w:r>
        <w:tab/>
        <w:t>(f)</w:t>
      </w:r>
      <w:r>
        <w:tab/>
        <w:t>one does, or has a right to, participate (other than as the shareholder in a body corporate) in income or profits derived from a business conducted by the other.</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the relevant person, or a close associate of the person, has in this State or elsewhere for an offence involving —</w:t>
      </w:r>
    </w:p>
    <w:p>
      <w:pPr>
        <w:pStyle w:val="Indenti"/>
      </w:pPr>
      <w:r>
        <w:tab/>
        <w:t>(i)</w:t>
      </w:r>
      <w:r>
        <w:tab/>
        <w:t>violence;</w:t>
      </w:r>
    </w:p>
    <w:p>
      <w:pPr>
        <w:pStyle w:val="Indenti"/>
      </w:pPr>
      <w:r>
        <w:tab/>
        <w:t>(ii)</w:t>
      </w:r>
      <w:r>
        <w:tab/>
        <w:t>damage to property;</w:t>
      </w:r>
    </w:p>
    <w:p>
      <w:pPr>
        <w:pStyle w:val="Indenti"/>
      </w:pPr>
      <w:r>
        <w:tab/>
        <w:t>(iii)</w:t>
      </w:r>
      <w:r>
        <w:tab/>
        <w:t>the use or possession of a dangerous or offensive weapon or instrument or of an explosive or SRS;</w:t>
      </w:r>
    </w:p>
    <w:p>
      <w:pPr>
        <w:pStyle w:val="Indenti"/>
      </w:pPr>
      <w:r>
        <w:tab/>
        <w:t>(iv)</w:t>
      </w:r>
      <w:r>
        <w:tab/>
        <w:t xml:space="preserve">a terrorist act within the meaning given to that term by the </w:t>
      </w:r>
      <w:r>
        <w:rPr>
          <w:i/>
        </w:rPr>
        <w:t>Terrorism (Extraordinary Powers) Act 2005</w:t>
      </w:r>
      <w:r>
        <w:t xml:space="preserve"> section 5;</w:t>
      </w:r>
    </w:p>
    <w:p>
      <w:pPr>
        <w:pStyle w:val="Indenti"/>
      </w:pPr>
      <w:r>
        <w:tab/>
        <w:t>(v)</w:t>
      </w:r>
      <w:r>
        <w:tab/>
        <w:t>a drug or plant that it is illegal to possess;</w:t>
      </w:r>
    </w:p>
    <w:p>
      <w:pPr>
        <w:pStyle w:val="Indenti"/>
      </w:pPr>
      <w:r>
        <w:tab/>
        <w:t>(vi)</w:t>
      </w:r>
      <w:r>
        <w:tab/>
        <w:t>threatening or obstructing a person exercising a statutory power;</w:t>
      </w:r>
    </w:p>
    <w:p>
      <w:pPr>
        <w:pStyle w:val="Indenti"/>
      </w:pPr>
      <w:r>
        <w:tab/>
        <w:t>(vii)</w:t>
      </w:r>
      <w:r>
        <w:tab/>
        <w:t>dishonesty;</w:t>
      </w:r>
    </w:p>
    <w:p>
      <w:pPr>
        <w:pStyle w:val="Indenti"/>
      </w:pPr>
      <w:r>
        <w:tab/>
        <w:t>(viii)</w:t>
      </w:r>
      <w:r>
        <w:tab/>
        <w:t>the hijacking of an aircraft or vessel;</w:t>
      </w:r>
    </w:p>
    <w:p>
      <w:pPr>
        <w:pStyle w:val="Indenti"/>
      </w:pPr>
      <w:r>
        <w:tab/>
        <w:t>(ix)</w:t>
      </w:r>
      <w:r>
        <w:tab/>
        <w:t>money or property derived or realised, directly or indirectly, by any person from the commission of an offence;</w:t>
      </w:r>
    </w:p>
    <w:p>
      <w:pPr>
        <w:pStyle w:val="Indenta"/>
      </w:pPr>
      <w:r>
        <w:tab/>
        <w:t>(b)</w:t>
      </w:r>
      <w:r>
        <w:tab/>
        <w:t>any conviction the relevant person, or a close associate of the person, has for an offence under any of these enactments —</w:t>
      </w:r>
    </w:p>
    <w:p>
      <w:pPr>
        <w:pStyle w:val="Indenti"/>
      </w:pPr>
      <w:r>
        <w:tab/>
        <w:t>(i)</w:t>
      </w:r>
      <w:r>
        <w:tab/>
      </w:r>
      <w:r>
        <w:rPr>
          <w:i/>
        </w:rPr>
        <w:t>The Criminal Code</w:t>
      </w:r>
      <w:r>
        <w:t xml:space="preserve"> Chapter VII;</w:t>
      </w:r>
    </w:p>
    <w:p>
      <w:pPr>
        <w:pStyle w:val="Indenti"/>
      </w:pPr>
      <w:r>
        <w:tab/>
        <w:t>(ii)</w:t>
      </w:r>
      <w:r>
        <w:tab/>
        <w:t xml:space="preserve">the </w:t>
      </w:r>
      <w:r>
        <w:rPr>
          <w:i/>
          <w:iCs/>
        </w:rPr>
        <w:t xml:space="preserve">Criminal Code </w:t>
      </w:r>
      <w:r>
        <w:t>(Commonwealth) Chapter 5;</w:t>
      </w:r>
    </w:p>
    <w:p>
      <w:pPr>
        <w:pStyle w:val="Indenti"/>
      </w:pPr>
      <w:r>
        <w:tab/>
        <w:t>(iii)</w:t>
      </w:r>
      <w:r>
        <w:tab/>
        <w:t xml:space="preserve">the </w:t>
      </w:r>
      <w:r>
        <w:rPr>
          <w:i/>
          <w:iCs/>
        </w:rPr>
        <w:t>Crimes Act 1914</w:t>
      </w:r>
      <w:r>
        <w:t xml:space="preserve"> (Commonwealth) Part II,</w:t>
      </w:r>
    </w:p>
    <w:p>
      <w:pPr>
        <w:pStyle w:val="Indenta"/>
      </w:pPr>
      <w:r>
        <w:tab/>
      </w:r>
      <w:r>
        <w:tab/>
        <w:t>or for an offence under a law of another State that corresponds with any of those enactments;</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a close associate of the person, that is adverse;</w:t>
      </w:r>
    </w:p>
    <w:p>
      <w:pPr>
        <w:pStyle w:val="Indenta"/>
      </w:pPr>
      <w:r>
        <w:tab/>
        <w:t>(f)</w:t>
      </w:r>
      <w:r>
        <w:tab/>
        <w:t>any false or misleading information given by the relevant person in or in respect of his or her application for a security card.</w:t>
      </w:r>
    </w:p>
    <w:p>
      <w:pPr>
        <w:pStyle w:val="Subsection"/>
      </w:pPr>
      <w:r>
        <w:tab/>
        <w:t>(6)</w:t>
      </w:r>
      <w:r>
        <w:tab/>
        <w:t>Any objection made by the Commissioner under this regulation must be in writing, include reasons for the objection and be given to the Chief Officer.</w:t>
      </w:r>
    </w:p>
    <w:p>
      <w:pPr>
        <w:pStyle w:val="Heading5"/>
      </w:pPr>
      <w:bookmarkStart w:id="60" w:name="_Toc233692992"/>
      <w:bookmarkStart w:id="61" w:name="_Toc191982078"/>
      <w:r>
        <w:rPr>
          <w:rStyle w:val="CharSectno"/>
        </w:rPr>
        <w:t>20</w:t>
      </w:r>
      <w:r>
        <w:t>.</w:t>
      </w:r>
      <w:r>
        <w:tab/>
        <w:t>Security card, issue of</w:t>
      </w:r>
      <w:bookmarkEnd w:id="60"/>
      <w:bookmarkEnd w:id="61"/>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pPr>
      <w:bookmarkStart w:id="62" w:name="_Toc233692993"/>
      <w:bookmarkStart w:id="63" w:name="_Toc191982079"/>
      <w:r>
        <w:rPr>
          <w:rStyle w:val="CharSectno"/>
        </w:rPr>
        <w:t>21</w:t>
      </w:r>
      <w:r>
        <w:t>.</w:t>
      </w:r>
      <w:r>
        <w:tab/>
        <w:t>Security card, cancelling</w:t>
      </w:r>
      <w:bookmarkEnd w:id="62"/>
      <w:bookmarkEnd w:id="63"/>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64" w:name="_Toc233692994"/>
      <w:bookmarkStart w:id="65" w:name="_Toc191982080"/>
      <w:r>
        <w:rPr>
          <w:rStyle w:val="CharSectno"/>
        </w:rPr>
        <w:t>22</w:t>
      </w:r>
      <w:r>
        <w:t>.</w:t>
      </w:r>
      <w:r>
        <w:tab/>
        <w:t>Security documents to be carried and produced</w:t>
      </w:r>
      <w:bookmarkEnd w:id="64"/>
      <w:bookmarkEnd w:id="65"/>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so so by a DGO, immediately produce it to the DGO for inspection.</w:t>
      </w:r>
    </w:p>
    <w:p>
      <w:pPr>
        <w:pStyle w:val="Penstart"/>
      </w:pPr>
      <w:r>
        <w:tab/>
        <w:t>Penalty: a level 3 fine.</w:t>
      </w:r>
    </w:p>
    <w:p>
      <w:pPr>
        <w:pStyle w:val="Heading5"/>
      </w:pPr>
      <w:bookmarkStart w:id="66" w:name="_Toc233692995"/>
      <w:bookmarkStart w:id="67" w:name="_Toc191982081"/>
      <w:r>
        <w:rPr>
          <w:rStyle w:val="CharSectno"/>
        </w:rPr>
        <w:t>23</w:t>
      </w:r>
      <w:r>
        <w:t>.</w:t>
      </w:r>
      <w:r>
        <w:tab/>
        <w:t>Licence holders may authorise employees to have access to explosives</w:t>
      </w:r>
      <w:bookmarkEnd w:id="66"/>
      <w:bookmarkEnd w:id="67"/>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68" w:name="_Toc233692996"/>
      <w:bookmarkStart w:id="69" w:name="_Toc191982082"/>
      <w:r>
        <w:rPr>
          <w:rStyle w:val="CharSectno"/>
        </w:rPr>
        <w:t>24</w:t>
      </w:r>
      <w:r>
        <w:t>.</w:t>
      </w:r>
      <w:r>
        <w:tab/>
        <w:t>Licence holders to keep record of secure employees</w:t>
      </w:r>
      <w:bookmarkEnd w:id="68"/>
      <w:bookmarkEnd w:id="69"/>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70" w:name="_Toc233692997"/>
      <w:bookmarkStart w:id="71" w:name="_Toc191982083"/>
      <w:r>
        <w:rPr>
          <w:rStyle w:val="CharSectno"/>
        </w:rPr>
        <w:t>25</w:t>
      </w:r>
      <w:r>
        <w:t>.</w:t>
      </w:r>
      <w:r>
        <w:tab/>
        <w:t>Secure employee to disclose employer’s details if asked</w:t>
      </w:r>
      <w:bookmarkEnd w:id="70"/>
      <w:bookmarkEnd w:id="71"/>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72" w:name="_Toc191960503"/>
      <w:bookmarkStart w:id="73" w:name="_Toc191982084"/>
      <w:bookmarkStart w:id="74" w:name="_Toc233692998"/>
      <w:r>
        <w:rPr>
          <w:rStyle w:val="CharPartNo"/>
        </w:rPr>
        <w:t>Part 4</w:t>
      </w:r>
      <w:r>
        <w:t> — </w:t>
      </w:r>
      <w:r>
        <w:rPr>
          <w:rStyle w:val="CharPartText"/>
        </w:rPr>
        <w:t>Authorisation of explosives</w:t>
      </w:r>
      <w:bookmarkEnd w:id="72"/>
      <w:bookmarkEnd w:id="73"/>
      <w:bookmarkEnd w:id="74"/>
    </w:p>
    <w:p>
      <w:pPr>
        <w:pStyle w:val="Heading3"/>
      </w:pPr>
      <w:bookmarkStart w:id="75" w:name="_Toc191960504"/>
      <w:bookmarkStart w:id="76" w:name="_Toc191982085"/>
      <w:bookmarkStart w:id="77" w:name="_Toc233692999"/>
      <w:r>
        <w:rPr>
          <w:rStyle w:val="CharDivNo"/>
        </w:rPr>
        <w:t>Division 1</w:t>
      </w:r>
      <w:r>
        <w:t> — </w:t>
      </w:r>
      <w:r>
        <w:rPr>
          <w:rStyle w:val="CharDivText"/>
        </w:rPr>
        <w:t>Testing unauthorised explosives</w:t>
      </w:r>
      <w:bookmarkEnd w:id="75"/>
      <w:bookmarkEnd w:id="76"/>
      <w:bookmarkEnd w:id="77"/>
    </w:p>
    <w:p>
      <w:pPr>
        <w:pStyle w:val="Heading5"/>
      </w:pPr>
      <w:bookmarkStart w:id="78" w:name="_Toc233693000"/>
      <w:bookmarkStart w:id="79" w:name="_Toc191982086"/>
      <w:r>
        <w:rPr>
          <w:rStyle w:val="CharSectno"/>
        </w:rPr>
        <w:t>26</w:t>
      </w:r>
      <w:r>
        <w:t>.</w:t>
      </w:r>
      <w:r>
        <w:tab/>
        <w:t>Terms used in this Division</w:t>
      </w:r>
      <w:bookmarkEnd w:id="78"/>
      <w:bookmarkEnd w:id="79"/>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pPr>
      <w:bookmarkStart w:id="80" w:name="_Toc233693001"/>
      <w:bookmarkStart w:id="81" w:name="_Toc191982087"/>
      <w:r>
        <w:rPr>
          <w:rStyle w:val="CharSectno"/>
        </w:rPr>
        <w:t>27</w:t>
      </w:r>
      <w:r>
        <w:t>.</w:t>
      </w:r>
      <w:r>
        <w:tab/>
        <w:t>Applying for test permit</w:t>
      </w:r>
      <w:bookmarkEnd w:id="80"/>
      <w:bookmarkEnd w:id="81"/>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82" w:name="_Toc233693002"/>
      <w:bookmarkStart w:id="83" w:name="_Toc191982088"/>
      <w:r>
        <w:rPr>
          <w:rStyle w:val="CharSectno"/>
        </w:rPr>
        <w:t>28</w:t>
      </w:r>
      <w:r>
        <w:t>.</w:t>
      </w:r>
      <w:r>
        <w:tab/>
        <w:t>Dealing with applications for test permits</w:t>
      </w:r>
      <w:bookmarkEnd w:id="82"/>
      <w:bookmarkEnd w:id="83"/>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84" w:name="_Toc233693003"/>
      <w:bookmarkStart w:id="85" w:name="_Toc191982089"/>
      <w:r>
        <w:rPr>
          <w:rStyle w:val="CharSectno"/>
        </w:rPr>
        <w:t>29</w:t>
      </w:r>
      <w:r>
        <w:t>.</w:t>
      </w:r>
      <w:r>
        <w:tab/>
        <w:t>Test permit, effect of</w:t>
      </w:r>
      <w:bookmarkEnd w:id="84"/>
      <w:bookmarkEnd w:id="85"/>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86" w:name="_Toc191960509"/>
      <w:bookmarkStart w:id="87" w:name="_Toc191982090"/>
      <w:bookmarkStart w:id="88" w:name="_Toc233693004"/>
      <w:r>
        <w:rPr>
          <w:rStyle w:val="CharDivNo"/>
        </w:rPr>
        <w:t>Division 2</w:t>
      </w:r>
      <w:r>
        <w:t> — </w:t>
      </w:r>
      <w:r>
        <w:rPr>
          <w:rStyle w:val="CharDivText"/>
        </w:rPr>
        <w:t>Authorisation procedure</w:t>
      </w:r>
      <w:bookmarkEnd w:id="86"/>
      <w:bookmarkEnd w:id="87"/>
      <w:bookmarkEnd w:id="88"/>
    </w:p>
    <w:p>
      <w:pPr>
        <w:pStyle w:val="Heading5"/>
      </w:pPr>
      <w:bookmarkStart w:id="89" w:name="_Toc233693005"/>
      <w:bookmarkStart w:id="90" w:name="_Toc191982091"/>
      <w:r>
        <w:rPr>
          <w:rStyle w:val="CharSectno"/>
        </w:rPr>
        <w:t>30</w:t>
      </w:r>
      <w:r>
        <w:t>.</w:t>
      </w:r>
      <w:r>
        <w:tab/>
        <w:t>Applying to have explosive authorised</w:t>
      </w:r>
      <w:bookmarkEnd w:id="89"/>
      <w:bookmarkEnd w:id="90"/>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UNMR;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UNMR and under the law of the Commonwealth, another State or a Territory;</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Heading5"/>
      </w:pPr>
      <w:bookmarkStart w:id="91" w:name="_Toc233693006"/>
      <w:bookmarkStart w:id="92" w:name="_Toc191982092"/>
      <w:r>
        <w:rPr>
          <w:rStyle w:val="CharSectno"/>
        </w:rPr>
        <w:t>31</w:t>
      </w:r>
      <w:r>
        <w:t>.</w:t>
      </w:r>
      <w:r>
        <w:tab/>
        <w:t>Authorising explosives</w:t>
      </w:r>
      <w:bookmarkEnd w:id="91"/>
      <w:bookmarkEnd w:id="92"/>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UNMR.</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Heading5"/>
      </w:pPr>
      <w:bookmarkStart w:id="93" w:name="_Toc233693007"/>
      <w:bookmarkStart w:id="94" w:name="_Toc191982093"/>
      <w:r>
        <w:rPr>
          <w:rStyle w:val="CharSectno"/>
        </w:rPr>
        <w:t>32</w:t>
      </w:r>
      <w:r>
        <w:t>.</w:t>
      </w:r>
      <w:r>
        <w:tab/>
        <w:t>Register of authorised explosives</w:t>
      </w:r>
      <w:bookmarkEnd w:id="93"/>
      <w:bookmarkEnd w:id="94"/>
    </w:p>
    <w:p>
      <w:pPr>
        <w:pStyle w:val="Subsection"/>
      </w:pPr>
      <w:r>
        <w:tab/>
        <w:t>(1)</w:t>
      </w:r>
      <w:r>
        <w:tab/>
        <w:t>The Chief Officer must keep a record in a register of —</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Heading2"/>
      </w:pPr>
      <w:bookmarkStart w:id="95" w:name="_Toc191960513"/>
      <w:bookmarkStart w:id="96" w:name="_Toc191982094"/>
      <w:bookmarkStart w:id="97" w:name="_Toc233693008"/>
      <w:r>
        <w:rPr>
          <w:rStyle w:val="CharPartNo"/>
        </w:rPr>
        <w:t>Part 5</w:t>
      </w:r>
      <w:r>
        <w:rPr>
          <w:rStyle w:val="CharDivNo"/>
        </w:rPr>
        <w:t> </w:t>
      </w:r>
      <w:r>
        <w:t>—</w:t>
      </w:r>
      <w:r>
        <w:rPr>
          <w:rStyle w:val="CharDivText"/>
        </w:rPr>
        <w:t> </w:t>
      </w:r>
      <w:r>
        <w:rPr>
          <w:rStyle w:val="CharPartText"/>
        </w:rPr>
        <w:t>General provisions about explosives</w:t>
      </w:r>
      <w:bookmarkEnd w:id="95"/>
      <w:bookmarkEnd w:id="96"/>
      <w:bookmarkEnd w:id="97"/>
    </w:p>
    <w:p>
      <w:pPr>
        <w:pStyle w:val="Heading5"/>
      </w:pPr>
      <w:bookmarkStart w:id="98" w:name="_Toc233693009"/>
      <w:bookmarkStart w:id="99" w:name="_Toc191982095"/>
      <w:r>
        <w:rPr>
          <w:rStyle w:val="CharSectno"/>
        </w:rPr>
        <w:t>33</w:t>
      </w:r>
      <w:r>
        <w:t>.</w:t>
      </w:r>
      <w:r>
        <w:tab/>
        <w:t>Terms used in this Part</w:t>
      </w:r>
      <w:bookmarkEnd w:id="98"/>
      <w:bookmarkEnd w:id="99"/>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00" w:name="_Toc233693010"/>
      <w:bookmarkStart w:id="101" w:name="_Toc191982096"/>
      <w:r>
        <w:rPr>
          <w:rStyle w:val="CharSectno"/>
        </w:rPr>
        <w:t>34</w:t>
      </w:r>
      <w:r>
        <w:t>.</w:t>
      </w:r>
      <w:r>
        <w:tab/>
        <w:t>Signage at certain explosives facilities</w:t>
      </w:r>
      <w:bookmarkEnd w:id="100"/>
      <w:bookmarkEnd w:id="101"/>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1 —</w:t>
      </w:r>
    </w:p>
    <w:p>
      <w:pPr>
        <w:pStyle w:val="Indenti"/>
      </w:pPr>
      <w:r>
        <w:tab/>
        <w:t>(i)</w:t>
      </w:r>
      <w:r>
        <w:tab/>
        <w:t>at every entrance to the place on its perimeter; or</w:t>
      </w:r>
    </w:p>
    <w:p>
      <w:pPr>
        <w:pStyle w:val="Indenti"/>
      </w:pPr>
      <w:r>
        <w:tab/>
        <w:t>(ii)</w:t>
      </w:r>
      <w:r>
        <w:tab/>
        <w:t>at a position or positions approved in writing by FESA;</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Heading5"/>
      </w:pPr>
      <w:bookmarkStart w:id="102" w:name="_Toc233693011"/>
      <w:bookmarkStart w:id="103" w:name="_Toc191982097"/>
      <w:r>
        <w:rPr>
          <w:rStyle w:val="CharSectno"/>
        </w:rPr>
        <w:t>35</w:t>
      </w:r>
      <w:r>
        <w:t>.</w:t>
      </w:r>
      <w:r>
        <w:tab/>
        <w:t>Guns in explosives facilities</w:t>
      </w:r>
      <w:bookmarkEnd w:id="102"/>
      <w:bookmarkEnd w:id="103"/>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104" w:name="_Toc233693012"/>
      <w:bookmarkStart w:id="105" w:name="_Toc191982098"/>
      <w:r>
        <w:rPr>
          <w:rStyle w:val="CharSectno"/>
        </w:rPr>
        <w:t>36</w:t>
      </w:r>
      <w:r>
        <w:t>.</w:t>
      </w:r>
      <w:r>
        <w:tab/>
        <w:t>Explosives sites, duties of people at</w:t>
      </w:r>
      <w:bookmarkEnd w:id="104"/>
      <w:bookmarkEnd w:id="105"/>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106" w:name="_Toc233693013"/>
      <w:bookmarkStart w:id="107" w:name="_Toc191982099"/>
      <w:r>
        <w:rPr>
          <w:rStyle w:val="CharSectno"/>
        </w:rPr>
        <w:t>37</w:t>
      </w:r>
      <w:r>
        <w:t>.</w:t>
      </w:r>
      <w:r>
        <w:tab/>
        <w:t>Ignition sources near explosives</w:t>
      </w:r>
      <w:bookmarkEnd w:id="106"/>
      <w:bookmarkEnd w:id="107"/>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08" w:name="_Toc233693014"/>
      <w:bookmarkStart w:id="109" w:name="_Toc191982100"/>
      <w:r>
        <w:rPr>
          <w:rStyle w:val="CharSectno"/>
        </w:rPr>
        <w:t>38</w:t>
      </w:r>
      <w:r>
        <w:t>.</w:t>
      </w:r>
      <w:r>
        <w:tab/>
        <w:t>Fire risk substances near explosives</w:t>
      </w:r>
      <w:bookmarkEnd w:id="108"/>
      <w:bookmarkEnd w:id="109"/>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10" w:name="_Toc233693015"/>
      <w:bookmarkStart w:id="111" w:name="_Toc191982101"/>
      <w:r>
        <w:rPr>
          <w:rStyle w:val="CharSectno"/>
        </w:rPr>
        <w:t>39</w:t>
      </w:r>
      <w:r>
        <w:t>.</w:t>
      </w:r>
      <w:r>
        <w:tab/>
        <w:t>People affected by alcohol etc. near explosives</w:t>
      </w:r>
      <w:bookmarkEnd w:id="110"/>
      <w:bookmarkEnd w:id="111"/>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12" w:name="_Toc233693016"/>
      <w:bookmarkStart w:id="113" w:name="_Toc191982102"/>
      <w:r>
        <w:rPr>
          <w:rStyle w:val="CharSectno"/>
        </w:rPr>
        <w:t>40</w:t>
      </w:r>
      <w:r>
        <w:t>.</w:t>
      </w:r>
      <w:r>
        <w:tab/>
        <w:t>Packaging requirements for explosives</w:t>
      </w:r>
      <w:bookmarkEnd w:id="112"/>
      <w:bookmarkEnd w:id="113"/>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14" w:name="_Toc233693017"/>
      <w:bookmarkStart w:id="115" w:name="_Toc191982103"/>
      <w:r>
        <w:rPr>
          <w:rStyle w:val="CharSectno"/>
        </w:rPr>
        <w:t>41</w:t>
      </w:r>
      <w:r>
        <w:t>.</w:t>
      </w:r>
      <w:r>
        <w:tab/>
        <w:t>Defective explosives not to be exported or supplied</w:t>
      </w:r>
      <w:bookmarkEnd w:id="114"/>
      <w:bookmarkEnd w:id="115"/>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16" w:name="_Toc233693018"/>
      <w:bookmarkStart w:id="117" w:name="_Toc191982104"/>
      <w:r>
        <w:rPr>
          <w:rStyle w:val="CharSectno"/>
        </w:rPr>
        <w:t>42</w:t>
      </w:r>
      <w:r>
        <w:t>.</w:t>
      </w:r>
      <w:r>
        <w:tab/>
        <w:t>MPUs, use of</w:t>
      </w:r>
      <w:bookmarkEnd w:id="116"/>
      <w:bookmarkEnd w:id="117"/>
    </w:p>
    <w:p>
      <w:pPr>
        <w:pStyle w:val="Subsection"/>
      </w:pPr>
      <w:r>
        <w:tab/>
        <w:t>(1)</w:t>
      </w:r>
      <w:r>
        <w:tab/>
        <w:t>A person must not use an MPU to transport the constituents of, or to manufacture, an explosive unless it is a complying MPU.</w:t>
      </w:r>
    </w:p>
    <w:p>
      <w:pPr>
        <w:pStyle w:val="Penstart"/>
      </w:pPr>
      <w:r>
        <w:tab/>
        <w:t>Penalty: a level 1 fine and imprisonment for 10 months.</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1 fine and imprisonment for 10 months.</w:t>
      </w:r>
    </w:p>
    <w:p>
      <w:pPr>
        <w:pStyle w:val="Heading5"/>
      </w:pPr>
      <w:bookmarkStart w:id="118" w:name="_Toc233693019"/>
      <w:bookmarkStart w:id="119" w:name="_Toc191982105"/>
      <w:r>
        <w:rPr>
          <w:rStyle w:val="CharSectno"/>
        </w:rPr>
        <w:t>43</w:t>
      </w:r>
      <w:r>
        <w:t>.</w:t>
      </w:r>
      <w:r>
        <w:tab/>
        <w:t>Falsely representing an explosive is authorised</w:t>
      </w:r>
      <w:bookmarkEnd w:id="118"/>
      <w:bookmarkEnd w:id="119"/>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20" w:name="_Toc233693020"/>
      <w:bookmarkStart w:id="121" w:name="_Toc191982106"/>
      <w:r>
        <w:rPr>
          <w:rStyle w:val="CharSectno"/>
        </w:rPr>
        <w:t>44</w:t>
      </w:r>
      <w:r>
        <w:t>.</w:t>
      </w:r>
      <w:r>
        <w:tab/>
        <w:t>“Reportable situations” prescribed (Act s. 9)</w:t>
      </w:r>
      <w:bookmarkEnd w:id="120"/>
      <w:bookmarkEnd w:id="121"/>
    </w:p>
    <w:p>
      <w:pPr>
        <w:pStyle w:val="Subsection"/>
        <w:keepNext/>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pPr>
      <w:r>
        <w:tab/>
        <w:t>(2)</w:t>
      </w:r>
      <w:r>
        <w:tab/>
        <w:t>Each of the following is prescribed to be a reportable situation for the purposes of the definition of “reportable situation”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Heading2"/>
      </w:pPr>
      <w:bookmarkStart w:id="122" w:name="_Toc191960526"/>
      <w:bookmarkStart w:id="123" w:name="_Toc191982107"/>
      <w:bookmarkStart w:id="124" w:name="_Toc233693021"/>
      <w:r>
        <w:rPr>
          <w:rStyle w:val="CharPartNo"/>
        </w:rPr>
        <w:t>Part 6</w:t>
      </w:r>
      <w:r>
        <w:t> — </w:t>
      </w:r>
      <w:r>
        <w:rPr>
          <w:rStyle w:val="CharPartText"/>
        </w:rPr>
        <w:t>Possession of explosives</w:t>
      </w:r>
      <w:bookmarkEnd w:id="122"/>
      <w:bookmarkEnd w:id="123"/>
      <w:bookmarkEnd w:id="124"/>
    </w:p>
    <w:p>
      <w:pPr>
        <w:pStyle w:val="Heading3"/>
      </w:pPr>
      <w:bookmarkStart w:id="125" w:name="_Toc191960527"/>
      <w:bookmarkStart w:id="126" w:name="_Toc191982108"/>
      <w:bookmarkStart w:id="127" w:name="_Toc233693022"/>
      <w:r>
        <w:rPr>
          <w:rStyle w:val="CharDivNo"/>
        </w:rPr>
        <w:t>Division 1</w:t>
      </w:r>
      <w:r>
        <w:t> — </w:t>
      </w:r>
      <w:r>
        <w:rPr>
          <w:rStyle w:val="CharDivText"/>
        </w:rPr>
        <w:t>Licensing requirements</w:t>
      </w:r>
      <w:bookmarkEnd w:id="125"/>
      <w:bookmarkEnd w:id="126"/>
      <w:bookmarkEnd w:id="127"/>
    </w:p>
    <w:p>
      <w:pPr>
        <w:pStyle w:val="Heading5"/>
      </w:pPr>
      <w:bookmarkStart w:id="128" w:name="_Toc233693023"/>
      <w:bookmarkStart w:id="129" w:name="_Toc191982109"/>
      <w:r>
        <w:rPr>
          <w:rStyle w:val="CharSectno"/>
        </w:rPr>
        <w:t>45</w:t>
      </w:r>
      <w:r>
        <w:t>.</w:t>
      </w:r>
      <w:r>
        <w:tab/>
        <w:t>Unauthorised explosives</w:t>
      </w:r>
      <w:bookmarkEnd w:id="128"/>
      <w:bookmarkEnd w:id="129"/>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130" w:name="_Toc233693024"/>
      <w:bookmarkStart w:id="131" w:name="_Toc191982110"/>
      <w:r>
        <w:rPr>
          <w:rStyle w:val="CharSectno"/>
        </w:rPr>
        <w:t>46</w:t>
      </w:r>
      <w:r>
        <w:t>.</w:t>
      </w:r>
      <w:r>
        <w:tab/>
        <w:t>Possession for which no licence is required (Sch. 4)</w:t>
      </w:r>
      <w:bookmarkEnd w:id="130"/>
      <w:bookmarkEnd w:id="131"/>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132" w:name="_Toc233693025"/>
      <w:bookmarkStart w:id="133" w:name="_Toc191982111"/>
      <w:r>
        <w:rPr>
          <w:rStyle w:val="CharSectno"/>
        </w:rPr>
        <w:t>47</w:t>
      </w:r>
      <w:r>
        <w:t>.</w:t>
      </w:r>
      <w:r>
        <w:tab/>
        <w:t>Authorised explosives, licences and permits entitling possession of</w:t>
      </w:r>
      <w:bookmarkEnd w:id="132"/>
      <w:bookmarkEnd w:id="133"/>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134" w:name="_Toc191960531"/>
      <w:bookmarkStart w:id="135" w:name="_Toc191982112"/>
      <w:bookmarkStart w:id="136" w:name="_Toc233693026"/>
      <w:r>
        <w:rPr>
          <w:rStyle w:val="CharDivNo"/>
        </w:rPr>
        <w:t>Division 2</w:t>
      </w:r>
      <w:r>
        <w:t> — </w:t>
      </w:r>
      <w:r>
        <w:rPr>
          <w:rStyle w:val="CharDivText"/>
        </w:rPr>
        <w:t>Other requirements</w:t>
      </w:r>
      <w:bookmarkEnd w:id="134"/>
      <w:bookmarkEnd w:id="135"/>
      <w:bookmarkEnd w:id="136"/>
    </w:p>
    <w:p>
      <w:pPr>
        <w:pStyle w:val="Heading5"/>
      </w:pPr>
      <w:bookmarkStart w:id="137" w:name="_Toc233693027"/>
      <w:bookmarkStart w:id="138" w:name="_Toc191982113"/>
      <w:r>
        <w:rPr>
          <w:rStyle w:val="CharSectno"/>
        </w:rPr>
        <w:t>48</w:t>
      </w:r>
      <w:r>
        <w:t>.</w:t>
      </w:r>
      <w:r>
        <w:tab/>
        <w:t>Prohibited explosives, possession of illegal</w:t>
      </w:r>
      <w:bookmarkEnd w:id="137"/>
      <w:bookmarkEnd w:id="138"/>
    </w:p>
    <w:p>
      <w:pPr>
        <w:pStyle w:val="Subsection"/>
      </w:pPr>
      <w:r>
        <w:tab/>
      </w:r>
      <w:r>
        <w:tab/>
        <w:t>A person must not be in possession of a prohibited explosive.</w:t>
      </w:r>
    </w:p>
    <w:p>
      <w:pPr>
        <w:pStyle w:val="Penstart"/>
      </w:pPr>
      <w:r>
        <w:tab/>
        <w:t>Penalty: a level 2 fine.</w:t>
      </w:r>
    </w:p>
    <w:p>
      <w:pPr>
        <w:pStyle w:val="Heading5"/>
      </w:pPr>
      <w:bookmarkStart w:id="139" w:name="_Toc233693028"/>
      <w:bookmarkStart w:id="140" w:name="_Toc191982114"/>
      <w:r>
        <w:rPr>
          <w:rStyle w:val="CharSectno"/>
        </w:rPr>
        <w:t>49</w:t>
      </w:r>
      <w:r>
        <w:t>.</w:t>
      </w:r>
      <w:r>
        <w:tab/>
        <w:t>Children in possession of explosives</w:t>
      </w:r>
      <w:bookmarkEnd w:id="139"/>
      <w:bookmarkEnd w:id="140"/>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41" w:name="_Toc233693029"/>
      <w:bookmarkStart w:id="142" w:name="_Toc191982115"/>
      <w:r>
        <w:rPr>
          <w:rStyle w:val="CharSectno"/>
        </w:rPr>
        <w:t>50</w:t>
      </w:r>
      <w:r>
        <w:t>.</w:t>
      </w:r>
      <w:r>
        <w:tab/>
        <w:t>Public places, possession in</w:t>
      </w:r>
      <w:bookmarkEnd w:id="141"/>
      <w:bookmarkEnd w:id="142"/>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43" w:name="_Toc233693030"/>
      <w:bookmarkStart w:id="144" w:name="_Toc191982116"/>
      <w:r>
        <w:rPr>
          <w:rStyle w:val="CharSectno"/>
        </w:rPr>
        <w:t>51</w:t>
      </w:r>
      <w:r>
        <w:t>.</w:t>
      </w:r>
      <w:r>
        <w:tab/>
        <w:t>Licences etc. to be carried</w:t>
      </w:r>
      <w:bookmarkEnd w:id="143"/>
      <w:bookmarkEnd w:id="144"/>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145" w:name="_Toc233693031"/>
      <w:bookmarkStart w:id="146" w:name="_Toc191982117"/>
      <w:r>
        <w:rPr>
          <w:rStyle w:val="CharSectno"/>
        </w:rPr>
        <w:t>52</w:t>
      </w:r>
      <w:r>
        <w:t>.</w:t>
      </w:r>
      <w:r>
        <w:tab/>
        <w:t>Duties to keep explosives secure</w:t>
      </w:r>
      <w:bookmarkEnd w:id="145"/>
      <w:bookmarkEnd w:id="146"/>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147" w:name="_Toc191960537"/>
      <w:bookmarkStart w:id="148" w:name="_Toc191982118"/>
      <w:bookmarkStart w:id="149" w:name="_Toc233693032"/>
      <w:r>
        <w:rPr>
          <w:rStyle w:val="CharPartNo"/>
        </w:rPr>
        <w:t>Part 7</w:t>
      </w:r>
      <w:r>
        <w:t> — </w:t>
      </w:r>
      <w:r>
        <w:rPr>
          <w:rStyle w:val="CharPartText"/>
        </w:rPr>
        <w:t>Import and export of explosives</w:t>
      </w:r>
      <w:bookmarkEnd w:id="147"/>
      <w:bookmarkEnd w:id="148"/>
      <w:bookmarkEnd w:id="149"/>
    </w:p>
    <w:p>
      <w:pPr>
        <w:pStyle w:val="Heading3"/>
      </w:pPr>
      <w:bookmarkStart w:id="150" w:name="_Toc191960538"/>
      <w:bookmarkStart w:id="151" w:name="_Toc191982119"/>
      <w:bookmarkStart w:id="152" w:name="_Toc233693033"/>
      <w:r>
        <w:rPr>
          <w:rStyle w:val="CharDivNo"/>
        </w:rPr>
        <w:t>Division 1</w:t>
      </w:r>
      <w:r>
        <w:t> — </w:t>
      </w:r>
      <w:r>
        <w:rPr>
          <w:rStyle w:val="CharDivText"/>
        </w:rPr>
        <w:t>All imports and exports</w:t>
      </w:r>
      <w:bookmarkEnd w:id="150"/>
      <w:bookmarkEnd w:id="151"/>
      <w:bookmarkEnd w:id="152"/>
    </w:p>
    <w:p>
      <w:pPr>
        <w:pStyle w:val="Heading5"/>
      </w:pPr>
      <w:bookmarkStart w:id="153" w:name="_Toc233693034"/>
      <w:bookmarkStart w:id="154" w:name="_Toc191982120"/>
      <w:r>
        <w:rPr>
          <w:rStyle w:val="CharSectno"/>
        </w:rPr>
        <w:t>53</w:t>
      </w:r>
      <w:r>
        <w:t>.</w:t>
      </w:r>
      <w:r>
        <w:tab/>
        <w:t>Unauthorised explosives</w:t>
      </w:r>
      <w:bookmarkEnd w:id="153"/>
      <w:bookmarkEnd w:id="154"/>
    </w:p>
    <w:p>
      <w:pPr>
        <w:pStyle w:val="Subsection"/>
      </w:pPr>
      <w:r>
        <w:tab/>
      </w:r>
      <w:r>
        <w:tab/>
        <w:t>A person who imports to the State an unauthorised explosive must hold a test permit that authorises the person to import it.</w:t>
      </w:r>
    </w:p>
    <w:p>
      <w:pPr>
        <w:pStyle w:val="Heading3"/>
        <w:rPr>
          <w:rStyle w:val="CharDivText"/>
        </w:rPr>
      </w:pPr>
      <w:bookmarkStart w:id="155" w:name="_Toc191960540"/>
      <w:bookmarkStart w:id="156" w:name="_Toc191982121"/>
      <w:bookmarkStart w:id="157" w:name="_Toc233693035"/>
      <w:r>
        <w:rPr>
          <w:rStyle w:val="CharDivNo"/>
        </w:rPr>
        <w:t>Division 2</w:t>
      </w:r>
      <w:r>
        <w:t> — </w:t>
      </w:r>
      <w:r>
        <w:rPr>
          <w:rStyle w:val="CharDivText"/>
        </w:rPr>
        <w:t>Interstate imports</w:t>
      </w:r>
      <w:bookmarkEnd w:id="155"/>
      <w:bookmarkEnd w:id="156"/>
      <w:bookmarkEnd w:id="157"/>
    </w:p>
    <w:p>
      <w:pPr>
        <w:pStyle w:val="Heading5"/>
      </w:pPr>
      <w:bookmarkStart w:id="158" w:name="_Toc233693036"/>
      <w:bookmarkStart w:id="159" w:name="_Toc191982122"/>
      <w:r>
        <w:rPr>
          <w:rStyle w:val="CharSectno"/>
        </w:rPr>
        <w:t>54</w:t>
      </w:r>
      <w:r>
        <w:t>.</w:t>
      </w:r>
      <w:r>
        <w:tab/>
        <w:t>Terms used in this Division</w:t>
      </w:r>
      <w:bookmarkEnd w:id="158"/>
      <w:bookmarkEnd w:id="159"/>
    </w:p>
    <w:p>
      <w:pPr>
        <w:pStyle w:val="Subsection"/>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160" w:name="_Toc233693037"/>
      <w:bookmarkStart w:id="161" w:name="_Toc191982123"/>
      <w:r>
        <w:rPr>
          <w:rStyle w:val="CharSectno"/>
        </w:rPr>
        <w:t>55</w:t>
      </w:r>
      <w:r>
        <w:t>.</w:t>
      </w:r>
      <w:r>
        <w:tab/>
        <w:t>Interstate import of fireworks</w:t>
      </w:r>
      <w:bookmarkEnd w:id="160"/>
      <w:bookmarkEnd w:id="161"/>
    </w:p>
    <w:p>
      <w:pPr>
        <w:pStyle w:val="Subsection"/>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162" w:name="_Toc191960543"/>
      <w:bookmarkStart w:id="163" w:name="_Toc191982124"/>
      <w:bookmarkStart w:id="164" w:name="_Toc233693038"/>
      <w:r>
        <w:rPr>
          <w:rStyle w:val="CharDivNo"/>
        </w:rPr>
        <w:t>Division 3</w:t>
      </w:r>
      <w:r>
        <w:t> — </w:t>
      </w:r>
      <w:r>
        <w:rPr>
          <w:rStyle w:val="CharDivText"/>
        </w:rPr>
        <w:t>International imports and exports</w:t>
      </w:r>
      <w:bookmarkEnd w:id="162"/>
      <w:bookmarkEnd w:id="163"/>
      <w:bookmarkEnd w:id="164"/>
    </w:p>
    <w:p>
      <w:pPr>
        <w:pStyle w:val="Heading5"/>
      </w:pPr>
      <w:bookmarkStart w:id="165" w:name="_Toc233693039"/>
      <w:bookmarkStart w:id="166" w:name="_Toc191982125"/>
      <w:r>
        <w:rPr>
          <w:rStyle w:val="CharSectno"/>
        </w:rPr>
        <w:t>56</w:t>
      </w:r>
      <w:r>
        <w:t>.</w:t>
      </w:r>
      <w:r>
        <w:tab/>
        <w:t>Terms used in this Division</w:t>
      </w:r>
      <w:bookmarkEnd w:id="165"/>
      <w:bookmarkEnd w:id="166"/>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167" w:name="_Toc233693040"/>
      <w:bookmarkStart w:id="168" w:name="_Toc191982126"/>
      <w:r>
        <w:rPr>
          <w:rStyle w:val="CharSectno"/>
        </w:rPr>
        <w:t>57</w:t>
      </w:r>
      <w:r>
        <w:t>.</w:t>
      </w:r>
      <w:r>
        <w:tab/>
        <w:t>Authorised explosives, licence entitling import or export</w:t>
      </w:r>
      <w:bookmarkEnd w:id="167"/>
      <w:bookmarkEnd w:id="168"/>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Heading5"/>
      </w:pPr>
      <w:bookmarkStart w:id="169" w:name="_Toc233693041"/>
      <w:bookmarkStart w:id="170" w:name="_Toc191982127"/>
      <w:r>
        <w:rPr>
          <w:rStyle w:val="CharSectno"/>
        </w:rPr>
        <w:t>58</w:t>
      </w:r>
      <w:r>
        <w:t>.</w:t>
      </w:r>
      <w:r>
        <w:tab/>
        <w:t>International import and export, procedure for</w:t>
      </w:r>
      <w:bookmarkEnd w:id="169"/>
      <w:bookmarkEnd w:id="170"/>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171" w:name="_Toc233693042"/>
      <w:bookmarkStart w:id="172" w:name="_Toc191982128"/>
      <w:r>
        <w:rPr>
          <w:rStyle w:val="CharSectno"/>
        </w:rPr>
        <w:t>59</w:t>
      </w:r>
      <w:r>
        <w:t>.</w:t>
      </w:r>
      <w:r>
        <w:tab/>
        <w:t>Import or export, notice to Chief Officer</w:t>
      </w:r>
      <w:bookmarkEnd w:id="171"/>
      <w:bookmarkEnd w:id="172"/>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pPr>
      <w:r>
        <w:tab/>
        <w:t>(e)</w:t>
      </w:r>
      <w:r>
        <w:tab/>
        <w:t>the country from which the explosive is being imported;</w:t>
      </w:r>
    </w:p>
    <w:p>
      <w:pPr>
        <w:pStyle w:val="Indenta"/>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173" w:name="_Toc233693043"/>
      <w:bookmarkStart w:id="174" w:name="_Toc191982129"/>
      <w:r>
        <w:rPr>
          <w:rStyle w:val="CharSectno"/>
        </w:rPr>
        <w:t>60</w:t>
      </w:r>
      <w:r>
        <w:t>.</w:t>
      </w:r>
      <w:r>
        <w:tab/>
        <w:t>Chief Officer may direct explosive to be analysed</w:t>
      </w:r>
      <w:bookmarkEnd w:id="173"/>
      <w:bookmarkEnd w:id="174"/>
    </w:p>
    <w:p>
      <w:pPr>
        <w:pStyle w:val="Subsection"/>
      </w:pPr>
      <w:r>
        <w:tab/>
        <w:t>(1)</w:t>
      </w:r>
      <w:r>
        <w:tab/>
        <w:t xml:space="preserve">The Chief Officer may give a person importing or exporting an explosive a written notice that directs the person to do any or all of the following — </w:t>
      </w:r>
    </w:p>
    <w:p>
      <w:pPr>
        <w:pStyle w:val="Indenta"/>
      </w:pPr>
      <w:r>
        <w:tab/>
        <w:t>(a)</w:t>
      </w:r>
      <w:r>
        <w:tab/>
        <w:t>at the person’s expense, to have the explosive analysed or tested by a person specified, and in accordance with directions specified, in the notice;</w:t>
      </w:r>
    </w:p>
    <w:p>
      <w:pPr>
        <w:pStyle w:val="Indenta"/>
      </w:pPr>
      <w:r>
        <w:tab/>
        <w:t>(b)</w:t>
      </w:r>
      <w:r>
        <w:tab/>
        <w:t>to allow the explosive to be inspected by a DGO at the time and place stated in the notice, or at some other time or place agreed with a DGO.</w:t>
      </w:r>
    </w:p>
    <w:p>
      <w:pPr>
        <w:pStyle w:val="Subsection"/>
      </w:pPr>
      <w:r>
        <w:tab/>
        <w:t>(2)</w:t>
      </w:r>
      <w:r>
        <w:tab/>
        <w:t>A person given such a notice must obey it.</w:t>
      </w:r>
    </w:p>
    <w:p>
      <w:pPr>
        <w:pStyle w:val="Penstart"/>
      </w:pPr>
      <w:r>
        <w:tab/>
        <w:t>Penalty: a level 2 fine.</w:t>
      </w:r>
    </w:p>
    <w:p>
      <w:pPr>
        <w:pStyle w:val="Heading5"/>
      </w:pPr>
      <w:bookmarkStart w:id="175" w:name="_Toc233693044"/>
      <w:bookmarkStart w:id="176" w:name="_Toc191982130"/>
      <w:r>
        <w:rPr>
          <w:rStyle w:val="CharSectno"/>
        </w:rPr>
        <w:t>61</w:t>
      </w:r>
      <w:r>
        <w:t>.</w:t>
      </w:r>
      <w:r>
        <w:tab/>
        <w:t>Records to be kept by licence holders</w:t>
      </w:r>
      <w:bookmarkEnd w:id="175"/>
      <w:bookmarkEnd w:id="176"/>
    </w:p>
    <w:p>
      <w:pPr>
        <w:pStyle w:val="Subsection"/>
      </w:pPr>
      <w:r>
        <w:tab/>
        <w:t>(1)</w:t>
      </w:r>
      <w:r>
        <w:tab/>
        <w:t>The holder of an explosives import/export licence must keep a proper record of explosives imported or exported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imported or exported;</w:t>
      </w:r>
    </w:p>
    <w:p>
      <w:pPr>
        <w:pStyle w:val="Indenta"/>
      </w:pPr>
      <w:r>
        <w:tab/>
        <w:t>(b)</w:t>
      </w:r>
      <w:r>
        <w:tab/>
        <w:t>the date of the import or export;</w:t>
      </w:r>
    </w:p>
    <w:p>
      <w:pPr>
        <w:pStyle w:val="Indenta"/>
      </w:pPr>
      <w:r>
        <w:tab/>
        <w:t>(c)</w:t>
      </w:r>
      <w:r>
        <w:tab/>
        <w:t>the name and address of both the consignee and consignor of the explosive,</w:t>
      </w:r>
    </w:p>
    <w:p>
      <w:pPr>
        <w:pStyle w:val="Subsection"/>
      </w:pPr>
      <w:r>
        <w:tab/>
      </w:r>
      <w:r>
        <w:tab/>
        <w:t>and is kept for 2 years after the date of the import or export (as the case requires).</w:t>
      </w:r>
    </w:p>
    <w:p>
      <w:pPr>
        <w:pStyle w:val="Heading5"/>
      </w:pPr>
      <w:bookmarkStart w:id="177" w:name="_Toc233693045"/>
      <w:bookmarkStart w:id="178" w:name="_Toc191982131"/>
      <w:r>
        <w:rPr>
          <w:rStyle w:val="CharSectno"/>
        </w:rPr>
        <w:t>62</w:t>
      </w:r>
      <w:r>
        <w:t>.</w:t>
      </w:r>
      <w:r>
        <w:tab/>
        <w:t>Port operators may refuse import in certain cases</w:t>
      </w:r>
      <w:bookmarkEnd w:id="177"/>
      <w:bookmarkEnd w:id="178"/>
    </w:p>
    <w:p>
      <w:pPr>
        <w:pStyle w:val="Subsection"/>
      </w:pPr>
      <w:r>
        <w:tab/>
      </w:r>
      <w:r>
        <w:tab/>
        <w:t xml:space="preserve">The harbour master of a port into which an explosive is imported may refuse to permit the explosive to be landed at the port if not satisfied — </w:t>
      </w:r>
    </w:p>
    <w:p>
      <w:pPr>
        <w:pStyle w:val="Indenta"/>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179" w:name="_Toc191960551"/>
      <w:bookmarkStart w:id="180" w:name="_Toc191982132"/>
      <w:bookmarkStart w:id="181" w:name="_Toc233693046"/>
      <w:r>
        <w:rPr>
          <w:rStyle w:val="CharPartNo"/>
        </w:rPr>
        <w:t>Part 8</w:t>
      </w:r>
      <w:r>
        <w:t> — </w:t>
      </w:r>
      <w:r>
        <w:rPr>
          <w:rStyle w:val="CharPartText"/>
        </w:rPr>
        <w:t>Manufacture of explosives</w:t>
      </w:r>
      <w:bookmarkEnd w:id="179"/>
      <w:bookmarkEnd w:id="180"/>
      <w:bookmarkEnd w:id="181"/>
    </w:p>
    <w:p>
      <w:pPr>
        <w:pStyle w:val="Heading3"/>
      </w:pPr>
      <w:bookmarkStart w:id="182" w:name="_Toc191960552"/>
      <w:bookmarkStart w:id="183" w:name="_Toc191982133"/>
      <w:bookmarkStart w:id="184" w:name="_Toc233693047"/>
      <w:r>
        <w:rPr>
          <w:rStyle w:val="CharDivNo"/>
        </w:rPr>
        <w:t>Division 1</w:t>
      </w:r>
      <w:r>
        <w:t> — </w:t>
      </w:r>
      <w:r>
        <w:rPr>
          <w:rStyle w:val="CharDivText"/>
        </w:rPr>
        <w:t>Licensing requirements</w:t>
      </w:r>
      <w:bookmarkEnd w:id="182"/>
      <w:bookmarkEnd w:id="183"/>
      <w:bookmarkEnd w:id="184"/>
    </w:p>
    <w:p>
      <w:pPr>
        <w:pStyle w:val="Heading5"/>
      </w:pPr>
      <w:bookmarkStart w:id="185" w:name="_Toc233693048"/>
      <w:bookmarkStart w:id="186" w:name="_Toc191982134"/>
      <w:r>
        <w:rPr>
          <w:rStyle w:val="CharSectno"/>
        </w:rPr>
        <w:t>63</w:t>
      </w:r>
      <w:r>
        <w:t>.</w:t>
      </w:r>
      <w:r>
        <w:tab/>
        <w:t>Unauthorised explosives</w:t>
      </w:r>
      <w:bookmarkEnd w:id="185"/>
      <w:bookmarkEnd w:id="186"/>
    </w:p>
    <w:p>
      <w:pPr>
        <w:pStyle w:val="Subsection"/>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pPr>
      <w:bookmarkStart w:id="187" w:name="_Toc233693049"/>
      <w:bookmarkStart w:id="188" w:name="_Toc191982135"/>
      <w:r>
        <w:rPr>
          <w:rStyle w:val="CharSectno"/>
        </w:rPr>
        <w:t>64</w:t>
      </w:r>
      <w:r>
        <w:t>.</w:t>
      </w:r>
      <w:r>
        <w:tab/>
        <w:t>Authorised explosives, licensing for manufacture (Sch. 5)</w:t>
      </w:r>
      <w:bookmarkEnd w:id="187"/>
      <w:bookmarkEnd w:id="188"/>
    </w:p>
    <w:p>
      <w:pPr>
        <w:pStyle w:val="Subsection"/>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pPr>
      <w:bookmarkStart w:id="189" w:name="_Toc233693050"/>
      <w:bookmarkStart w:id="190" w:name="_Toc191982136"/>
      <w:r>
        <w:rPr>
          <w:rStyle w:val="CharSectno"/>
        </w:rPr>
        <w:t>65</w:t>
      </w:r>
      <w:r>
        <w:t>.</w:t>
      </w:r>
      <w:r>
        <w:tab/>
        <w:t>Bulk AN-based explosives, licences authorising manufacture of</w:t>
      </w:r>
      <w:bookmarkEnd w:id="189"/>
      <w:bookmarkEnd w:id="190"/>
    </w:p>
    <w:p>
      <w:pPr>
        <w:pStyle w:val="Subsection"/>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employee of the holder of an explosives manufacture (MPU) licence and manufactures the explosive in the course of his or her duties as such;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Heading5"/>
      </w:pPr>
      <w:bookmarkStart w:id="191" w:name="_Toc233693051"/>
      <w:bookmarkStart w:id="192" w:name="_Toc191982137"/>
      <w:r>
        <w:rPr>
          <w:rStyle w:val="CharSectno"/>
        </w:rPr>
        <w:t>66</w:t>
      </w:r>
      <w:r>
        <w:t>.</w:t>
      </w:r>
      <w:r>
        <w:tab/>
        <w:t>Fireworks, licence authorising manufacture of</w:t>
      </w:r>
      <w:bookmarkEnd w:id="191"/>
      <w:bookmarkEnd w:id="192"/>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pPr>
      <w:bookmarkStart w:id="193" w:name="_Toc191960557"/>
      <w:bookmarkStart w:id="194" w:name="_Toc191982138"/>
      <w:bookmarkStart w:id="195" w:name="_Toc233693052"/>
      <w:r>
        <w:rPr>
          <w:rStyle w:val="CharDivNo"/>
        </w:rPr>
        <w:t>Division 2</w:t>
      </w:r>
      <w:r>
        <w:t> — </w:t>
      </w:r>
      <w:r>
        <w:rPr>
          <w:rStyle w:val="CharDivText"/>
        </w:rPr>
        <w:t>Other requirements</w:t>
      </w:r>
      <w:bookmarkEnd w:id="193"/>
      <w:bookmarkEnd w:id="194"/>
      <w:bookmarkEnd w:id="195"/>
    </w:p>
    <w:p>
      <w:pPr>
        <w:pStyle w:val="Heading5"/>
      </w:pPr>
      <w:bookmarkStart w:id="196" w:name="_Toc233693053"/>
      <w:bookmarkStart w:id="197" w:name="_Toc191982139"/>
      <w:r>
        <w:rPr>
          <w:rStyle w:val="CharSectno"/>
        </w:rPr>
        <w:t>67</w:t>
      </w:r>
      <w:r>
        <w:t>.</w:t>
      </w:r>
      <w:r>
        <w:tab/>
        <w:t>Containers of components to be marked</w:t>
      </w:r>
      <w:bookmarkEnd w:id="196"/>
      <w:bookmarkEnd w:id="197"/>
    </w:p>
    <w:p>
      <w:pPr>
        <w:pStyle w:val="Subsection"/>
      </w:pPr>
      <w:r>
        <w:tab/>
      </w:r>
      <w:r>
        <w:tab/>
        <w:t>A person who manufactures an explosive must keep each constituent of the explosive in a container that is clearly and conspicuously marked with the name of the constituent.</w:t>
      </w:r>
    </w:p>
    <w:p>
      <w:pPr>
        <w:pStyle w:val="Penstart"/>
      </w:pPr>
      <w:r>
        <w:tab/>
        <w:t>Penalty: a level 2 fine.</w:t>
      </w:r>
    </w:p>
    <w:p>
      <w:pPr>
        <w:pStyle w:val="Heading5"/>
      </w:pPr>
      <w:bookmarkStart w:id="198" w:name="_Toc233693054"/>
      <w:bookmarkStart w:id="199" w:name="_Toc191982140"/>
      <w:r>
        <w:rPr>
          <w:rStyle w:val="CharSectno"/>
        </w:rPr>
        <w:t>68</w:t>
      </w:r>
      <w:r>
        <w:t>.</w:t>
      </w:r>
      <w:r>
        <w:tab/>
        <w:t>Records to be kept by some manufacturers</w:t>
      </w:r>
      <w:bookmarkEnd w:id="198"/>
      <w:bookmarkEnd w:id="199"/>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200" w:name="_Toc233693055"/>
      <w:bookmarkStart w:id="201" w:name="_Toc191982141"/>
      <w:r>
        <w:rPr>
          <w:rStyle w:val="CharSectno"/>
        </w:rPr>
        <w:t>69</w:t>
      </w:r>
      <w:r>
        <w:t>.</w:t>
      </w:r>
      <w:r>
        <w:tab/>
        <w:t>Documents to be kept at place of manufacture</w:t>
      </w:r>
      <w:bookmarkEnd w:id="200"/>
      <w:bookmarkEnd w:id="201"/>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pPr>
      <w:r>
        <w:tab/>
        <w:t>(b)</w:t>
      </w:r>
      <w:r>
        <w:tab/>
        <w:t>any person treating an injury suffered when handling the explosive.</w:t>
      </w:r>
    </w:p>
    <w:p>
      <w:pPr>
        <w:pStyle w:val="Penstart"/>
      </w:pPr>
      <w:r>
        <w:tab/>
        <w:t>Penalty: a level 3 fine.</w:t>
      </w:r>
    </w:p>
    <w:p>
      <w:pPr>
        <w:pStyle w:val="Heading5"/>
      </w:pPr>
      <w:bookmarkStart w:id="202" w:name="_Toc233693056"/>
      <w:bookmarkStart w:id="203" w:name="_Toc191982142"/>
      <w:r>
        <w:rPr>
          <w:rStyle w:val="CharSectno"/>
        </w:rPr>
        <w:t>70</w:t>
      </w:r>
      <w:r>
        <w:t>.</w:t>
      </w:r>
      <w:r>
        <w:tab/>
        <w:t>Bulk AN-based explosives, manufacture of</w:t>
      </w:r>
      <w:bookmarkEnd w:id="202"/>
      <w:bookmarkEnd w:id="203"/>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204" w:name="_Toc233693057"/>
      <w:bookmarkStart w:id="205" w:name="_Toc191982143"/>
      <w:r>
        <w:rPr>
          <w:rStyle w:val="CharSectno"/>
        </w:rPr>
        <w:t>71</w:t>
      </w:r>
      <w:r>
        <w:t>.</w:t>
      </w:r>
      <w:r>
        <w:tab/>
        <w:t>MPUs in operation not to be left unattended</w:t>
      </w:r>
      <w:bookmarkEnd w:id="204"/>
      <w:bookmarkEnd w:id="205"/>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206" w:name="_Toc233693058"/>
      <w:bookmarkStart w:id="207" w:name="_Toc191982144"/>
      <w:r>
        <w:rPr>
          <w:rStyle w:val="CharSectno"/>
        </w:rPr>
        <w:t>72</w:t>
      </w:r>
      <w:r>
        <w:t>.</w:t>
      </w:r>
      <w:r>
        <w:tab/>
        <w:t>Fireworks manufactured by licensee, supply and use of</w:t>
      </w:r>
      <w:bookmarkEnd w:id="206"/>
      <w:bookmarkEnd w:id="207"/>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208" w:name="_Toc233693059"/>
      <w:bookmarkStart w:id="209" w:name="_Toc191982145"/>
      <w:r>
        <w:rPr>
          <w:rStyle w:val="CharSectno"/>
        </w:rPr>
        <w:t>73</w:t>
      </w:r>
      <w:r>
        <w:t>.</w:t>
      </w:r>
      <w:r>
        <w:tab/>
        <w:t>Filling ammunition</w:t>
      </w:r>
      <w:bookmarkEnd w:id="208"/>
      <w:bookmarkEnd w:id="209"/>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210" w:name="_Toc191960565"/>
      <w:bookmarkStart w:id="211" w:name="_Toc191982146"/>
      <w:bookmarkStart w:id="212" w:name="_Toc233693060"/>
      <w:r>
        <w:rPr>
          <w:rStyle w:val="CharPartNo"/>
        </w:rPr>
        <w:t>Part 9</w:t>
      </w:r>
      <w:r>
        <w:t> — </w:t>
      </w:r>
      <w:r>
        <w:rPr>
          <w:rStyle w:val="CharPartText"/>
        </w:rPr>
        <w:t>Storage of explosives</w:t>
      </w:r>
      <w:bookmarkEnd w:id="210"/>
      <w:bookmarkEnd w:id="211"/>
      <w:bookmarkEnd w:id="212"/>
    </w:p>
    <w:p>
      <w:pPr>
        <w:pStyle w:val="Heading3"/>
      </w:pPr>
      <w:bookmarkStart w:id="213" w:name="_Toc191960566"/>
      <w:bookmarkStart w:id="214" w:name="_Toc191982147"/>
      <w:bookmarkStart w:id="215" w:name="_Toc233693061"/>
      <w:r>
        <w:rPr>
          <w:rStyle w:val="CharDivNo"/>
        </w:rPr>
        <w:t>Division 1</w:t>
      </w:r>
      <w:r>
        <w:t> — </w:t>
      </w:r>
      <w:r>
        <w:rPr>
          <w:rStyle w:val="CharDivText"/>
        </w:rPr>
        <w:t>Preliminary matters</w:t>
      </w:r>
      <w:bookmarkEnd w:id="213"/>
      <w:bookmarkEnd w:id="214"/>
      <w:bookmarkEnd w:id="215"/>
    </w:p>
    <w:p>
      <w:pPr>
        <w:pStyle w:val="Heading5"/>
      </w:pPr>
      <w:bookmarkStart w:id="216" w:name="_Toc233693062"/>
      <w:bookmarkStart w:id="217" w:name="_Toc191982148"/>
      <w:r>
        <w:rPr>
          <w:rStyle w:val="CharSectno"/>
        </w:rPr>
        <w:t>74</w:t>
      </w:r>
      <w:r>
        <w:t>.</w:t>
      </w:r>
      <w:r>
        <w:tab/>
        <w:t>Terms used in this Part</w:t>
      </w:r>
      <w:bookmarkEnd w:id="216"/>
      <w:bookmarkEnd w:id="217"/>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218" w:name="_Toc191960568"/>
      <w:bookmarkStart w:id="219" w:name="_Toc191982149"/>
      <w:bookmarkStart w:id="220" w:name="_Toc233693063"/>
      <w:r>
        <w:rPr>
          <w:rStyle w:val="CharDivNo"/>
        </w:rPr>
        <w:t>Division 2</w:t>
      </w:r>
      <w:r>
        <w:t> — </w:t>
      </w:r>
      <w:r>
        <w:rPr>
          <w:rStyle w:val="CharDivText"/>
        </w:rPr>
        <w:t>Licensing requirements</w:t>
      </w:r>
      <w:bookmarkEnd w:id="218"/>
      <w:bookmarkEnd w:id="219"/>
      <w:bookmarkEnd w:id="220"/>
    </w:p>
    <w:p>
      <w:pPr>
        <w:pStyle w:val="Heading5"/>
      </w:pPr>
      <w:bookmarkStart w:id="221" w:name="_Toc233693064"/>
      <w:bookmarkStart w:id="222" w:name="_Toc191982150"/>
      <w:r>
        <w:rPr>
          <w:rStyle w:val="CharSectno"/>
        </w:rPr>
        <w:t>75</w:t>
      </w:r>
      <w:r>
        <w:t>.</w:t>
      </w:r>
      <w:r>
        <w:tab/>
        <w:t>Unauthorised explosives</w:t>
      </w:r>
      <w:bookmarkEnd w:id="221"/>
      <w:bookmarkEnd w:id="222"/>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223" w:name="_Toc233693065"/>
      <w:bookmarkStart w:id="224" w:name="_Toc191982151"/>
      <w:r>
        <w:rPr>
          <w:rStyle w:val="CharSectno"/>
        </w:rPr>
        <w:t>76</w:t>
      </w:r>
      <w:r>
        <w:t>.</w:t>
      </w:r>
      <w:r>
        <w:tab/>
        <w:t>Authorised explosives, licensing for storage (Sch. 6)</w:t>
      </w:r>
      <w:bookmarkEnd w:id="223"/>
      <w:bookmarkEnd w:id="224"/>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79 or 80 and stores the explosive in accordance with that regulation.</w:t>
      </w:r>
    </w:p>
    <w:p>
      <w:pPr>
        <w:pStyle w:val="NotesPerm"/>
      </w:pPr>
      <w:r>
        <w:tab/>
        <w:t>Note: the Act s. 11 (Unlicensed person involved with dangerous goods).</w:t>
      </w:r>
    </w:p>
    <w:p>
      <w:pPr>
        <w:pStyle w:val="Heading5"/>
      </w:pPr>
      <w:bookmarkStart w:id="225" w:name="_Toc233693066"/>
      <w:bookmarkStart w:id="226" w:name="_Toc191982152"/>
      <w:r>
        <w:rPr>
          <w:rStyle w:val="CharSectno"/>
        </w:rPr>
        <w:t>77</w:t>
      </w:r>
      <w:r>
        <w:t>.</w:t>
      </w:r>
      <w:r>
        <w:tab/>
        <w:t>Shotfiring licence authorises limited storage</w:t>
      </w:r>
      <w:bookmarkEnd w:id="225"/>
      <w:bookmarkEnd w:id="226"/>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pPr>
      <w:r>
        <w:tab/>
        <w:t>(2)</w:t>
      </w:r>
      <w:r>
        <w:tab/>
        <w:t>If a term used in this regulation is not defined by subregulation (1) but is defined in AS 2187.0, it has the same meaning in this regulation as it has in AS 2187.0, unless the contrary intention appears.</w:t>
      </w:r>
    </w:p>
    <w:p>
      <w:pPr>
        <w:pStyle w:val="Subsection"/>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227" w:name="_Toc233693067"/>
      <w:bookmarkStart w:id="228" w:name="_Toc191982153"/>
      <w:r>
        <w:rPr>
          <w:rStyle w:val="CharSectno"/>
        </w:rPr>
        <w:t>78</w:t>
      </w:r>
      <w:r>
        <w:t>.</w:t>
      </w:r>
      <w:r>
        <w:tab/>
        <w:t>Pyrotechnics (special use) licence authorises limited storage</w:t>
      </w:r>
      <w:bookmarkEnd w:id="227"/>
      <w:bookmarkEnd w:id="228"/>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229" w:name="_Toc233693068"/>
      <w:bookmarkStart w:id="230" w:name="_Toc191982154"/>
      <w:r>
        <w:rPr>
          <w:rStyle w:val="CharSectno"/>
        </w:rPr>
        <w:t>79</w:t>
      </w:r>
      <w:r>
        <w:t>.</w:t>
      </w:r>
      <w:r>
        <w:tab/>
        <w:t>Fireworks contractor licence and fireworks operator licence authorise limited storage</w:t>
      </w:r>
      <w:bookmarkEnd w:id="229"/>
      <w:bookmarkEnd w:id="230"/>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231" w:name="_Toc233693069"/>
      <w:bookmarkStart w:id="232" w:name="_Toc191982155"/>
      <w:r>
        <w:rPr>
          <w:rStyle w:val="CharSectno"/>
        </w:rPr>
        <w:t>80</w:t>
      </w:r>
      <w:r>
        <w:t>.</w:t>
      </w:r>
      <w:r>
        <w:tab/>
        <w:t>Fireworks event permit may authorise storage</w:t>
      </w:r>
      <w:bookmarkEnd w:id="231"/>
      <w:bookmarkEnd w:id="232"/>
    </w:p>
    <w:p>
      <w:pPr>
        <w:pStyle w:val="Subsection"/>
      </w:pPr>
      <w:r>
        <w:tab/>
      </w:r>
      <w:r>
        <w:tab/>
        <w:t>The holder of a fireworks event permit is authorised to store a firework at a place for which there is no explosives storage licence if the permit authorises storage of it at the place.</w:t>
      </w:r>
    </w:p>
    <w:p>
      <w:pPr>
        <w:pStyle w:val="Heading3"/>
      </w:pPr>
      <w:bookmarkStart w:id="233" w:name="_Toc191960575"/>
      <w:bookmarkStart w:id="234" w:name="_Toc191982156"/>
      <w:bookmarkStart w:id="235" w:name="_Toc233693070"/>
      <w:r>
        <w:rPr>
          <w:rStyle w:val="CharDivNo"/>
        </w:rPr>
        <w:t>Division 3</w:t>
      </w:r>
      <w:r>
        <w:t> — </w:t>
      </w:r>
      <w:r>
        <w:rPr>
          <w:rStyle w:val="CharDivText"/>
        </w:rPr>
        <w:t>Storing Schedule 6 explosives</w:t>
      </w:r>
      <w:bookmarkEnd w:id="233"/>
      <w:bookmarkEnd w:id="234"/>
      <w:bookmarkEnd w:id="235"/>
    </w:p>
    <w:p>
      <w:pPr>
        <w:pStyle w:val="Heading5"/>
      </w:pPr>
      <w:bookmarkStart w:id="236" w:name="_Toc233693071"/>
      <w:bookmarkStart w:id="237" w:name="_Toc191982157"/>
      <w:r>
        <w:rPr>
          <w:rStyle w:val="CharSectno"/>
        </w:rPr>
        <w:t>81</w:t>
      </w:r>
      <w:r>
        <w:t>.</w:t>
      </w:r>
      <w:r>
        <w:tab/>
        <w:t>Application of this Division</w:t>
      </w:r>
      <w:bookmarkEnd w:id="236"/>
      <w:bookmarkEnd w:id="237"/>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238" w:name="_Toc233693072"/>
      <w:bookmarkStart w:id="239" w:name="_Toc191982158"/>
      <w:r>
        <w:rPr>
          <w:rStyle w:val="CharSectno"/>
        </w:rPr>
        <w:t>82</w:t>
      </w:r>
      <w:r>
        <w:t>.</w:t>
      </w:r>
      <w:r>
        <w:tab/>
        <w:t>Cartridges for safety devices etc.</w:t>
      </w:r>
      <w:bookmarkEnd w:id="238"/>
      <w:bookmarkEnd w:id="239"/>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240" w:name="_Toc233693073"/>
      <w:bookmarkStart w:id="241" w:name="_Toc191982159"/>
      <w:r>
        <w:rPr>
          <w:rStyle w:val="CharSectno"/>
        </w:rPr>
        <w:t>83</w:t>
      </w:r>
      <w:r>
        <w:t>.</w:t>
      </w:r>
      <w:r>
        <w:tab/>
        <w:t>Cartridges for nail guns etc.</w:t>
      </w:r>
      <w:bookmarkEnd w:id="240"/>
      <w:bookmarkEnd w:id="241"/>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242" w:name="_Toc233693074"/>
      <w:bookmarkStart w:id="243" w:name="_Toc191982160"/>
      <w:r>
        <w:rPr>
          <w:rStyle w:val="CharSectno"/>
        </w:rPr>
        <w:t>84</w:t>
      </w:r>
      <w:r>
        <w:t>.</w:t>
      </w:r>
      <w:r>
        <w:tab/>
        <w:t>Emergency devices</w:t>
      </w:r>
      <w:bookmarkEnd w:id="242"/>
      <w:bookmarkEnd w:id="243"/>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244" w:name="_Toc233693075"/>
      <w:bookmarkStart w:id="245" w:name="_Toc191982161"/>
      <w:r>
        <w:rPr>
          <w:rStyle w:val="CharSectno"/>
        </w:rPr>
        <w:t>85</w:t>
      </w:r>
      <w:r>
        <w:t>.</w:t>
      </w:r>
      <w:r>
        <w:tab/>
        <w:t>Ammunition propellant and black powder</w:t>
      </w:r>
      <w:bookmarkEnd w:id="244"/>
      <w:bookmarkEnd w:id="245"/>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246" w:name="_Toc191960581"/>
      <w:bookmarkStart w:id="247" w:name="_Toc191982162"/>
      <w:bookmarkStart w:id="248" w:name="_Toc233693076"/>
      <w:r>
        <w:rPr>
          <w:rStyle w:val="CharDivNo"/>
        </w:rPr>
        <w:t>Division 4</w:t>
      </w:r>
      <w:r>
        <w:t> — </w:t>
      </w:r>
      <w:r>
        <w:rPr>
          <w:rStyle w:val="CharDivText"/>
        </w:rPr>
        <w:t>Storage under licences other than an explosives storage licence</w:t>
      </w:r>
      <w:bookmarkEnd w:id="246"/>
      <w:bookmarkEnd w:id="247"/>
      <w:bookmarkEnd w:id="248"/>
    </w:p>
    <w:p>
      <w:pPr>
        <w:pStyle w:val="Heading5"/>
      </w:pPr>
      <w:bookmarkStart w:id="249" w:name="_Toc233693077"/>
      <w:bookmarkStart w:id="250" w:name="_Toc191982163"/>
      <w:r>
        <w:rPr>
          <w:rStyle w:val="CharSectno"/>
        </w:rPr>
        <w:t>86</w:t>
      </w:r>
      <w:r>
        <w:t>.</w:t>
      </w:r>
      <w:r>
        <w:tab/>
        <w:t>Shotfiring licence holders, storage by</w:t>
      </w:r>
      <w:bookmarkEnd w:id="249"/>
      <w:bookmarkEnd w:id="250"/>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51" w:name="_Toc233693078"/>
      <w:bookmarkStart w:id="252" w:name="_Toc191982164"/>
      <w:r>
        <w:rPr>
          <w:rStyle w:val="CharSectno"/>
        </w:rPr>
        <w:t>87</w:t>
      </w:r>
      <w:r>
        <w:t>.</w:t>
      </w:r>
      <w:r>
        <w:tab/>
        <w:t>Pyrotechnics (special use) licence holders, storage by</w:t>
      </w:r>
      <w:bookmarkEnd w:id="251"/>
      <w:bookmarkEnd w:id="252"/>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53" w:name="_Toc233693079"/>
      <w:bookmarkStart w:id="254" w:name="_Toc191982165"/>
      <w:r>
        <w:rPr>
          <w:rStyle w:val="CharSectno"/>
        </w:rPr>
        <w:t>88</w:t>
      </w:r>
      <w:r>
        <w:t>.</w:t>
      </w:r>
      <w:r>
        <w:tab/>
        <w:t>Fireworks contractor licence holders, storage by</w:t>
      </w:r>
      <w:bookmarkEnd w:id="253"/>
      <w:bookmarkEnd w:id="254"/>
    </w:p>
    <w:p>
      <w:pPr>
        <w:pStyle w:val="Subsection"/>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pPr>
      <w:r>
        <w:tab/>
        <w:t>(2)</w:t>
      </w:r>
      <w:r>
        <w:tab/>
        <w:t>The person must not store the firework in, or in any part of, a building used wholly or partly as a dwelling or a shop.</w:t>
      </w:r>
    </w:p>
    <w:p>
      <w:pPr>
        <w:pStyle w:val="Subsection"/>
        <w:keepNext/>
      </w:pPr>
      <w:r>
        <w:tab/>
        <w:t>(3)</w:t>
      </w:r>
      <w:r>
        <w:tab/>
        <w:t>The person must store the firework safely.</w:t>
      </w:r>
    </w:p>
    <w:p>
      <w:pPr>
        <w:pStyle w:val="Penstart"/>
      </w:pPr>
      <w:r>
        <w:tab/>
        <w:t>Penalty: a level 2 fine.</w:t>
      </w:r>
    </w:p>
    <w:p>
      <w:pPr>
        <w:pStyle w:val="Heading5"/>
      </w:pPr>
      <w:bookmarkStart w:id="255" w:name="_Toc233693080"/>
      <w:bookmarkStart w:id="256" w:name="_Toc191982166"/>
      <w:r>
        <w:rPr>
          <w:rStyle w:val="CharSectno"/>
        </w:rPr>
        <w:t>89</w:t>
      </w:r>
      <w:r>
        <w:t>.</w:t>
      </w:r>
      <w:r>
        <w:tab/>
        <w:t>Fireworks event permit holders, storage by</w:t>
      </w:r>
      <w:bookmarkEnd w:id="255"/>
      <w:bookmarkEnd w:id="256"/>
    </w:p>
    <w:p>
      <w:pPr>
        <w:pStyle w:val="Subsection"/>
      </w:pPr>
      <w:r>
        <w:tab/>
      </w:r>
      <w:r>
        <w:tab/>
        <w:t>This regulation applies to a person who holds a fireworks event permit and who, under the permit, stores a firework at a place for which there not an explosives storage licence held by the person.</w:t>
      </w:r>
    </w:p>
    <w:p>
      <w:pPr>
        <w:pStyle w:val="Penstart"/>
      </w:pPr>
      <w:r>
        <w:tab/>
        <w:t>Penalty: a level 2 fine.</w:t>
      </w:r>
    </w:p>
    <w:p>
      <w:pPr>
        <w:pStyle w:val="Heading3"/>
      </w:pPr>
      <w:bookmarkStart w:id="257" w:name="_Toc191960586"/>
      <w:bookmarkStart w:id="258" w:name="_Toc191982167"/>
      <w:bookmarkStart w:id="259" w:name="_Toc233693081"/>
      <w:r>
        <w:rPr>
          <w:rStyle w:val="CharDivNo"/>
        </w:rPr>
        <w:t>Division 5</w:t>
      </w:r>
      <w:r>
        <w:t> — </w:t>
      </w:r>
      <w:r>
        <w:rPr>
          <w:rStyle w:val="CharDivText"/>
        </w:rPr>
        <w:t>Storage under an explosives storage licence</w:t>
      </w:r>
      <w:bookmarkEnd w:id="257"/>
      <w:bookmarkEnd w:id="258"/>
      <w:bookmarkEnd w:id="259"/>
    </w:p>
    <w:p>
      <w:pPr>
        <w:pStyle w:val="Heading5"/>
      </w:pPr>
      <w:bookmarkStart w:id="260" w:name="_Toc233693082"/>
      <w:bookmarkStart w:id="261" w:name="_Toc191982168"/>
      <w:r>
        <w:rPr>
          <w:rStyle w:val="CharSectno"/>
        </w:rPr>
        <w:t>90</w:t>
      </w:r>
      <w:r>
        <w:t>.</w:t>
      </w:r>
      <w:r>
        <w:tab/>
        <w:t>General requirements</w:t>
      </w:r>
      <w:bookmarkEnd w:id="260"/>
      <w:bookmarkEnd w:id="261"/>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1 fine and imprisonment for 10 months.</w:t>
      </w:r>
    </w:p>
    <w:p>
      <w:pPr>
        <w:pStyle w:val="Heading5"/>
      </w:pPr>
      <w:bookmarkStart w:id="262" w:name="_Toc233693083"/>
      <w:bookmarkStart w:id="263" w:name="_Toc191982169"/>
      <w:r>
        <w:rPr>
          <w:rStyle w:val="CharSectno"/>
        </w:rPr>
        <w:t>91</w:t>
      </w:r>
      <w:r>
        <w:t>.</w:t>
      </w:r>
      <w:r>
        <w:tab/>
        <w:t>Underground storage, magazine requirements</w:t>
      </w:r>
      <w:bookmarkEnd w:id="262"/>
      <w:bookmarkEnd w:id="263"/>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pPr>
      <w:r>
        <w:tab/>
        <w:t>(2)</w:t>
      </w:r>
      <w:r>
        <w:tab/>
        <w:t>The holder of an explosives storage licence who stores underground any explosive to which the licence relates, must store the explosive in a complying magazine.</w:t>
      </w:r>
    </w:p>
    <w:p>
      <w:pPr>
        <w:pStyle w:val="Penstart"/>
      </w:pPr>
      <w:r>
        <w:tab/>
        <w:t>Penalty: a level 1 fine and imprisonment for 10 months.</w:t>
      </w:r>
    </w:p>
    <w:p>
      <w:pPr>
        <w:pStyle w:val="Subsection"/>
      </w:pPr>
      <w:r>
        <w:tab/>
        <w:t>(3)</w:t>
      </w:r>
      <w:r>
        <w:tab/>
        <w:t>It is a defence to a charge of an offence against subregulation (2) that is alleged to have been committed —</w:t>
      </w:r>
    </w:p>
    <w:p>
      <w:pPr>
        <w:pStyle w:val="Indenta"/>
      </w:pPr>
      <w:r>
        <w:tab/>
        <w:t>(a)</w:t>
      </w:r>
      <w:r>
        <w:tab/>
        <w:t xml:space="preserve">at a mine (as that term is defined in the </w:t>
      </w:r>
      <w:r>
        <w:rPr>
          <w:i/>
        </w:rPr>
        <w:t>Mines Safety and Inspection Act 1994</w:t>
      </w:r>
      <w:r>
        <w:t>); and</w:t>
      </w:r>
    </w:p>
    <w:p>
      <w:pPr>
        <w:pStyle w:val="Indenta"/>
      </w:pPr>
      <w:r>
        <w:tab/>
        <w:t>(b)</w:t>
      </w:r>
      <w:r>
        <w:tab/>
        <w:t>in the 12 months that begin on the day on which these regulations come into operation,</w:t>
      </w:r>
    </w:p>
    <w:p>
      <w:pPr>
        <w:pStyle w:val="Subsection"/>
      </w:pPr>
      <w:r>
        <w:tab/>
      </w:r>
      <w:r>
        <w:tab/>
        <w:t xml:space="preserve">to prove that the magazine complied with the </w:t>
      </w:r>
      <w:r>
        <w:rPr>
          <w:i/>
        </w:rPr>
        <w:t>Mines Safety and Inspection Regulations 1995</w:t>
      </w:r>
      <w:r>
        <w:t xml:space="preserve"> regulation 8.5(1) or 8.9, as it was immediately before it was repealed.</w:t>
      </w:r>
    </w:p>
    <w:p>
      <w:pPr>
        <w:pStyle w:val="Subsection"/>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Heading5"/>
      </w:pPr>
      <w:bookmarkStart w:id="264" w:name="_Toc233693084"/>
      <w:bookmarkStart w:id="265" w:name="_Toc191982170"/>
      <w:r>
        <w:rPr>
          <w:rStyle w:val="CharSectno"/>
        </w:rPr>
        <w:t>92</w:t>
      </w:r>
      <w:r>
        <w:t>.</w:t>
      </w:r>
      <w:r>
        <w:tab/>
        <w:t>Explosives storage licence holders to keep inventories etc.</w:t>
      </w:r>
      <w:bookmarkEnd w:id="264"/>
      <w:bookmarkEnd w:id="265"/>
    </w:p>
    <w:p>
      <w:pPr>
        <w:pStyle w:val="Subsection"/>
      </w:pPr>
      <w:r>
        <w:tab/>
        <w:t>(1)</w:t>
      </w:r>
      <w:r>
        <w:tab/>
        <w:t>The holder of an explosives storage licence must keep a proper inventory for any place to which the licence relates.</w:t>
      </w:r>
    </w:p>
    <w:p>
      <w:pPr>
        <w:pStyle w:val="Penstart"/>
      </w:pPr>
      <w:r>
        <w:tab/>
        <w:t>Penalty: a level 2 fine.</w:t>
      </w:r>
    </w:p>
    <w:p>
      <w:pPr>
        <w:pStyle w:val="Subsection"/>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pPr>
      <w:r>
        <w:tab/>
      </w:r>
      <w:r>
        <w:tab/>
        <w:t>and is kept for 2 years after the date of each such receipt or dispatch.</w:t>
      </w:r>
    </w:p>
    <w:p>
      <w:pPr>
        <w:pStyle w:val="Subsection"/>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266" w:name="_Toc233693085"/>
      <w:bookmarkStart w:id="267" w:name="_Toc191982171"/>
      <w:r>
        <w:rPr>
          <w:rStyle w:val="CharSectno"/>
        </w:rPr>
        <w:t>93</w:t>
      </w:r>
      <w:r>
        <w:t>.</w:t>
      </w:r>
      <w:r>
        <w:tab/>
        <w:t>Documents to be kept at storage places</w:t>
      </w:r>
      <w:bookmarkEnd w:id="266"/>
      <w:bookmarkEnd w:id="267"/>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268" w:name="_Toc233693086"/>
      <w:bookmarkStart w:id="269" w:name="_Toc191982172"/>
      <w:r>
        <w:rPr>
          <w:rStyle w:val="CharSectno"/>
        </w:rPr>
        <w:t>94</w:t>
      </w:r>
      <w:r>
        <w:t>.</w:t>
      </w:r>
      <w:r>
        <w:tab/>
        <w:t>Magazines to be kept secure</w:t>
      </w:r>
      <w:bookmarkEnd w:id="268"/>
      <w:bookmarkEnd w:id="269"/>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270" w:name="_Toc191960592"/>
      <w:bookmarkStart w:id="271" w:name="_Toc191982173"/>
      <w:bookmarkStart w:id="272" w:name="_Toc233693087"/>
      <w:r>
        <w:rPr>
          <w:rStyle w:val="CharPartNo"/>
        </w:rPr>
        <w:t>Part 10</w:t>
      </w:r>
      <w:r>
        <w:t> — </w:t>
      </w:r>
      <w:r>
        <w:rPr>
          <w:rStyle w:val="CharPartText"/>
        </w:rPr>
        <w:t>Transport of explosives</w:t>
      </w:r>
      <w:bookmarkEnd w:id="270"/>
      <w:bookmarkEnd w:id="271"/>
      <w:bookmarkEnd w:id="272"/>
    </w:p>
    <w:p>
      <w:pPr>
        <w:pStyle w:val="Heading3"/>
      </w:pPr>
      <w:bookmarkStart w:id="273" w:name="_Toc191960593"/>
      <w:bookmarkStart w:id="274" w:name="_Toc191982174"/>
      <w:bookmarkStart w:id="275" w:name="_Toc233693088"/>
      <w:r>
        <w:rPr>
          <w:rStyle w:val="CharDivNo"/>
        </w:rPr>
        <w:t>Division 1</w:t>
      </w:r>
      <w:r>
        <w:t> — </w:t>
      </w:r>
      <w:r>
        <w:rPr>
          <w:rStyle w:val="CharDivText"/>
        </w:rPr>
        <w:t>Preliminary matters</w:t>
      </w:r>
      <w:bookmarkEnd w:id="273"/>
      <w:bookmarkEnd w:id="274"/>
      <w:bookmarkEnd w:id="275"/>
    </w:p>
    <w:p>
      <w:pPr>
        <w:pStyle w:val="Heading5"/>
      </w:pPr>
      <w:bookmarkStart w:id="276" w:name="_Toc233693089"/>
      <w:bookmarkStart w:id="277" w:name="_Toc191982175"/>
      <w:r>
        <w:rPr>
          <w:rStyle w:val="CharSectno"/>
        </w:rPr>
        <w:t>95</w:t>
      </w:r>
      <w:r>
        <w:t>.</w:t>
      </w:r>
      <w:r>
        <w:tab/>
        <w:t>Terms used in this Part</w:t>
      </w:r>
      <w:bookmarkEnd w:id="276"/>
      <w:bookmarkEnd w:id="277"/>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278" w:name="_Toc191960595"/>
      <w:bookmarkStart w:id="279" w:name="_Toc191982176"/>
      <w:bookmarkStart w:id="280" w:name="_Toc233693090"/>
      <w:r>
        <w:rPr>
          <w:rStyle w:val="CharDivNo"/>
        </w:rPr>
        <w:t>Division 2</w:t>
      </w:r>
      <w:r>
        <w:t> — </w:t>
      </w:r>
      <w:r>
        <w:rPr>
          <w:rStyle w:val="CharDivText"/>
        </w:rPr>
        <w:t>Licensing requirements</w:t>
      </w:r>
      <w:bookmarkEnd w:id="278"/>
      <w:bookmarkEnd w:id="279"/>
      <w:bookmarkEnd w:id="280"/>
    </w:p>
    <w:p>
      <w:pPr>
        <w:pStyle w:val="Heading5"/>
      </w:pPr>
      <w:bookmarkStart w:id="281" w:name="_Toc233693091"/>
      <w:bookmarkStart w:id="282" w:name="_Toc191982177"/>
      <w:r>
        <w:rPr>
          <w:rStyle w:val="CharSectno"/>
        </w:rPr>
        <w:t>96</w:t>
      </w:r>
      <w:r>
        <w:t>.</w:t>
      </w:r>
      <w:r>
        <w:tab/>
        <w:t>Unauthorised explosives</w:t>
      </w:r>
      <w:bookmarkEnd w:id="281"/>
      <w:bookmarkEnd w:id="282"/>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pPr>
      <w:bookmarkStart w:id="283" w:name="_Toc233693092"/>
      <w:bookmarkStart w:id="284" w:name="_Toc191982178"/>
      <w:r>
        <w:rPr>
          <w:rStyle w:val="CharSectno"/>
        </w:rPr>
        <w:t>97</w:t>
      </w:r>
      <w:r>
        <w:t>.</w:t>
      </w:r>
      <w:r>
        <w:tab/>
        <w:t>Authorised explosives, licences entitling transport</w:t>
      </w:r>
      <w:bookmarkEnd w:id="283"/>
      <w:bookmarkEnd w:id="284"/>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Heading5"/>
      </w:pPr>
      <w:bookmarkStart w:id="285" w:name="_Toc233693093"/>
      <w:bookmarkStart w:id="286" w:name="_Toc191982179"/>
      <w:r>
        <w:rPr>
          <w:rStyle w:val="CharSectno"/>
        </w:rPr>
        <w:t>98</w:t>
      </w:r>
      <w:r>
        <w:t>.</w:t>
      </w:r>
      <w:r>
        <w:tab/>
        <w:t>Shotfiring licence authorises limited transport</w:t>
      </w:r>
      <w:bookmarkEnd w:id="285"/>
      <w:bookmarkEnd w:id="286"/>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287" w:name="_Toc233693094"/>
      <w:bookmarkStart w:id="288" w:name="_Toc191982180"/>
      <w:r>
        <w:rPr>
          <w:rStyle w:val="CharSectno"/>
        </w:rPr>
        <w:t>99</w:t>
      </w:r>
      <w:r>
        <w:t>.</w:t>
      </w:r>
      <w:r>
        <w:tab/>
        <w:t>Pyrotechnics (special use) licence authorises limited transport</w:t>
      </w:r>
      <w:bookmarkEnd w:id="287"/>
      <w:bookmarkEnd w:id="288"/>
    </w:p>
    <w:p>
      <w:pPr>
        <w:pStyle w:val="Subsection"/>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289" w:name="_Toc233693095"/>
      <w:bookmarkStart w:id="290" w:name="_Toc191982181"/>
      <w:r>
        <w:rPr>
          <w:rStyle w:val="CharSectno"/>
        </w:rPr>
        <w:t>100</w:t>
      </w:r>
      <w:r>
        <w:t>.</w:t>
      </w:r>
      <w:r>
        <w:tab/>
        <w:t>Fireworks contractor licence authorises limited transport</w:t>
      </w:r>
      <w:bookmarkEnd w:id="289"/>
      <w:bookmarkEnd w:id="290"/>
    </w:p>
    <w:p>
      <w:pPr>
        <w:pStyle w:val="Subsection"/>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pPr>
      <w:bookmarkStart w:id="291" w:name="_Toc233693096"/>
      <w:bookmarkStart w:id="292" w:name="_Toc191982182"/>
      <w:r>
        <w:rPr>
          <w:rStyle w:val="CharSectno"/>
        </w:rPr>
        <w:t>101</w:t>
      </w:r>
      <w:r>
        <w:t>.</w:t>
      </w:r>
      <w:r>
        <w:tab/>
        <w:t>Fireworks operator licence authorises limited transport</w:t>
      </w:r>
      <w:bookmarkEnd w:id="291"/>
      <w:bookmarkEnd w:id="292"/>
    </w:p>
    <w:p>
      <w:pPr>
        <w:pStyle w:val="Subsection"/>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293" w:name="_Toc233693097"/>
      <w:bookmarkStart w:id="294" w:name="_Toc191982183"/>
      <w:r>
        <w:rPr>
          <w:rStyle w:val="CharSectno"/>
        </w:rPr>
        <w:t>102</w:t>
      </w:r>
      <w:r>
        <w:t>.</w:t>
      </w:r>
      <w:r>
        <w:tab/>
        <w:t>MPUs, licensing requirements for</w:t>
      </w:r>
      <w:bookmarkEnd w:id="293"/>
      <w:bookmarkEnd w:id="294"/>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295" w:name="_Toc191960603"/>
      <w:bookmarkStart w:id="296" w:name="_Toc191982184"/>
      <w:bookmarkStart w:id="297" w:name="_Toc233693098"/>
      <w:r>
        <w:rPr>
          <w:rStyle w:val="CharDivNo"/>
        </w:rPr>
        <w:t>Division 3</w:t>
      </w:r>
      <w:r>
        <w:t> — </w:t>
      </w:r>
      <w:r>
        <w:rPr>
          <w:rStyle w:val="CharDivText"/>
        </w:rPr>
        <w:t>Transport by road or rail</w:t>
      </w:r>
      <w:bookmarkEnd w:id="295"/>
      <w:bookmarkEnd w:id="296"/>
      <w:bookmarkEnd w:id="297"/>
    </w:p>
    <w:p>
      <w:pPr>
        <w:pStyle w:val="Heading5"/>
      </w:pPr>
      <w:bookmarkStart w:id="298" w:name="_Toc233693099"/>
      <w:bookmarkStart w:id="299" w:name="_Toc191982185"/>
      <w:r>
        <w:rPr>
          <w:rStyle w:val="CharSectno"/>
        </w:rPr>
        <w:t>103</w:t>
      </w:r>
      <w:r>
        <w:t>.</w:t>
      </w:r>
      <w:r>
        <w:tab/>
        <w:t>Application of this Division</w:t>
      </w:r>
      <w:bookmarkEnd w:id="298"/>
      <w:bookmarkEnd w:id="299"/>
    </w:p>
    <w:p>
      <w:pPr>
        <w:pStyle w:val="Subsection"/>
      </w:pPr>
      <w:r>
        <w:tab/>
      </w:r>
      <w:r>
        <w:tab/>
        <w:t>This Division applies to and in relation to the transport of an explosive by road or rail.</w:t>
      </w:r>
    </w:p>
    <w:p>
      <w:pPr>
        <w:pStyle w:val="Heading5"/>
      </w:pPr>
      <w:bookmarkStart w:id="300" w:name="_Toc233693100"/>
      <w:bookmarkStart w:id="301" w:name="_Toc191982186"/>
      <w:r>
        <w:rPr>
          <w:rStyle w:val="CharSectno"/>
        </w:rPr>
        <w:t>104</w:t>
      </w:r>
      <w:r>
        <w:t>.</w:t>
      </w:r>
      <w:r>
        <w:tab/>
        <w:t>Contravention of AE Code Ch. 8 an offence</w:t>
      </w:r>
      <w:bookmarkEnd w:id="300"/>
      <w:bookmarkEnd w:id="301"/>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1 fine and imprisonment for 10 months.</w:t>
      </w:r>
    </w:p>
    <w:p>
      <w:pPr>
        <w:pStyle w:val="Subsection"/>
      </w:pPr>
      <w:r>
        <w:tab/>
        <w:t>(2)</w:t>
      </w:r>
      <w:r>
        <w:tab/>
        <w:t xml:space="preserve">Subregulation (1) does not apply — </w:t>
      </w:r>
    </w:p>
    <w:p>
      <w:pPr>
        <w:pStyle w:val="Indenta"/>
      </w:pPr>
      <w:r>
        <w:tab/>
        <w:t>(a)</w:t>
      </w:r>
      <w:r>
        <w:tab/>
        <w:t>to the AE Code clause 8.3.4(2); or</w:t>
      </w:r>
    </w:p>
    <w:p>
      <w:pPr>
        <w:pStyle w:val="Indenta"/>
      </w:pPr>
      <w:r>
        <w:tab/>
        <w:t>(b)</w:t>
      </w:r>
      <w:r>
        <w:tab/>
        <w:t>to the AE Code clause 8.4.3(2) to (4); or</w:t>
      </w:r>
    </w:p>
    <w:p>
      <w:pPr>
        <w:pStyle w:val="Indenta"/>
      </w:pPr>
      <w:r>
        <w:tab/>
        <w:t>(c)</w:t>
      </w:r>
      <w:r>
        <w:tab/>
        <w:t>to a person in respect of the transport of an explosive named in Schedule 7 in accordance with that Schedule on a vehicle that is not transporting any other explosive.</w:t>
      </w:r>
    </w:p>
    <w:p>
      <w:pPr>
        <w:pStyle w:val="Subsection"/>
      </w:pPr>
      <w:r>
        <w:tab/>
        <w:t>(3)</w:t>
      </w:r>
      <w:r>
        <w:tab/>
        <w:t>Subregulation (2)(b) does not affect the operation of regulation 97(3).</w:t>
      </w:r>
    </w:p>
    <w:p>
      <w:pPr>
        <w:pStyle w:val="Heading5"/>
      </w:pPr>
      <w:bookmarkStart w:id="302" w:name="_Toc233693101"/>
      <w:bookmarkStart w:id="303" w:name="_Toc191982187"/>
      <w:r>
        <w:rPr>
          <w:rStyle w:val="CharSectno"/>
        </w:rPr>
        <w:t>105</w:t>
      </w:r>
      <w:r>
        <w:t>.</w:t>
      </w:r>
      <w:r>
        <w:tab/>
        <w:t>Consignor’s duties</w:t>
      </w:r>
      <w:bookmarkEnd w:id="302"/>
      <w:bookmarkEnd w:id="303"/>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304" w:name="_Toc233693102"/>
      <w:bookmarkStart w:id="305" w:name="_Toc191982188"/>
      <w:r>
        <w:rPr>
          <w:rStyle w:val="CharSectno"/>
        </w:rPr>
        <w:t>106</w:t>
      </w:r>
      <w:r>
        <w:t>.</w:t>
      </w:r>
      <w:r>
        <w:tab/>
        <w:t>Prime contractor’s duties</w:t>
      </w:r>
      <w:bookmarkEnd w:id="304"/>
      <w:bookmarkEnd w:id="305"/>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clause 6.4.2(2), subregulation (1) does not operate to require a vehicle used to transport an explosive by road to be approved by the Chief Officer.</w:t>
      </w:r>
    </w:p>
    <w:p>
      <w:pPr>
        <w:pStyle w:val="Heading5"/>
      </w:pPr>
      <w:bookmarkStart w:id="306" w:name="_Toc233693103"/>
      <w:bookmarkStart w:id="307" w:name="_Toc191982189"/>
      <w:r>
        <w:rPr>
          <w:rStyle w:val="CharSectno"/>
        </w:rPr>
        <w:t>107</w:t>
      </w:r>
      <w:r>
        <w:t>.</w:t>
      </w:r>
      <w:r>
        <w:tab/>
        <w:t>Restrictions on transporting certain loads in CBDs</w:t>
      </w:r>
      <w:bookmarkEnd w:id="306"/>
      <w:bookmarkEnd w:id="307"/>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clause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Heading3"/>
      </w:pPr>
      <w:bookmarkStart w:id="308" w:name="_Toc191960609"/>
      <w:bookmarkStart w:id="309" w:name="_Toc191982190"/>
      <w:bookmarkStart w:id="310" w:name="_Toc233693104"/>
      <w:r>
        <w:rPr>
          <w:rStyle w:val="CharDivNo"/>
        </w:rPr>
        <w:t>Division 4</w:t>
      </w:r>
      <w:r>
        <w:t> — </w:t>
      </w:r>
      <w:r>
        <w:rPr>
          <w:rStyle w:val="CharDivText"/>
        </w:rPr>
        <w:t>Emergencies</w:t>
      </w:r>
      <w:bookmarkEnd w:id="308"/>
      <w:bookmarkEnd w:id="309"/>
      <w:bookmarkEnd w:id="310"/>
    </w:p>
    <w:p>
      <w:pPr>
        <w:pStyle w:val="Heading5"/>
      </w:pPr>
      <w:bookmarkStart w:id="311" w:name="_Toc233693105"/>
      <w:bookmarkStart w:id="312" w:name="_Toc191982191"/>
      <w:r>
        <w:rPr>
          <w:rStyle w:val="CharSectno"/>
        </w:rPr>
        <w:t>108</w:t>
      </w:r>
      <w:r>
        <w:t>.</w:t>
      </w:r>
      <w:r>
        <w:tab/>
        <w:t>Terms used in this Division</w:t>
      </w:r>
      <w:bookmarkEnd w:id="311"/>
      <w:bookmarkEnd w:id="312"/>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FESA.</w:t>
      </w:r>
    </w:p>
    <w:p>
      <w:pPr>
        <w:pStyle w:val="Heading5"/>
      </w:pPr>
      <w:bookmarkStart w:id="313" w:name="_Toc233693106"/>
      <w:bookmarkStart w:id="314" w:name="_Toc191982192"/>
      <w:r>
        <w:rPr>
          <w:rStyle w:val="CharSectno"/>
        </w:rPr>
        <w:t>109</w:t>
      </w:r>
      <w:r>
        <w:t>.</w:t>
      </w:r>
      <w:r>
        <w:tab/>
        <w:t>Dangerous situations, duty to notify authorities</w:t>
      </w:r>
      <w:bookmarkEnd w:id="313"/>
      <w:bookmarkEnd w:id="314"/>
    </w:p>
    <w:p>
      <w:pPr>
        <w:pStyle w:val="Subsection"/>
      </w:pPr>
      <w:r>
        <w:tab/>
        <w:t>(1)</w:t>
      </w:r>
      <w:r>
        <w:tab/>
        <w:t>This regulation applies if a vehicle transporting an explosive by road, rail or water is involved in an incident resulting in a dangerous situation.</w:t>
      </w:r>
    </w:p>
    <w:p>
      <w:pPr>
        <w:pStyle w:val="Subsection"/>
      </w:pPr>
      <w:r>
        <w:tab/>
        <w:t>(2)</w:t>
      </w:r>
      <w:r>
        <w:tab/>
        <w:t>In the case of a road vehicle involved in such an incident each accountable person in relation to the vehicle —</w:t>
      </w:r>
    </w:p>
    <w:p>
      <w:pPr>
        <w:pStyle w:val="Indenta"/>
      </w:pPr>
      <w:r>
        <w:tab/>
        <w:t>(a)</w:t>
      </w:r>
      <w:r>
        <w:tab/>
        <w:t>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Heading3"/>
      </w:pPr>
      <w:bookmarkStart w:id="315" w:name="_Toc191960612"/>
      <w:bookmarkStart w:id="316" w:name="_Toc191982193"/>
      <w:bookmarkStart w:id="317" w:name="_Toc233693107"/>
      <w:r>
        <w:rPr>
          <w:rStyle w:val="CharDivNo"/>
        </w:rPr>
        <w:t>Division 5</w:t>
      </w:r>
      <w:r>
        <w:t> — </w:t>
      </w:r>
      <w:r>
        <w:rPr>
          <w:rStyle w:val="CharDivText"/>
        </w:rPr>
        <w:t>Transport in mines</w:t>
      </w:r>
      <w:bookmarkEnd w:id="315"/>
      <w:bookmarkEnd w:id="316"/>
      <w:bookmarkEnd w:id="317"/>
    </w:p>
    <w:p>
      <w:pPr>
        <w:pStyle w:val="Heading5"/>
      </w:pPr>
      <w:bookmarkStart w:id="318" w:name="_Toc233693108"/>
      <w:bookmarkStart w:id="319" w:name="_Toc191982194"/>
      <w:r>
        <w:rPr>
          <w:rStyle w:val="CharSectno"/>
        </w:rPr>
        <w:t>110</w:t>
      </w:r>
      <w:r>
        <w:t>.</w:t>
      </w:r>
      <w:r>
        <w:tab/>
        <w:t>Contravention of certain provisions of AE Code an offence</w:t>
      </w:r>
      <w:bookmarkEnd w:id="318"/>
      <w:bookmarkEnd w:id="319"/>
    </w:p>
    <w:p>
      <w:pPr>
        <w:pStyle w:val="Subsection"/>
      </w:pPr>
      <w:r>
        <w:tab/>
        <w:t>(1)</w:t>
      </w:r>
      <w:r>
        <w:tab/>
        <w:t>The following provisions of the AE Code apply to and in relation to the transport of an explosive by a vehicle in a mine —</w:t>
      </w:r>
    </w:p>
    <w:p>
      <w:pPr>
        <w:pStyle w:val="Indenta"/>
      </w:pPr>
      <w:r>
        <w:tab/>
        <w:t>(a)</w:t>
      </w:r>
      <w:r>
        <w:tab/>
        <w:t>clause 8.2.6(3) and, for the purposes of that clause, Chapter 7;</w:t>
      </w:r>
    </w:p>
    <w:p>
      <w:pPr>
        <w:pStyle w:val="Indenta"/>
      </w:pPr>
      <w:r>
        <w:tab/>
        <w:t>(b)</w:t>
      </w:r>
      <w:r>
        <w:tab/>
        <w:t xml:space="preserve">clause 8.3.3(1) and — </w:t>
      </w:r>
    </w:p>
    <w:p>
      <w:pPr>
        <w:pStyle w:val="Indenti"/>
      </w:pPr>
      <w:r>
        <w:tab/>
        <w:t>(i)</w:t>
      </w:r>
      <w:r>
        <w:tab/>
        <w:t>for the purposes of clause 8.3.3(1)(a), clause 6.2, notwithstanding that clause 8.3.3(1)(a) refers to Chapter 6; and</w:t>
      </w:r>
    </w:p>
    <w:p>
      <w:pPr>
        <w:pStyle w:val="Indenti"/>
      </w:pPr>
      <w:r>
        <w:tab/>
        <w:t>(ii)</w:t>
      </w:r>
      <w:r>
        <w:tab/>
        <w:t>for the purposes of clause 8.3.3(1)(b), clause 7.2;</w:t>
      </w:r>
    </w:p>
    <w:p>
      <w:pPr>
        <w:pStyle w:val="Indenta"/>
      </w:pPr>
      <w:r>
        <w:tab/>
        <w:t>(c)</w:t>
      </w:r>
      <w:r>
        <w:tab/>
        <w:t>clause 8.3.6 and, for the purposes of clause 8.3.6(1) and (2), clause 3.4.1(1) and (2), notwithstanding that clause 8.3.6(1) and (2) refer to clause 3.4;</w:t>
      </w:r>
    </w:p>
    <w:p>
      <w:pPr>
        <w:pStyle w:val="Indenta"/>
      </w:pPr>
      <w:r>
        <w:tab/>
        <w:t>(d)</w:t>
      </w:r>
      <w:r>
        <w:tab/>
        <w:t>clause 8.3.9(1) and (2).</w:t>
      </w:r>
    </w:p>
    <w:p>
      <w:pPr>
        <w:pStyle w:val="Subsection"/>
      </w:pPr>
      <w:r>
        <w:tab/>
        <w:t>(2)</w:t>
      </w:r>
      <w:r>
        <w:tab/>
        <w:t>If a provision of the AE Code referred to in subregulation (1) requires a person to do or not to do an act and the person contravenes the provision, the person commits an offence.</w:t>
      </w:r>
    </w:p>
    <w:p>
      <w:pPr>
        <w:pStyle w:val="Penstart"/>
      </w:pPr>
      <w:r>
        <w:tab/>
        <w:t>Penalty: a level 1 fine and imprisonment for 10 months.</w:t>
      </w:r>
    </w:p>
    <w:p>
      <w:pPr>
        <w:pStyle w:val="Heading2"/>
      </w:pPr>
      <w:bookmarkStart w:id="320" w:name="_Toc191960614"/>
      <w:bookmarkStart w:id="321" w:name="_Toc191982195"/>
      <w:bookmarkStart w:id="322" w:name="_Toc233693109"/>
      <w:r>
        <w:rPr>
          <w:rStyle w:val="CharPartNo"/>
        </w:rPr>
        <w:t>Part 11</w:t>
      </w:r>
      <w:r>
        <w:t> — </w:t>
      </w:r>
      <w:r>
        <w:rPr>
          <w:rStyle w:val="CharPartText"/>
        </w:rPr>
        <w:t>Supply of explosives</w:t>
      </w:r>
      <w:bookmarkEnd w:id="320"/>
      <w:bookmarkEnd w:id="321"/>
      <w:bookmarkEnd w:id="322"/>
    </w:p>
    <w:p>
      <w:pPr>
        <w:pStyle w:val="Heading3"/>
      </w:pPr>
      <w:bookmarkStart w:id="323" w:name="_Toc191960615"/>
      <w:bookmarkStart w:id="324" w:name="_Toc191982196"/>
      <w:bookmarkStart w:id="325" w:name="_Toc233693110"/>
      <w:r>
        <w:rPr>
          <w:rStyle w:val="CharDivNo"/>
        </w:rPr>
        <w:t>Division 1</w:t>
      </w:r>
      <w:r>
        <w:t> — </w:t>
      </w:r>
      <w:r>
        <w:rPr>
          <w:rStyle w:val="CharDivText"/>
        </w:rPr>
        <w:t>Licensing requirements</w:t>
      </w:r>
      <w:bookmarkEnd w:id="323"/>
      <w:bookmarkEnd w:id="324"/>
      <w:bookmarkEnd w:id="325"/>
    </w:p>
    <w:p>
      <w:pPr>
        <w:pStyle w:val="Heading5"/>
      </w:pPr>
      <w:bookmarkStart w:id="326" w:name="_Toc233693111"/>
      <w:bookmarkStart w:id="327" w:name="_Toc191982197"/>
      <w:r>
        <w:rPr>
          <w:rStyle w:val="CharSectno"/>
        </w:rPr>
        <w:t>111</w:t>
      </w:r>
      <w:r>
        <w:t>.</w:t>
      </w:r>
      <w:r>
        <w:tab/>
        <w:t>Unauthorised explosives</w:t>
      </w:r>
      <w:bookmarkEnd w:id="326"/>
      <w:bookmarkEnd w:id="327"/>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328" w:name="_Toc233693112"/>
      <w:bookmarkStart w:id="329" w:name="_Toc191982198"/>
      <w:r>
        <w:rPr>
          <w:rStyle w:val="CharSectno"/>
        </w:rPr>
        <w:t>112</w:t>
      </w:r>
      <w:r>
        <w:t>.</w:t>
      </w:r>
      <w:r>
        <w:tab/>
        <w:t>Authorised explosives, licences authorising supply</w:t>
      </w:r>
      <w:bookmarkEnd w:id="328"/>
      <w:bookmarkEnd w:id="329"/>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 115 or 116 and the supply is in accordance with that regulation.</w:t>
      </w:r>
    </w:p>
    <w:p>
      <w:pPr>
        <w:pStyle w:val="NotesPerm"/>
      </w:pPr>
      <w:r>
        <w:tab/>
        <w:t>Note: the Act s. 11 (Unlicensed person involved with dangerous goods).</w:t>
      </w:r>
    </w:p>
    <w:p>
      <w:pPr>
        <w:pStyle w:val="Heading5"/>
      </w:pPr>
      <w:bookmarkStart w:id="330" w:name="_Toc233693113"/>
      <w:bookmarkStart w:id="331" w:name="_Toc191982199"/>
      <w:r>
        <w:rPr>
          <w:rStyle w:val="CharSectno"/>
        </w:rPr>
        <w:t>113</w:t>
      </w:r>
      <w:r>
        <w:t>.</w:t>
      </w:r>
      <w:r>
        <w:tab/>
        <w:t>Import/export licence authorises limited supply</w:t>
      </w:r>
      <w:bookmarkEnd w:id="330"/>
      <w:bookmarkEnd w:id="331"/>
    </w:p>
    <w:p>
      <w:pPr>
        <w:pStyle w:val="Subsection"/>
      </w:pPr>
      <w:r>
        <w:tab/>
      </w:r>
      <w:r>
        <w:tab/>
        <w:t>The holder of an explosives import/export licence is authorised, without holding an explosives supply licence, to supply to a person outside the State any explosive that the holder exports under the licence.</w:t>
      </w:r>
    </w:p>
    <w:p>
      <w:pPr>
        <w:pStyle w:val="Heading5"/>
      </w:pPr>
      <w:bookmarkStart w:id="332" w:name="_Toc233693114"/>
      <w:bookmarkStart w:id="333" w:name="_Toc191982200"/>
      <w:r>
        <w:rPr>
          <w:rStyle w:val="CharSectno"/>
        </w:rPr>
        <w:t>114</w:t>
      </w:r>
      <w:r>
        <w:t>.</w:t>
      </w:r>
      <w:r>
        <w:tab/>
        <w:t>Explosives manufacture (MPU) licence authorises limited supply</w:t>
      </w:r>
      <w:bookmarkEnd w:id="332"/>
      <w:bookmarkEnd w:id="333"/>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334" w:name="_Toc233693115"/>
      <w:bookmarkStart w:id="335" w:name="_Toc191982201"/>
      <w:r>
        <w:rPr>
          <w:rStyle w:val="CharSectno"/>
        </w:rPr>
        <w:t>115</w:t>
      </w:r>
      <w:r>
        <w:t>.</w:t>
      </w:r>
      <w:r>
        <w:tab/>
        <w:t>Explosives transport licence authorises limited supply</w:t>
      </w:r>
      <w:bookmarkEnd w:id="334"/>
      <w:bookmarkEnd w:id="335"/>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336" w:name="_Toc233693116"/>
      <w:bookmarkStart w:id="337" w:name="_Toc191982202"/>
      <w:r>
        <w:rPr>
          <w:rStyle w:val="CharSectno"/>
        </w:rPr>
        <w:t>116</w:t>
      </w:r>
      <w:r>
        <w:t>.</w:t>
      </w:r>
      <w:r>
        <w:tab/>
        <w:t>Explosives driver licence authorises limited supply</w:t>
      </w:r>
      <w:bookmarkEnd w:id="336"/>
      <w:bookmarkEnd w:id="337"/>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338" w:name="_Toc191960622"/>
      <w:bookmarkStart w:id="339" w:name="_Toc191982203"/>
      <w:bookmarkStart w:id="340" w:name="_Toc233693117"/>
      <w:r>
        <w:rPr>
          <w:rStyle w:val="CharDivNo"/>
        </w:rPr>
        <w:t>Division 2</w:t>
      </w:r>
      <w:r>
        <w:t> — </w:t>
      </w:r>
      <w:r>
        <w:rPr>
          <w:rStyle w:val="CharDivText"/>
        </w:rPr>
        <w:t>Supplying explosives</w:t>
      </w:r>
      <w:bookmarkEnd w:id="338"/>
      <w:bookmarkEnd w:id="339"/>
      <w:bookmarkEnd w:id="340"/>
    </w:p>
    <w:p>
      <w:pPr>
        <w:pStyle w:val="Heading5"/>
      </w:pPr>
      <w:bookmarkStart w:id="341" w:name="_Toc233693118"/>
      <w:bookmarkStart w:id="342" w:name="_Toc191982204"/>
      <w:r>
        <w:rPr>
          <w:rStyle w:val="CharSectno"/>
        </w:rPr>
        <w:t>117</w:t>
      </w:r>
      <w:r>
        <w:t>.</w:t>
      </w:r>
      <w:r>
        <w:tab/>
        <w:t>Supply to unauthorised people prohibited</w:t>
      </w:r>
      <w:bookmarkEnd w:id="341"/>
      <w:bookmarkEnd w:id="342"/>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343" w:name="_Toc233693119"/>
      <w:bookmarkStart w:id="344" w:name="_Toc191982205"/>
      <w:r>
        <w:rPr>
          <w:rStyle w:val="CharSectno"/>
        </w:rPr>
        <w:t>118</w:t>
      </w:r>
      <w:r>
        <w:t>.</w:t>
      </w:r>
      <w:r>
        <w:tab/>
        <w:t>Suppliers, duties when supplying</w:t>
      </w:r>
      <w:bookmarkEnd w:id="343"/>
      <w:bookmarkEnd w:id="344"/>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bCs/>
        </w:rPr>
        <w:t>“A”</w:t>
      </w:r>
      <w:r>
        <w:t>)</w:t>
      </w:r>
      <w:r>
        <w:rPr>
          <w:bCs/>
        </w:rPr>
        <w:t xml:space="preserve"> </w:t>
      </w:r>
      <w:r>
        <w:t>supplies an explosive to a person (</w:t>
      </w:r>
      <w:r>
        <w:rPr>
          <w:b/>
          <w:bCs/>
        </w:rPr>
        <w:t>“B”</w:t>
      </w:r>
      <w:r>
        <w:t xml:space="preserve">) </w:t>
      </w:r>
      <w:r>
        <w:rPr>
          <w:bCs/>
        </w:rPr>
        <w:t xml:space="preserve">and supplies it to a person </w:t>
      </w:r>
      <w:r>
        <w:t>(</w:t>
      </w:r>
      <w:r>
        <w:rPr>
          <w:b/>
        </w:rPr>
        <w:t>“C”</w:t>
      </w:r>
      <w:r>
        <w:rPr>
          <w:bCs/>
        </w:rPr>
        <w:t xml:space="preserve">) for delivery to B, the requirements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rPr>
          <w:bCs/>
        </w:rPr>
        <w:t xml:space="preserve">) </w:t>
      </w:r>
      <w:r>
        <w:t>must not supply a quantity of an authorised explosive to an individual (</w:t>
      </w:r>
      <w:r>
        <w:rPr>
          <w:b/>
        </w:rPr>
        <w:t>“Y”</w:t>
      </w:r>
      <w:r>
        <w:rPr>
          <w:bCs/>
        </w:rPr>
        <w:t>) unless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rPr>
          <w:bCs/>
        </w:rPr>
      </w:pPr>
      <w:r>
        <w:tab/>
        <w:t>(4)</w:t>
      </w:r>
      <w:r>
        <w:tab/>
        <w:t>A person (</w:t>
      </w:r>
      <w:r>
        <w:rPr>
          <w:b/>
        </w:rPr>
        <w:t>“X”</w:t>
      </w:r>
      <w:r>
        <w:rPr>
          <w:bCs/>
        </w:rPr>
        <w:t xml:space="preserve">) </w:t>
      </w:r>
      <w:r>
        <w:t>must not supply a quantity of an authorised explosive to a body corporate or partnership (</w:t>
      </w:r>
      <w:r>
        <w:rPr>
          <w:b/>
        </w:rPr>
        <w:t>“Y”</w:t>
      </w:r>
      <w:r>
        <w:rPr>
          <w:bCs/>
        </w:rP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345" w:name="_Toc233693120"/>
      <w:bookmarkStart w:id="346" w:name="_Toc191982206"/>
      <w:r>
        <w:rPr>
          <w:rStyle w:val="CharSectno"/>
        </w:rPr>
        <w:t>119</w:t>
      </w:r>
      <w:r>
        <w:t>.</w:t>
      </w:r>
      <w:r>
        <w:tab/>
        <w:t>Records to be kept by suppliers</w:t>
      </w:r>
      <w:bookmarkEnd w:id="345"/>
      <w:bookmarkEnd w:id="346"/>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347" w:name="_Toc233693121"/>
      <w:bookmarkStart w:id="348" w:name="_Toc191982207"/>
      <w:r>
        <w:rPr>
          <w:rStyle w:val="CharSectno"/>
        </w:rPr>
        <w:t>120</w:t>
      </w:r>
      <w:r>
        <w:t>.</w:t>
      </w:r>
      <w:r>
        <w:tab/>
        <w:t>Receiver of explosives not to mislead supplier</w:t>
      </w:r>
      <w:bookmarkEnd w:id="347"/>
      <w:bookmarkEnd w:id="348"/>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349" w:name="_Toc233693122"/>
      <w:bookmarkStart w:id="350" w:name="_Toc191982208"/>
      <w:r>
        <w:rPr>
          <w:rStyle w:val="CharSectno"/>
        </w:rPr>
        <w:t>121</w:t>
      </w:r>
      <w:r>
        <w:t>.</w:t>
      </w:r>
      <w:r>
        <w:tab/>
        <w:t>Sale in public prohibited</w:t>
      </w:r>
      <w:bookmarkEnd w:id="349"/>
      <w:bookmarkEnd w:id="350"/>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351" w:name="_Toc191960628"/>
      <w:bookmarkStart w:id="352" w:name="_Toc191982209"/>
      <w:bookmarkStart w:id="353" w:name="_Toc233693123"/>
      <w:r>
        <w:rPr>
          <w:rStyle w:val="CharPartNo"/>
        </w:rPr>
        <w:t>Part 12</w:t>
      </w:r>
      <w:r>
        <w:t> — </w:t>
      </w:r>
      <w:r>
        <w:rPr>
          <w:rStyle w:val="CharPartText"/>
        </w:rPr>
        <w:t>Use of explosives other than fireworks</w:t>
      </w:r>
      <w:bookmarkEnd w:id="351"/>
      <w:bookmarkEnd w:id="352"/>
      <w:bookmarkEnd w:id="353"/>
    </w:p>
    <w:p>
      <w:pPr>
        <w:pStyle w:val="Heading3"/>
      </w:pPr>
      <w:bookmarkStart w:id="354" w:name="_Toc191960629"/>
      <w:bookmarkStart w:id="355" w:name="_Toc191982210"/>
      <w:bookmarkStart w:id="356" w:name="_Toc233693124"/>
      <w:r>
        <w:rPr>
          <w:rStyle w:val="CharDivNo"/>
        </w:rPr>
        <w:t>Division 1</w:t>
      </w:r>
      <w:r>
        <w:t> — </w:t>
      </w:r>
      <w:r>
        <w:rPr>
          <w:rStyle w:val="CharDivText"/>
        </w:rPr>
        <w:t>Preliminary</w:t>
      </w:r>
      <w:bookmarkEnd w:id="354"/>
      <w:bookmarkEnd w:id="355"/>
      <w:bookmarkEnd w:id="356"/>
    </w:p>
    <w:p>
      <w:pPr>
        <w:pStyle w:val="Heading5"/>
      </w:pPr>
      <w:bookmarkStart w:id="357" w:name="_Toc233693125"/>
      <w:bookmarkStart w:id="358" w:name="_Toc191982211"/>
      <w:r>
        <w:rPr>
          <w:rStyle w:val="CharSectno"/>
        </w:rPr>
        <w:t>122</w:t>
      </w:r>
      <w:r>
        <w:t>.</w:t>
      </w:r>
      <w:r>
        <w:tab/>
        <w:t>Term used in this Part</w:t>
      </w:r>
      <w:bookmarkEnd w:id="357"/>
      <w:bookmarkEnd w:id="358"/>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359" w:name="_Toc233693126"/>
      <w:bookmarkStart w:id="360" w:name="_Toc191982212"/>
      <w:r>
        <w:rPr>
          <w:rStyle w:val="CharSectno"/>
        </w:rPr>
        <w:t>123</w:t>
      </w:r>
      <w:r>
        <w:t>.</w:t>
      </w:r>
      <w:r>
        <w:tab/>
        <w:t>Application of this Part</w:t>
      </w:r>
      <w:bookmarkEnd w:id="359"/>
      <w:bookmarkEnd w:id="360"/>
    </w:p>
    <w:p>
      <w:pPr>
        <w:pStyle w:val="Subsection"/>
        <w:keepNext/>
      </w:pPr>
      <w:r>
        <w:tab/>
      </w:r>
      <w:r>
        <w:tab/>
        <w:t>This Part does not apply to a firework.</w:t>
      </w:r>
    </w:p>
    <w:p>
      <w:pPr>
        <w:pStyle w:val="Heading3"/>
      </w:pPr>
      <w:bookmarkStart w:id="361" w:name="_Toc191960632"/>
      <w:bookmarkStart w:id="362" w:name="_Toc191982213"/>
      <w:bookmarkStart w:id="363" w:name="_Toc233693127"/>
      <w:r>
        <w:rPr>
          <w:rStyle w:val="CharDivNo"/>
        </w:rPr>
        <w:t>Division 2</w:t>
      </w:r>
      <w:r>
        <w:t> — </w:t>
      </w:r>
      <w:r>
        <w:rPr>
          <w:rStyle w:val="CharDivText"/>
        </w:rPr>
        <w:t>Licensing requirements</w:t>
      </w:r>
      <w:bookmarkEnd w:id="361"/>
      <w:bookmarkEnd w:id="362"/>
      <w:bookmarkEnd w:id="363"/>
    </w:p>
    <w:p>
      <w:pPr>
        <w:pStyle w:val="Heading5"/>
      </w:pPr>
      <w:bookmarkStart w:id="364" w:name="_Toc233693128"/>
      <w:bookmarkStart w:id="365" w:name="_Toc191982214"/>
      <w:r>
        <w:rPr>
          <w:rStyle w:val="CharSectno"/>
        </w:rPr>
        <w:t>124</w:t>
      </w:r>
      <w:r>
        <w:t>.</w:t>
      </w:r>
      <w:r>
        <w:tab/>
        <w:t>Unauthorised explosives</w:t>
      </w:r>
      <w:bookmarkEnd w:id="364"/>
      <w:bookmarkEnd w:id="365"/>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pPr>
      <w:bookmarkStart w:id="366" w:name="_Toc233693129"/>
      <w:bookmarkStart w:id="367" w:name="_Toc191982215"/>
      <w:r>
        <w:rPr>
          <w:rStyle w:val="CharSectno"/>
        </w:rPr>
        <w:t>125</w:t>
      </w:r>
      <w:r>
        <w:t>.</w:t>
      </w:r>
      <w:r>
        <w:tab/>
        <w:t>Authorised explosives, licences authorising use of</w:t>
      </w:r>
      <w:bookmarkEnd w:id="366"/>
      <w:bookmarkEnd w:id="367"/>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368" w:name="_Toc191960635"/>
      <w:bookmarkStart w:id="369" w:name="_Toc191982216"/>
      <w:bookmarkStart w:id="370" w:name="_Toc233693130"/>
      <w:r>
        <w:rPr>
          <w:rStyle w:val="CharDivNo"/>
        </w:rPr>
        <w:t>Division 3</w:t>
      </w:r>
      <w:r>
        <w:t> — </w:t>
      </w:r>
      <w:r>
        <w:rPr>
          <w:rStyle w:val="CharDivText"/>
        </w:rPr>
        <w:t>General requirements</w:t>
      </w:r>
      <w:bookmarkEnd w:id="368"/>
      <w:bookmarkEnd w:id="369"/>
      <w:bookmarkEnd w:id="370"/>
    </w:p>
    <w:p>
      <w:pPr>
        <w:pStyle w:val="Heading5"/>
      </w:pPr>
      <w:bookmarkStart w:id="371" w:name="_Toc233693131"/>
      <w:bookmarkStart w:id="372" w:name="_Toc191982217"/>
      <w:r>
        <w:rPr>
          <w:rStyle w:val="CharSectno"/>
        </w:rPr>
        <w:t>126</w:t>
      </w:r>
      <w:r>
        <w:t>.</w:t>
      </w:r>
      <w:r>
        <w:tab/>
        <w:t>Occupier’s permission needed for use</w:t>
      </w:r>
      <w:bookmarkEnd w:id="371"/>
      <w:bookmarkEnd w:id="372"/>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373" w:name="_Toc233693132"/>
      <w:bookmarkStart w:id="374" w:name="_Toc191982218"/>
      <w:r>
        <w:rPr>
          <w:rStyle w:val="CharSectno"/>
        </w:rPr>
        <w:t>127</w:t>
      </w:r>
      <w:r>
        <w:t>.</w:t>
      </w:r>
      <w:r>
        <w:tab/>
        <w:t>Manufacturer’s instructions for use to be followed</w:t>
      </w:r>
      <w:bookmarkEnd w:id="373"/>
      <w:bookmarkEnd w:id="374"/>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375" w:name="_Toc233693133"/>
      <w:bookmarkStart w:id="376" w:name="_Toc191982219"/>
      <w:r>
        <w:rPr>
          <w:rStyle w:val="CharSectno"/>
        </w:rPr>
        <w:t>128</w:t>
      </w:r>
      <w:r>
        <w:t>.</w:t>
      </w:r>
      <w:r>
        <w:tab/>
        <w:t>Children using explosives</w:t>
      </w:r>
      <w:bookmarkEnd w:id="375"/>
      <w:bookmarkEnd w:id="376"/>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377" w:name="_Toc191960639"/>
      <w:bookmarkStart w:id="378" w:name="_Toc191982220"/>
      <w:bookmarkStart w:id="379" w:name="_Toc233693134"/>
      <w:r>
        <w:rPr>
          <w:rStyle w:val="CharDivNo"/>
        </w:rPr>
        <w:t>Division 4</w:t>
      </w:r>
      <w:r>
        <w:t> — </w:t>
      </w:r>
      <w:r>
        <w:rPr>
          <w:rStyle w:val="CharDivText"/>
        </w:rPr>
        <w:t>Using explosives to blast, damage, destroy or demolish</w:t>
      </w:r>
      <w:bookmarkEnd w:id="377"/>
      <w:bookmarkEnd w:id="378"/>
      <w:bookmarkEnd w:id="379"/>
    </w:p>
    <w:p>
      <w:pPr>
        <w:pStyle w:val="Heading5"/>
      </w:pPr>
      <w:bookmarkStart w:id="380" w:name="_Toc233693135"/>
      <w:bookmarkStart w:id="381" w:name="_Toc191982221"/>
      <w:r>
        <w:rPr>
          <w:rStyle w:val="CharSectno"/>
        </w:rPr>
        <w:t>129</w:t>
      </w:r>
      <w:r>
        <w:t>.</w:t>
      </w:r>
      <w:r>
        <w:tab/>
        <w:t>No use without blast plan</w:t>
      </w:r>
      <w:bookmarkEnd w:id="380"/>
      <w:bookmarkEnd w:id="381"/>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pPr>
      <w:r>
        <w:tab/>
        <w:t xml:space="preserve">Note: under r. 192 a blast plan is a “safety management document”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382" w:name="_Toc233693136"/>
      <w:bookmarkStart w:id="383" w:name="_Toc191982222"/>
      <w:r>
        <w:rPr>
          <w:rStyle w:val="CharSectno"/>
        </w:rPr>
        <w:t>130</w:t>
      </w:r>
      <w:r>
        <w:t>.</w:t>
      </w:r>
      <w:r>
        <w:tab/>
        <w:t>Blast plans, content of</w:t>
      </w:r>
      <w:bookmarkEnd w:id="382"/>
      <w:bookmarkEnd w:id="383"/>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 or comply with alternative safety measures for blast plans.</w:t>
      </w:r>
    </w:p>
    <w:p>
      <w:pPr>
        <w:pStyle w:val="Subsection"/>
      </w:pPr>
      <w:r>
        <w:tab/>
        <w:t>(2)</w:t>
      </w:r>
      <w:r>
        <w:tab/>
        <w:t>One blast plan may relate to multiple proposed uses of explosives if it is intended that they occur simultaneously or in rapid succession at one site.</w:t>
      </w:r>
    </w:p>
    <w:p>
      <w:pPr>
        <w:pStyle w:val="Heading5"/>
      </w:pPr>
      <w:bookmarkStart w:id="384" w:name="_Toc233693137"/>
      <w:bookmarkStart w:id="385" w:name="_Toc191982223"/>
      <w:r>
        <w:rPr>
          <w:rStyle w:val="CharSectno"/>
        </w:rPr>
        <w:t>131</w:t>
      </w:r>
      <w:r>
        <w:t>.</w:t>
      </w:r>
      <w:r>
        <w:tab/>
        <w:t>Blasting in townsite, permit required for</w:t>
      </w:r>
      <w:bookmarkEnd w:id="384"/>
      <w:bookmarkEnd w:id="385"/>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pPr>
      <w:r>
        <w:tab/>
        <w:t>Note: 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386" w:name="_Toc233693138"/>
      <w:bookmarkStart w:id="387" w:name="_Toc191982224"/>
      <w:r>
        <w:rPr>
          <w:rStyle w:val="CharSectno"/>
        </w:rPr>
        <w:t>132</w:t>
      </w:r>
      <w:r>
        <w:t>.</w:t>
      </w:r>
      <w:r>
        <w:tab/>
        <w:t>General requirements for use</w:t>
      </w:r>
      <w:bookmarkEnd w:id="386"/>
      <w:bookmarkEnd w:id="387"/>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388" w:name="_Toc233693139"/>
      <w:bookmarkStart w:id="389" w:name="_Toc191982225"/>
      <w:r>
        <w:rPr>
          <w:rStyle w:val="CharSectno"/>
        </w:rPr>
        <w:t>133</w:t>
      </w:r>
      <w:r>
        <w:t>.</w:t>
      </w:r>
      <w:r>
        <w:tab/>
        <w:t>Blast plans to be obeyed etc.</w:t>
      </w:r>
      <w:bookmarkEnd w:id="388"/>
      <w:bookmarkEnd w:id="389"/>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390" w:name="_Toc233693140"/>
      <w:bookmarkStart w:id="391" w:name="_Toc191982226"/>
      <w:r>
        <w:rPr>
          <w:rStyle w:val="CharSectno"/>
        </w:rPr>
        <w:t>134</w:t>
      </w:r>
      <w:r>
        <w:t>.</w:t>
      </w:r>
      <w:r>
        <w:tab/>
        <w:t>Records to be kept about blasts</w:t>
      </w:r>
      <w:bookmarkEnd w:id="390"/>
      <w:bookmarkEnd w:id="391"/>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392" w:name="_Toc191960646"/>
      <w:bookmarkStart w:id="393" w:name="_Toc191982227"/>
      <w:bookmarkStart w:id="394" w:name="_Toc233693141"/>
      <w:r>
        <w:rPr>
          <w:rStyle w:val="CharDivNo"/>
        </w:rPr>
        <w:t>Division 5</w:t>
      </w:r>
      <w:r>
        <w:t> — </w:t>
      </w:r>
      <w:r>
        <w:rPr>
          <w:rStyle w:val="CharDivText"/>
        </w:rPr>
        <w:t>Use of explosives under pyrotechnics (special use) licence</w:t>
      </w:r>
      <w:bookmarkEnd w:id="392"/>
      <w:bookmarkEnd w:id="393"/>
      <w:bookmarkEnd w:id="394"/>
    </w:p>
    <w:p>
      <w:pPr>
        <w:pStyle w:val="Heading5"/>
      </w:pPr>
      <w:bookmarkStart w:id="395" w:name="_Toc233693142"/>
      <w:bookmarkStart w:id="396" w:name="_Toc191982228"/>
      <w:r>
        <w:rPr>
          <w:rStyle w:val="CharSectno"/>
        </w:rPr>
        <w:t>135</w:t>
      </w:r>
      <w:r>
        <w:t>.</w:t>
      </w:r>
      <w:r>
        <w:tab/>
        <w:t>Holder of pyrotechnics (special use) licence, duties of</w:t>
      </w:r>
      <w:bookmarkEnd w:id="395"/>
      <w:bookmarkEnd w:id="396"/>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397" w:name="_Toc191960648"/>
      <w:bookmarkStart w:id="398" w:name="_Toc191982229"/>
      <w:bookmarkStart w:id="399" w:name="_Toc233693143"/>
      <w:r>
        <w:rPr>
          <w:rStyle w:val="CharPartNo"/>
        </w:rPr>
        <w:t>Part 13</w:t>
      </w:r>
      <w:r>
        <w:t> — </w:t>
      </w:r>
      <w:r>
        <w:rPr>
          <w:rStyle w:val="CharPartText"/>
        </w:rPr>
        <w:t>Use of fireworks</w:t>
      </w:r>
      <w:bookmarkEnd w:id="397"/>
      <w:bookmarkEnd w:id="398"/>
      <w:bookmarkEnd w:id="399"/>
    </w:p>
    <w:p>
      <w:pPr>
        <w:pStyle w:val="Heading3"/>
      </w:pPr>
      <w:bookmarkStart w:id="400" w:name="_Toc191960649"/>
      <w:bookmarkStart w:id="401" w:name="_Toc191982230"/>
      <w:bookmarkStart w:id="402" w:name="_Toc233693144"/>
      <w:r>
        <w:rPr>
          <w:rStyle w:val="CharDivNo"/>
        </w:rPr>
        <w:t>Division 1</w:t>
      </w:r>
      <w:r>
        <w:t> — </w:t>
      </w:r>
      <w:r>
        <w:rPr>
          <w:rStyle w:val="CharDivText"/>
        </w:rPr>
        <w:t>Preliminary matters</w:t>
      </w:r>
      <w:bookmarkEnd w:id="400"/>
      <w:bookmarkEnd w:id="401"/>
      <w:bookmarkEnd w:id="402"/>
    </w:p>
    <w:p>
      <w:pPr>
        <w:pStyle w:val="Heading5"/>
      </w:pPr>
      <w:bookmarkStart w:id="403" w:name="_Toc233693145"/>
      <w:bookmarkStart w:id="404" w:name="_Toc191982231"/>
      <w:r>
        <w:rPr>
          <w:rStyle w:val="CharSectno"/>
        </w:rPr>
        <w:t>136</w:t>
      </w:r>
      <w:r>
        <w:t>.</w:t>
      </w:r>
      <w:r>
        <w:tab/>
        <w:t>Terms used in this Part</w:t>
      </w:r>
      <w:bookmarkEnd w:id="403"/>
      <w:bookmarkEnd w:id="404"/>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the public or a section of the public,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Heading3"/>
      </w:pPr>
      <w:bookmarkStart w:id="405" w:name="_Toc191960651"/>
      <w:bookmarkStart w:id="406" w:name="_Toc191982232"/>
      <w:bookmarkStart w:id="407" w:name="_Toc233693146"/>
      <w:r>
        <w:rPr>
          <w:rStyle w:val="CharDivNo"/>
        </w:rPr>
        <w:t>Division 2</w:t>
      </w:r>
      <w:r>
        <w:t> — </w:t>
      </w:r>
      <w:r>
        <w:rPr>
          <w:rStyle w:val="CharDivText"/>
        </w:rPr>
        <w:t>Licensing requirements</w:t>
      </w:r>
      <w:bookmarkEnd w:id="405"/>
      <w:bookmarkEnd w:id="406"/>
      <w:bookmarkEnd w:id="407"/>
    </w:p>
    <w:p>
      <w:pPr>
        <w:pStyle w:val="Heading5"/>
      </w:pPr>
      <w:bookmarkStart w:id="408" w:name="_Toc233693147"/>
      <w:bookmarkStart w:id="409" w:name="_Toc191982233"/>
      <w:r>
        <w:rPr>
          <w:rStyle w:val="CharSectno"/>
        </w:rPr>
        <w:t>137</w:t>
      </w:r>
      <w:r>
        <w:t>.</w:t>
      </w:r>
      <w:r>
        <w:tab/>
        <w:t>Unauthorised explosives</w:t>
      </w:r>
      <w:bookmarkEnd w:id="408"/>
      <w:bookmarkEnd w:id="409"/>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410" w:name="_Toc233693148"/>
      <w:bookmarkStart w:id="411" w:name="_Toc191982234"/>
      <w:r>
        <w:rPr>
          <w:rStyle w:val="CharSectno"/>
        </w:rPr>
        <w:t>138</w:t>
      </w:r>
      <w:r>
        <w:t>.</w:t>
      </w:r>
      <w:r>
        <w:tab/>
        <w:t>Fireworks, licences authorising use of</w:t>
      </w:r>
      <w:bookmarkEnd w:id="410"/>
      <w:bookmarkEnd w:id="411"/>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Indenta"/>
      </w:pPr>
      <w:r>
        <w:tab/>
      </w:r>
      <w:r>
        <w:tab/>
        <w:t>and, if required by regulation 139 or 140, a permit or permits issued under those regulations.</w:t>
      </w:r>
    </w:p>
    <w:p>
      <w:pPr>
        <w:pStyle w:val="NotesPerm"/>
      </w:pPr>
      <w:r>
        <w:tab/>
        <w:t>Note: the Act s. 11 (Unlicensed person involved with dangerous goods).</w:t>
      </w:r>
    </w:p>
    <w:p>
      <w:pPr>
        <w:pStyle w:val="Heading5"/>
      </w:pPr>
      <w:bookmarkStart w:id="412" w:name="_Toc233693149"/>
      <w:bookmarkStart w:id="413" w:name="_Toc191982235"/>
      <w:r>
        <w:rPr>
          <w:rStyle w:val="CharSectno"/>
        </w:rPr>
        <w:t>139</w:t>
      </w:r>
      <w:r>
        <w:t>.</w:t>
      </w:r>
      <w:r>
        <w:tab/>
        <w:t>Fireworks designed for fireworks events, permits required to use</w:t>
      </w:r>
      <w:bookmarkEnd w:id="412"/>
      <w:bookmarkEnd w:id="413"/>
    </w:p>
    <w:p>
      <w:pPr>
        <w:pStyle w:val="Subsection"/>
      </w:pPr>
      <w:r>
        <w:tab/>
        <w:t>(1)</w:t>
      </w:r>
      <w:r>
        <w:tab/>
        <w:t>This regulation does not apply to the use of a firework at a fireworks event under a fireworks event permit.</w:t>
      </w:r>
    </w:p>
    <w:p>
      <w:pPr>
        <w:pStyle w:val="Subsection"/>
      </w:pPr>
      <w:r>
        <w:tab/>
        <w:t>(2)</w:t>
      </w:r>
      <w:r>
        <w:tab/>
        <w:t>A person who uses a firework that is designed to be used at a fireworks event must —</w:t>
      </w:r>
    </w:p>
    <w:p>
      <w:pPr>
        <w:pStyle w:val="Indenta"/>
      </w:pPr>
      <w:r>
        <w:tab/>
        <w:t>(a)</w:t>
      </w:r>
      <w:r>
        <w:tab/>
        <w:t>have a written permit issued under this regulation by FESA; and</w:t>
      </w:r>
    </w:p>
    <w:p>
      <w:pPr>
        <w:pStyle w:val="Indenta"/>
      </w:pPr>
      <w:r>
        <w:tab/>
        <w:t>(b)</w:t>
      </w:r>
      <w:r>
        <w:tab/>
        <w:t>have a written permit issued under this regulation by the local government of the district in which the firework will be used.</w:t>
      </w:r>
    </w:p>
    <w:p>
      <w:pPr>
        <w:pStyle w:val="NotesPerm"/>
      </w:pPr>
      <w:r>
        <w:tab/>
        <w:t>Note: the Act s. 11 (Unlicensed person involved with dangerous goods).</w:t>
      </w:r>
    </w:p>
    <w:p>
      <w:pPr>
        <w:pStyle w:val="Subsection"/>
      </w:pPr>
      <w:r>
        <w:tab/>
        <w:t>(3)</w:t>
      </w:r>
      <w:r>
        <w:tab/>
        <w:t>A person who wants a permit issued under this regulation must, at least 14 days before the date of the proposed use of the firework, give a fireworks notice signed by the person to —</w:t>
      </w:r>
    </w:p>
    <w:p>
      <w:pPr>
        <w:pStyle w:val="Indenta"/>
      </w:pPr>
      <w:r>
        <w:tab/>
        <w:t>(a)</w:t>
      </w:r>
      <w:r>
        <w:tab/>
        <w:t>FESA; and</w:t>
      </w:r>
    </w:p>
    <w:p>
      <w:pPr>
        <w:pStyle w:val="Indenta"/>
      </w:pPr>
      <w:r>
        <w:tab/>
        <w:t>(b)</w:t>
      </w:r>
      <w:r>
        <w:tab/>
        <w:t>the local government of the district in which the firework will be used.</w:t>
      </w:r>
    </w:p>
    <w:p>
      <w:pPr>
        <w:pStyle w:val="Subsection"/>
      </w:pPr>
      <w:r>
        <w:tab/>
        <w:t>(4)</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the required details of the firework that will be used;</w:t>
      </w:r>
    </w:p>
    <w:p>
      <w:pPr>
        <w:pStyle w:val="Indenta"/>
      </w:pPr>
      <w:r>
        <w:tab/>
        <w:t>(c)</w:t>
      </w:r>
      <w:r>
        <w:tab/>
        <w:t>the date and time when the firework will be used;</w:t>
      </w:r>
    </w:p>
    <w:p>
      <w:pPr>
        <w:pStyle w:val="Indenta"/>
      </w:pPr>
      <w:r>
        <w:tab/>
        <w:t>(d)</w:t>
      </w:r>
      <w:r>
        <w:tab/>
        <w:t>where the firework will be used;</w:t>
      </w:r>
    </w:p>
    <w:p>
      <w:pPr>
        <w:pStyle w:val="Indenta"/>
      </w:pPr>
      <w:r>
        <w:tab/>
        <w:t>(e)</w:t>
      </w:r>
      <w:r>
        <w:tab/>
        <w:t>the purpose of using the firework.</w:t>
      </w:r>
    </w:p>
    <w:p>
      <w:pPr>
        <w:pStyle w:val="Subsection"/>
      </w:pPr>
      <w:r>
        <w:tab/>
        <w:t>(5)</w:t>
      </w:r>
      <w:r>
        <w:tab/>
        <w:t>A fireworks notice may relate to the use of multiple fireworks at the one place.</w:t>
      </w:r>
    </w:p>
    <w:p>
      <w:pPr>
        <w:pStyle w:val="Subsection"/>
      </w:pPr>
      <w:r>
        <w:tab/>
        <w:t>(6)</w:t>
      </w:r>
      <w:r>
        <w:tab/>
        <w:t>On receiving a fireworks notice from a person, FESA or a local government may give the person —</w:t>
      </w:r>
    </w:p>
    <w:p>
      <w:pPr>
        <w:pStyle w:val="Indenta"/>
      </w:pPr>
      <w:r>
        <w:tab/>
        <w:t>(a)</w:t>
      </w:r>
      <w:r>
        <w:tab/>
        <w:t>a written notice that prohibits the proposed use of the firework; or</w:t>
      </w:r>
    </w:p>
    <w:p>
      <w:pPr>
        <w:pStyle w:val="Indenta"/>
      </w:pPr>
      <w:r>
        <w:tab/>
        <w:t>(b)</w:t>
      </w:r>
      <w:r>
        <w:tab/>
        <w:t>a written permit for the proposed use; or</w:t>
      </w:r>
    </w:p>
    <w:p>
      <w:pPr>
        <w:pStyle w:val="Indenta"/>
      </w:pPr>
      <w:r>
        <w:tab/>
        <w:t>(c)</w:t>
      </w:r>
      <w:r>
        <w:tab/>
        <w:t xml:space="preserve">a written permit for the proposed use that contains reasonable conditions for any of these purposes — </w:t>
      </w:r>
    </w:p>
    <w:p>
      <w:pPr>
        <w:pStyle w:val="Indenti"/>
      </w:pPr>
      <w:r>
        <w:tab/>
        <w:t>(i)</w:t>
      </w:r>
      <w:r>
        <w:tab/>
        <w:t>to ensure the safety of people, property or the environment in the vicinity of where the firework will be used;</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FESA or a local government may amend or cancel a permit it has issued under this regulation by advising the permit holder in writing.</w:t>
      </w:r>
    </w:p>
    <w:p>
      <w:pPr>
        <w:pStyle w:val="Subsection"/>
      </w:pPr>
      <w:r>
        <w:tab/>
        <w:t>(8)</w:t>
      </w:r>
      <w:r>
        <w:tab/>
        <w:t>A person who is given a permit under this regulation must keep it for 2 years after the date of the permit.</w:t>
      </w:r>
    </w:p>
    <w:p>
      <w:pPr>
        <w:pStyle w:val="Penstart"/>
      </w:pPr>
      <w:r>
        <w:tab/>
        <w:t>Penalty: a level 3 fine.</w:t>
      </w:r>
    </w:p>
    <w:p>
      <w:pPr>
        <w:pStyle w:val="Heading5"/>
      </w:pPr>
      <w:bookmarkStart w:id="414" w:name="_Toc233693150"/>
      <w:bookmarkStart w:id="415" w:name="_Toc191982236"/>
      <w:r>
        <w:rPr>
          <w:rStyle w:val="CharSectno"/>
        </w:rPr>
        <w:t>140</w:t>
      </w:r>
      <w:r>
        <w:t>.</w:t>
      </w:r>
      <w:r>
        <w:tab/>
        <w:t>Indoor fireworks, permit required to use</w:t>
      </w:r>
      <w:bookmarkEnd w:id="414"/>
      <w:bookmarkEnd w:id="415"/>
    </w:p>
    <w:p>
      <w:pPr>
        <w:pStyle w:val="Subsection"/>
        <w:keepNext/>
      </w:pPr>
      <w:r>
        <w:tab/>
        <w:t>(1)</w:t>
      </w:r>
      <w:r>
        <w:tab/>
        <w:t xml:space="preserve">This regulation does not apply to — </w:t>
      </w:r>
    </w:p>
    <w:p>
      <w:pPr>
        <w:pStyle w:val="Indenta"/>
      </w:pPr>
      <w:r>
        <w:tab/>
        <w:t>(a)</w:t>
      </w:r>
      <w:r>
        <w:tab/>
        <w:t>the use of a sparkler; or</w:t>
      </w:r>
    </w:p>
    <w:p>
      <w:pPr>
        <w:pStyle w:val="Indenta"/>
      </w:pPr>
      <w:r>
        <w:tab/>
        <w:t>(b)</w:t>
      </w:r>
      <w:r>
        <w:tab/>
        <w:t>the use of a cracker chain under regulation 144.</w:t>
      </w:r>
    </w:p>
    <w:p>
      <w:pPr>
        <w:pStyle w:val="Subsection"/>
      </w:pPr>
      <w:r>
        <w:tab/>
        <w:t>(2)</w:t>
      </w:r>
      <w:r>
        <w:tab/>
        <w:t>A person who uses a firework indoors must have a written permit issued under this regulation by FESA.</w:t>
      </w:r>
    </w:p>
    <w:p>
      <w:pPr>
        <w:pStyle w:val="NotesPerm"/>
      </w:pPr>
      <w:r>
        <w:tab/>
        <w:t>Note: the Act s. 11 (Unlicensed person involved with dangerous goods).</w:t>
      </w:r>
    </w:p>
    <w:p>
      <w:pPr>
        <w:pStyle w:val="Subsection"/>
      </w:pPr>
      <w:r>
        <w:tab/>
        <w:t>(3)</w:t>
      </w:r>
      <w:r>
        <w:tab/>
        <w:t>A person who wants a permit issued under this regulation must, at least 14 days before the date of the proposed use of the firework, give FESA an indoors fireworks notice signed by the person.</w:t>
      </w:r>
    </w:p>
    <w:p>
      <w:pPr>
        <w:pStyle w:val="Subsection"/>
      </w:pPr>
      <w:r>
        <w:tab/>
        <w:t>(4)</w:t>
      </w:r>
      <w:r>
        <w:tab/>
        <w:t>An indoors fireworks notice must be in an approved form and contain this information —</w:t>
      </w:r>
    </w:p>
    <w:p>
      <w:pPr>
        <w:pStyle w:val="Indenta"/>
      </w:pPr>
      <w:r>
        <w:tab/>
        <w:t>(a)</w:t>
      </w:r>
      <w:r>
        <w:tab/>
        <w:t>the details of the pyrotechnics (special use) licence, or fireworks (operator) licence, that the person holds;</w:t>
      </w:r>
    </w:p>
    <w:p>
      <w:pPr>
        <w:pStyle w:val="Indenta"/>
      </w:pPr>
      <w:r>
        <w:tab/>
        <w:t>(b)</w:t>
      </w:r>
      <w:r>
        <w:tab/>
        <w:t>the required details of the firework that will be used;</w:t>
      </w:r>
    </w:p>
    <w:p>
      <w:pPr>
        <w:pStyle w:val="Indenta"/>
      </w:pPr>
      <w:r>
        <w:tab/>
        <w:t>(c)</w:t>
      </w:r>
      <w:r>
        <w:tab/>
        <w:t>the date and time when the firework will be used;</w:t>
      </w:r>
    </w:p>
    <w:p>
      <w:pPr>
        <w:pStyle w:val="Indenta"/>
      </w:pPr>
      <w:r>
        <w:tab/>
        <w:t>(d)</w:t>
      </w:r>
      <w:r>
        <w:tab/>
        <w:t>where the firework will be used.</w:t>
      </w:r>
    </w:p>
    <w:p>
      <w:pPr>
        <w:pStyle w:val="Subsection"/>
      </w:pPr>
      <w:r>
        <w:tab/>
        <w:t>(5)</w:t>
      </w:r>
      <w:r>
        <w:tab/>
        <w:t>An indoors fireworks notice may relate to the use of multiple fireworks at the one place.</w:t>
      </w:r>
    </w:p>
    <w:p>
      <w:pPr>
        <w:pStyle w:val="Subsection"/>
      </w:pPr>
      <w:r>
        <w:tab/>
        <w:t>(6)</w:t>
      </w:r>
      <w:r>
        <w:tab/>
        <w:t>On receiving a fireworks notice from a person, FESA may give the person —</w:t>
      </w:r>
    </w:p>
    <w:p>
      <w:pPr>
        <w:pStyle w:val="Indenta"/>
      </w:pPr>
      <w:r>
        <w:tab/>
        <w:t>(a)</w:t>
      </w:r>
      <w:r>
        <w:tab/>
        <w:t>a written notice that prohibits the proposed use of the firework; or</w:t>
      </w:r>
    </w:p>
    <w:p>
      <w:pPr>
        <w:pStyle w:val="Indenta"/>
      </w:pPr>
      <w:r>
        <w:tab/>
        <w:t>(b)</w:t>
      </w:r>
      <w:r>
        <w:tab/>
        <w:t>a written permit for the proposed use; or</w:t>
      </w:r>
    </w:p>
    <w:p>
      <w:pPr>
        <w:pStyle w:val="Indenta"/>
      </w:pPr>
      <w:r>
        <w:tab/>
        <w:t>(c)</w:t>
      </w:r>
      <w:r>
        <w:tab/>
        <w:t>a written permit for the proposed use that contains reasonable conditions to ensure the safety of people and property at the place where the firework will be used.</w:t>
      </w:r>
    </w:p>
    <w:p>
      <w:pPr>
        <w:pStyle w:val="Subsection"/>
      </w:pPr>
      <w:r>
        <w:tab/>
        <w:t>(7)</w:t>
      </w:r>
      <w:r>
        <w:tab/>
        <w:t>FESA may amend or cancel a permit it has issued under this regulation by advising the permit holder in writing.</w:t>
      </w:r>
    </w:p>
    <w:p>
      <w:pPr>
        <w:pStyle w:val="Subsection"/>
      </w:pPr>
      <w:r>
        <w:tab/>
        <w:t>(8)</w:t>
      </w:r>
      <w:r>
        <w:tab/>
        <w:t>A person who is given a permit under this regulation must keep it for 2 years after the date of the permit.</w:t>
      </w:r>
    </w:p>
    <w:p>
      <w:pPr>
        <w:pStyle w:val="Penstart"/>
      </w:pPr>
      <w:r>
        <w:tab/>
        <w:t>Penalty: a level 3 fine.</w:t>
      </w:r>
    </w:p>
    <w:p>
      <w:pPr>
        <w:pStyle w:val="Heading3"/>
      </w:pPr>
      <w:bookmarkStart w:id="416" w:name="_Toc191960656"/>
      <w:bookmarkStart w:id="417" w:name="_Toc191982237"/>
      <w:bookmarkStart w:id="418" w:name="_Toc233693151"/>
      <w:r>
        <w:rPr>
          <w:rStyle w:val="CharDivNo"/>
        </w:rPr>
        <w:t>Division 3</w:t>
      </w:r>
      <w:r>
        <w:t> — </w:t>
      </w:r>
      <w:r>
        <w:rPr>
          <w:rStyle w:val="CharDivText"/>
        </w:rPr>
        <w:t>General requirements</w:t>
      </w:r>
      <w:bookmarkEnd w:id="416"/>
      <w:bookmarkEnd w:id="417"/>
      <w:bookmarkEnd w:id="418"/>
    </w:p>
    <w:p>
      <w:pPr>
        <w:pStyle w:val="Heading5"/>
      </w:pPr>
      <w:bookmarkStart w:id="419" w:name="_Toc233693152"/>
      <w:bookmarkStart w:id="420" w:name="_Toc191982238"/>
      <w:r>
        <w:rPr>
          <w:rStyle w:val="CharSectno"/>
        </w:rPr>
        <w:t>141</w:t>
      </w:r>
      <w:r>
        <w:t>.</w:t>
      </w:r>
      <w:r>
        <w:tab/>
        <w:t>Occupier’s permission needed for use</w:t>
      </w:r>
      <w:bookmarkEnd w:id="419"/>
      <w:bookmarkEnd w:id="420"/>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421" w:name="_Toc233693153"/>
      <w:bookmarkStart w:id="422" w:name="_Toc191982239"/>
      <w:r>
        <w:rPr>
          <w:rStyle w:val="CharSectno"/>
        </w:rPr>
        <w:t>142</w:t>
      </w:r>
      <w:r>
        <w:t>.</w:t>
      </w:r>
      <w:r>
        <w:tab/>
        <w:t>Manufacturer’s instructions for use to be followed</w:t>
      </w:r>
      <w:bookmarkEnd w:id="421"/>
      <w:bookmarkEnd w:id="422"/>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423" w:name="_Toc233693154"/>
      <w:bookmarkStart w:id="424" w:name="_Toc191982240"/>
      <w:r>
        <w:rPr>
          <w:rStyle w:val="CharSectno"/>
        </w:rPr>
        <w:t>143</w:t>
      </w:r>
      <w:r>
        <w:t>.</w:t>
      </w:r>
      <w:r>
        <w:tab/>
        <w:t>General requirements for use</w:t>
      </w:r>
      <w:bookmarkEnd w:id="423"/>
      <w:bookmarkEnd w:id="424"/>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425" w:name="_Toc233693155"/>
      <w:bookmarkStart w:id="426" w:name="_Toc191982241"/>
      <w:r>
        <w:rPr>
          <w:rStyle w:val="CharSectno"/>
        </w:rPr>
        <w:t>144</w:t>
      </w:r>
      <w:r>
        <w:t>.</w:t>
      </w:r>
      <w:r>
        <w:tab/>
        <w:t>Cracker chains, use of</w:t>
      </w:r>
      <w:bookmarkEnd w:id="425"/>
      <w:bookmarkEnd w:id="426"/>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427" w:name="_Toc233693156"/>
      <w:bookmarkStart w:id="428" w:name="_Toc191982242"/>
      <w:r>
        <w:rPr>
          <w:rStyle w:val="CharSectno"/>
        </w:rPr>
        <w:t>145</w:t>
      </w:r>
      <w:r>
        <w:t>.</w:t>
      </w:r>
      <w:r>
        <w:tab/>
        <w:t>Records to be kept by fireworks contractors</w:t>
      </w:r>
      <w:bookmarkEnd w:id="427"/>
      <w:bookmarkEnd w:id="428"/>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429" w:name="_Toc191960662"/>
      <w:bookmarkStart w:id="430" w:name="_Toc191982243"/>
      <w:bookmarkStart w:id="431" w:name="_Toc233693157"/>
      <w:r>
        <w:rPr>
          <w:rStyle w:val="CharDivNo"/>
        </w:rPr>
        <w:t>Division 4</w:t>
      </w:r>
      <w:r>
        <w:t> — </w:t>
      </w:r>
      <w:r>
        <w:rPr>
          <w:rStyle w:val="CharDivText"/>
        </w:rPr>
        <w:t>Fireworks events</w:t>
      </w:r>
      <w:bookmarkEnd w:id="429"/>
      <w:bookmarkEnd w:id="430"/>
      <w:bookmarkEnd w:id="431"/>
    </w:p>
    <w:p>
      <w:pPr>
        <w:pStyle w:val="Heading5"/>
      </w:pPr>
      <w:bookmarkStart w:id="432" w:name="_Toc233693158"/>
      <w:bookmarkStart w:id="433" w:name="_Toc191982244"/>
      <w:r>
        <w:rPr>
          <w:rStyle w:val="CharSectno"/>
        </w:rPr>
        <w:t>146</w:t>
      </w:r>
      <w:r>
        <w:t>.</w:t>
      </w:r>
      <w:r>
        <w:tab/>
        <w:t>Terms used in this Division</w:t>
      </w:r>
      <w:bookmarkEnd w:id="432"/>
      <w:bookmarkEnd w:id="433"/>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434" w:name="_Toc233693159"/>
      <w:bookmarkStart w:id="435" w:name="_Toc191982245"/>
      <w:r>
        <w:rPr>
          <w:rStyle w:val="CharSectno"/>
        </w:rPr>
        <w:t>147</w:t>
      </w:r>
      <w:r>
        <w:t>.</w:t>
      </w:r>
      <w:r>
        <w:tab/>
        <w:t>Fireworks used at fireworks events, requirements for</w:t>
      </w:r>
      <w:bookmarkEnd w:id="434"/>
      <w:bookmarkEnd w:id="435"/>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436" w:name="_Toc233693160"/>
      <w:bookmarkStart w:id="437" w:name="_Toc191982246"/>
      <w:r>
        <w:rPr>
          <w:rStyle w:val="CharSectno"/>
        </w:rPr>
        <w:t>148</w:t>
      </w:r>
      <w:r>
        <w:t>.</w:t>
      </w:r>
      <w:r>
        <w:tab/>
        <w:t>Fireworks event permits, preliminary matters</w:t>
      </w:r>
      <w:bookmarkEnd w:id="436"/>
      <w:bookmarkEnd w:id="437"/>
    </w:p>
    <w:p>
      <w:pPr>
        <w:pStyle w:val="Subsection"/>
      </w:pPr>
      <w:r>
        <w:tab/>
        <w:t>(1)</w:t>
      </w:r>
      <w:r>
        <w:tab/>
        <w:t>Only the holder of a fireworks contractor licence can apply for a fireworks event permit.</w:t>
      </w:r>
    </w:p>
    <w:p>
      <w:pPr>
        <w:pStyle w:val="Subsection"/>
      </w:pPr>
      <w:r>
        <w:tab/>
        <w:t>(2)</w:t>
      </w:r>
      <w:r>
        <w:tab/>
        <w:t>Before the holder of a fireworks contractor licence applies for a fireworks event permit, the holder must give a fireworks event notice signed by the holder to the following —</w:t>
      </w:r>
    </w:p>
    <w:p>
      <w:pPr>
        <w:pStyle w:val="Indenta"/>
      </w:pPr>
      <w:r>
        <w:tab/>
        <w:t>(a)</w:t>
      </w:r>
      <w:r>
        <w:tab/>
        <w:t>the Commissioner of Police;</w:t>
      </w:r>
    </w:p>
    <w:p>
      <w:pPr>
        <w:pStyle w:val="Indenta"/>
      </w:pPr>
      <w:r>
        <w:tab/>
        <w:t>(b)</w:t>
      </w:r>
      <w:r>
        <w:tab/>
        <w:t>FESA;</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FESA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FESA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Heading5"/>
      </w:pPr>
      <w:bookmarkStart w:id="438" w:name="_Toc233693161"/>
      <w:bookmarkStart w:id="439" w:name="_Toc191982247"/>
      <w:r>
        <w:rPr>
          <w:rStyle w:val="CharSectno"/>
        </w:rPr>
        <w:t>149</w:t>
      </w:r>
      <w:r>
        <w:t>.</w:t>
      </w:r>
      <w:r>
        <w:tab/>
        <w:t>Fireworks event permit, application for</w:t>
      </w:r>
      <w:bookmarkEnd w:id="438"/>
      <w:bookmarkEnd w:id="439"/>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approved form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will be propelled into the air before it is initiated, the diameter of the largest such firework;</w:t>
      </w:r>
    </w:p>
    <w:p>
      <w:pPr>
        <w:pStyle w:val="Indenta"/>
      </w:pPr>
      <w:r>
        <w:tab/>
        <w:t>(d)</w:t>
      </w:r>
      <w:r>
        <w:tab/>
        <w:t>the name and address of each person who will prepare the event fireworks at the site for use or who will use the fireworks;</w:t>
      </w:r>
    </w:p>
    <w:p>
      <w:pPr>
        <w:pStyle w:val="Indenta"/>
      </w:pPr>
      <w:r>
        <w:tab/>
        <w:t>(e)</w:t>
      </w:r>
      <w:r>
        <w:tab/>
        <w:t>any other information the form reasonably requires to be provided.</w:t>
      </w:r>
    </w:p>
    <w:p>
      <w:pPr>
        <w:pStyle w:val="Heading5"/>
      </w:pPr>
      <w:bookmarkStart w:id="440" w:name="_Toc233693162"/>
      <w:bookmarkStart w:id="441" w:name="_Toc191982248"/>
      <w:r>
        <w:rPr>
          <w:rStyle w:val="CharSectno"/>
        </w:rPr>
        <w:t>150</w:t>
      </w:r>
      <w:r>
        <w:t>.</w:t>
      </w:r>
      <w:r>
        <w:tab/>
        <w:t>Dealing with applications for fireworks event permits</w:t>
      </w:r>
      <w:bookmarkEnd w:id="440"/>
      <w:bookmarkEnd w:id="441"/>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Heading5"/>
      </w:pPr>
      <w:bookmarkStart w:id="442" w:name="_Toc233693163"/>
      <w:bookmarkStart w:id="443" w:name="_Toc191982249"/>
      <w:r>
        <w:rPr>
          <w:rStyle w:val="CharSectno"/>
        </w:rPr>
        <w:t>151</w:t>
      </w:r>
      <w:r>
        <w:t>.</w:t>
      </w:r>
      <w:r>
        <w:tab/>
        <w:t>Amending, suspending and cancelling fireworks event permits</w:t>
      </w:r>
      <w:bookmarkEnd w:id="442"/>
      <w:bookmarkEnd w:id="443"/>
    </w:p>
    <w:p>
      <w:pPr>
        <w:pStyle w:val="Subsection"/>
      </w:pPr>
      <w:r>
        <w:tab/>
      </w:r>
      <w:r>
        <w:tab/>
        <w:t>The Chief Officer may amend, suspend or cancel a fireworks event permit by advising the permit holder in writing.</w:t>
      </w:r>
    </w:p>
    <w:p>
      <w:pPr>
        <w:pStyle w:val="Heading5"/>
      </w:pPr>
      <w:bookmarkStart w:id="444" w:name="_Toc233693164"/>
      <w:bookmarkStart w:id="445" w:name="_Toc191982250"/>
      <w:r>
        <w:rPr>
          <w:rStyle w:val="CharSectno"/>
        </w:rPr>
        <w:t>152</w:t>
      </w:r>
      <w:r>
        <w:t>.</w:t>
      </w:r>
      <w:r>
        <w:tab/>
        <w:t>Fireworks event, conduct of</w:t>
      </w:r>
      <w:bookmarkEnd w:id="444"/>
      <w:bookmarkEnd w:id="445"/>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446" w:name="_Toc233693165"/>
      <w:bookmarkStart w:id="447" w:name="_Toc191982251"/>
      <w:r>
        <w:rPr>
          <w:rStyle w:val="CharSectno"/>
        </w:rPr>
        <w:t>153</w:t>
      </w:r>
      <w:r>
        <w:t>.</w:t>
      </w:r>
      <w:r>
        <w:tab/>
        <w:t>Records to be kept by fireworks event permit holders</w:t>
      </w:r>
      <w:bookmarkEnd w:id="446"/>
      <w:bookmarkEnd w:id="447"/>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pPr>
      <w:r>
        <w:tab/>
        <w:t>(h)</w:t>
      </w:r>
      <w:r>
        <w:tab/>
        <w:t>the details of the holder’s fireworks contractor licence,</w:t>
      </w:r>
    </w:p>
    <w:p>
      <w:pPr>
        <w:pStyle w:val="Subsection"/>
      </w:pPr>
      <w:r>
        <w:tab/>
      </w:r>
      <w:r>
        <w:tab/>
        <w:t>and is kept for 2 years after the date of the event.</w:t>
      </w:r>
    </w:p>
    <w:p>
      <w:pPr>
        <w:pStyle w:val="Heading2"/>
      </w:pPr>
      <w:bookmarkStart w:id="448" w:name="_Toc191960671"/>
      <w:bookmarkStart w:id="449" w:name="_Toc191982252"/>
      <w:bookmarkStart w:id="450" w:name="_Toc233693166"/>
      <w:r>
        <w:rPr>
          <w:rStyle w:val="CharPartNo"/>
        </w:rPr>
        <w:t>Part 14</w:t>
      </w:r>
      <w:r>
        <w:rPr>
          <w:rStyle w:val="CharDivNo"/>
        </w:rPr>
        <w:t> </w:t>
      </w:r>
      <w:r>
        <w:t>—</w:t>
      </w:r>
      <w:r>
        <w:rPr>
          <w:rStyle w:val="CharDivText"/>
        </w:rPr>
        <w:t> </w:t>
      </w:r>
      <w:r>
        <w:rPr>
          <w:rStyle w:val="CharPartText"/>
        </w:rPr>
        <w:t>Disposal of explosives</w:t>
      </w:r>
      <w:bookmarkEnd w:id="448"/>
      <w:bookmarkEnd w:id="449"/>
      <w:bookmarkEnd w:id="450"/>
    </w:p>
    <w:p>
      <w:pPr>
        <w:pStyle w:val="Heading5"/>
      </w:pPr>
      <w:bookmarkStart w:id="451" w:name="_Toc233693167"/>
      <w:bookmarkStart w:id="452" w:name="_Toc191982253"/>
      <w:r>
        <w:rPr>
          <w:rStyle w:val="CharSectno"/>
        </w:rPr>
        <w:t>154</w:t>
      </w:r>
      <w:r>
        <w:t>.</w:t>
      </w:r>
      <w:r>
        <w:tab/>
        <w:t>Who can dispose of explosives</w:t>
      </w:r>
      <w:bookmarkEnd w:id="451"/>
      <w:bookmarkEnd w:id="452"/>
    </w:p>
    <w:p>
      <w:pPr>
        <w:pStyle w:val="Subsection"/>
      </w:pPr>
      <w:r>
        <w:tab/>
      </w:r>
      <w:r>
        <w:tab/>
        <w:t>A person must not destroy or dispose of an explosive unless the person has a licence that authorises the person to use the explosive.</w:t>
      </w:r>
    </w:p>
    <w:p>
      <w:pPr>
        <w:pStyle w:val="Heading5"/>
      </w:pPr>
      <w:bookmarkStart w:id="453" w:name="_Toc233693168"/>
      <w:bookmarkStart w:id="454" w:name="_Toc191982254"/>
      <w:r>
        <w:rPr>
          <w:rStyle w:val="CharSectno"/>
        </w:rPr>
        <w:t>155</w:t>
      </w:r>
      <w:r>
        <w:t>.</w:t>
      </w:r>
      <w:r>
        <w:tab/>
        <w:t>Improper disposal of explosives</w:t>
      </w:r>
      <w:bookmarkEnd w:id="453"/>
      <w:bookmarkEnd w:id="454"/>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455" w:name="_Toc191960674"/>
      <w:bookmarkStart w:id="456" w:name="_Toc191982255"/>
      <w:bookmarkStart w:id="457" w:name="_Toc233693169"/>
      <w:r>
        <w:rPr>
          <w:rStyle w:val="CharPartNo"/>
        </w:rPr>
        <w:t>Part 15</w:t>
      </w:r>
      <w:r>
        <w:t> — </w:t>
      </w:r>
      <w:r>
        <w:rPr>
          <w:rStyle w:val="CharPartText"/>
        </w:rPr>
        <w:t>Licences</w:t>
      </w:r>
      <w:bookmarkEnd w:id="455"/>
      <w:bookmarkEnd w:id="456"/>
      <w:bookmarkEnd w:id="457"/>
    </w:p>
    <w:p>
      <w:pPr>
        <w:pStyle w:val="Heading3"/>
      </w:pPr>
      <w:bookmarkStart w:id="458" w:name="_Toc191960675"/>
      <w:bookmarkStart w:id="459" w:name="_Toc191982256"/>
      <w:bookmarkStart w:id="460" w:name="_Toc233693170"/>
      <w:r>
        <w:rPr>
          <w:rStyle w:val="CharDivNo"/>
        </w:rPr>
        <w:t>Division 1</w:t>
      </w:r>
      <w:r>
        <w:t> — </w:t>
      </w:r>
      <w:r>
        <w:rPr>
          <w:rStyle w:val="CharDivText"/>
        </w:rPr>
        <w:t>Preliminary matters</w:t>
      </w:r>
      <w:bookmarkEnd w:id="458"/>
      <w:bookmarkEnd w:id="459"/>
      <w:bookmarkEnd w:id="460"/>
    </w:p>
    <w:p>
      <w:pPr>
        <w:pStyle w:val="Heading5"/>
      </w:pPr>
      <w:bookmarkStart w:id="461" w:name="_Toc233693171"/>
      <w:bookmarkStart w:id="462" w:name="_Toc191982257"/>
      <w:r>
        <w:rPr>
          <w:rStyle w:val="CharSectno"/>
        </w:rPr>
        <w:t>156</w:t>
      </w:r>
      <w:r>
        <w:t>.</w:t>
      </w:r>
      <w:r>
        <w:tab/>
        <w:t>Terms used in this Part</w:t>
      </w:r>
      <w:bookmarkEnd w:id="461"/>
      <w:bookmarkEnd w:id="462"/>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463" w:name="_Toc191960677"/>
      <w:bookmarkStart w:id="464" w:name="_Toc191982258"/>
      <w:bookmarkStart w:id="465" w:name="_Toc233693172"/>
      <w:r>
        <w:rPr>
          <w:rStyle w:val="CharDivNo"/>
        </w:rPr>
        <w:t>Division 2</w:t>
      </w:r>
      <w:r>
        <w:t> — </w:t>
      </w:r>
      <w:r>
        <w:rPr>
          <w:rStyle w:val="CharDivText"/>
        </w:rPr>
        <w:t>General matters</w:t>
      </w:r>
      <w:bookmarkEnd w:id="463"/>
      <w:bookmarkEnd w:id="464"/>
      <w:bookmarkEnd w:id="465"/>
    </w:p>
    <w:p>
      <w:pPr>
        <w:pStyle w:val="Heading5"/>
      </w:pPr>
      <w:bookmarkStart w:id="466" w:name="_Toc233693173"/>
      <w:bookmarkStart w:id="467" w:name="_Toc191982259"/>
      <w:r>
        <w:rPr>
          <w:rStyle w:val="CharSectno"/>
        </w:rPr>
        <w:t>157</w:t>
      </w:r>
      <w:r>
        <w:t>.</w:t>
      </w:r>
      <w:r>
        <w:tab/>
        <w:t>Applying for a licence</w:t>
      </w:r>
      <w:bookmarkEnd w:id="466"/>
      <w:bookmarkEnd w:id="467"/>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unless a fee will be payable under regulation 184 if the licence is issued; and</w:t>
      </w:r>
    </w:p>
    <w:p>
      <w:pPr>
        <w:pStyle w:val="Indenta"/>
      </w:pPr>
      <w:r>
        <w:tab/>
        <w:t>(d)</w:t>
      </w:r>
      <w:r>
        <w:tab/>
        <w:t>be made to the Chief Officer.</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is the required age for the licence;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Heading5"/>
      </w:pPr>
      <w:bookmarkStart w:id="468" w:name="_Toc233693174"/>
      <w:bookmarkStart w:id="469" w:name="_Toc191982260"/>
      <w:r>
        <w:rPr>
          <w:rStyle w:val="CharSectno"/>
        </w:rPr>
        <w:t>158</w:t>
      </w:r>
      <w:r>
        <w:t>.</w:t>
      </w:r>
      <w:r>
        <w:tab/>
        <w:t>Medical evidence</w:t>
      </w:r>
      <w:bookmarkEnd w:id="468"/>
      <w:bookmarkEnd w:id="469"/>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rPr>
        <w:t>Medical Act 1894</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Heading5"/>
      </w:pPr>
      <w:bookmarkStart w:id="470" w:name="_Toc233693175"/>
      <w:bookmarkStart w:id="471" w:name="_Toc191982261"/>
      <w:r>
        <w:rPr>
          <w:rStyle w:val="CharSectno"/>
        </w:rPr>
        <w:t>159</w:t>
      </w:r>
      <w:r>
        <w:t>.</w:t>
      </w:r>
      <w:r>
        <w:tab/>
        <w:t>Competency evidence</w:t>
      </w:r>
      <w:bookmarkEnd w:id="470"/>
      <w:bookmarkEnd w:id="471"/>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472" w:name="_Toc233693176"/>
      <w:bookmarkStart w:id="473" w:name="_Toc191982262"/>
      <w:r>
        <w:rPr>
          <w:rStyle w:val="CharSectno"/>
        </w:rPr>
        <w:t>160</w:t>
      </w:r>
      <w:r>
        <w:t>.</w:t>
      </w:r>
      <w:r>
        <w:tab/>
        <w:t>Driver licence evidence</w:t>
      </w:r>
      <w:bookmarkEnd w:id="472"/>
      <w:bookmarkEnd w:id="473"/>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474" w:name="_Toc233693177"/>
      <w:bookmarkStart w:id="475" w:name="_Toc191982263"/>
      <w:r>
        <w:rPr>
          <w:rStyle w:val="CharSectno"/>
        </w:rPr>
        <w:t>161</w:t>
      </w:r>
      <w:r>
        <w:t>.</w:t>
      </w:r>
      <w:r>
        <w:tab/>
        <w:t>Explosives management plans</w:t>
      </w:r>
      <w:bookmarkEnd w:id="474"/>
      <w:bookmarkEnd w:id="475"/>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Heading5"/>
      </w:pPr>
      <w:bookmarkStart w:id="476" w:name="_Toc233693178"/>
      <w:bookmarkStart w:id="477" w:name="_Toc191982264"/>
      <w:r>
        <w:rPr>
          <w:rStyle w:val="CharSectno"/>
        </w:rPr>
        <w:t>162</w:t>
      </w:r>
      <w:r>
        <w:t>.</w:t>
      </w:r>
      <w:r>
        <w:tab/>
        <w:t>Chief Officer’s powers for dealing with applications for licences</w:t>
      </w:r>
      <w:bookmarkEnd w:id="476"/>
      <w:bookmarkEnd w:id="477"/>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rPr>
        <w:t>Medical Act 1894</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Heading5"/>
      </w:pPr>
      <w:bookmarkStart w:id="478" w:name="_Toc233693179"/>
      <w:bookmarkStart w:id="479" w:name="_Toc191982265"/>
      <w:r>
        <w:rPr>
          <w:rStyle w:val="CharSectno"/>
        </w:rPr>
        <w:t>163</w:t>
      </w:r>
      <w:r>
        <w:t>.</w:t>
      </w:r>
      <w:r>
        <w:tab/>
        <w:t>Licence for place that is or may be major hazard facility</w:t>
      </w:r>
      <w:bookmarkEnd w:id="478"/>
      <w:bookmarkEnd w:id="479"/>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Heading5"/>
      </w:pPr>
      <w:bookmarkStart w:id="480" w:name="_Toc233693180"/>
      <w:bookmarkStart w:id="481" w:name="_Toc191982266"/>
      <w:r>
        <w:rPr>
          <w:rStyle w:val="CharSectno"/>
        </w:rPr>
        <w:t>164</w:t>
      </w:r>
      <w:r>
        <w:t>.</w:t>
      </w:r>
      <w:r>
        <w:tab/>
        <w:t>Deciding applications for licences</w:t>
      </w:r>
      <w:bookmarkEnd w:id="480"/>
      <w:bookmarkEnd w:id="481"/>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The Chief Officer must give an applicant written notice of a decision made under this regulation as soon as practicable after it is made.</w:t>
      </w:r>
    </w:p>
    <w:p>
      <w:pPr>
        <w:pStyle w:val="Subsection"/>
      </w:pPr>
      <w:r>
        <w:tab/>
        <w:t>(8)</w:t>
      </w:r>
      <w:r>
        <w:tab/>
        <w:t>If the Chief Officer refuses an application for a licence, the applicant is entitled to a refund of the fee.</w:t>
      </w:r>
    </w:p>
    <w:p>
      <w:pPr>
        <w:pStyle w:val="Heading5"/>
      </w:pPr>
      <w:bookmarkStart w:id="482" w:name="_Toc233693181"/>
      <w:bookmarkStart w:id="483" w:name="_Toc191982267"/>
      <w:r>
        <w:rPr>
          <w:rStyle w:val="CharSectno"/>
        </w:rPr>
        <w:t>165</w:t>
      </w:r>
      <w:r>
        <w:t>.</w:t>
      </w:r>
      <w:r>
        <w:tab/>
        <w:t>Licences issued to bodies corporate and partnerships</w:t>
      </w:r>
      <w:bookmarkEnd w:id="482"/>
      <w:bookmarkEnd w:id="483"/>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484" w:name="_Toc233693182"/>
      <w:bookmarkStart w:id="485" w:name="_Toc191982268"/>
      <w:r>
        <w:rPr>
          <w:rStyle w:val="CharSectno"/>
        </w:rPr>
        <w:t>166</w:t>
      </w:r>
      <w:r>
        <w:t>.</w:t>
      </w:r>
      <w:r>
        <w:tab/>
        <w:t>Conditions of licences</w:t>
      </w:r>
      <w:bookmarkEnd w:id="484"/>
      <w:bookmarkEnd w:id="485"/>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486" w:name="_Toc233693183"/>
      <w:bookmarkStart w:id="487" w:name="_Toc191982269"/>
      <w:r>
        <w:rPr>
          <w:rStyle w:val="CharSectno"/>
        </w:rPr>
        <w:t>167</w:t>
      </w:r>
      <w:r>
        <w:t>.</w:t>
      </w:r>
      <w:r>
        <w:tab/>
        <w:t>Duration of licences</w:t>
      </w:r>
      <w:bookmarkEnd w:id="486"/>
      <w:bookmarkEnd w:id="487"/>
    </w:p>
    <w:p>
      <w:pPr>
        <w:pStyle w:val="Subsection"/>
      </w:pPr>
      <w:r>
        <w:tab/>
        <w:t>(1)</w:t>
      </w:r>
      <w:r>
        <w:tab/>
        <w:t>A licence has effect on and from the date it is issued —</w:t>
      </w:r>
    </w:p>
    <w:p>
      <w:pPr>
        <w:pStyle w:val="Indenta"/>
      </w:pPr>
      <w:r>
        <w:tab/>
        <w:t>(a)</w:t>
      </w:r>
      <w:r>
        <w:tab/>
        <w:t>for the term specified in it, being 3 years or less;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Heading5"/>
      </w:pPr>
      <w:bookmarkStart w:id="488" w:name="_Toc233693184"/>
      <w:bookmarkStart w:id="489" w:name="_Toc191982270"/>
      <w:r>
        <w:rPr>
          <w:rStyle w:val="CharSectno"/>
        </w:rPr>
        <w:t>168</w:t>
      </w:r>
      <w:r>
        <w:t>.</w:t>
      </w:r>
      <w:r>
        <w:tab/>
        <w:t>Form of licences</w:t>
      </w:r>
      <w:bookmarkEnd w:id="488"/>
      <w:bookmarkEnd w:id="489"/>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490" w:name="_Toc233693185"/>
      <w:bookmarkStart w:id="491" w:name="_Toc191982271"/>
      <w:r>
        <w:rPr>
          <w:rStyle w:val="CharSectno"/>
        </w:rPr>
        <w:t>169</w:t>
      </w:r>
      <w:r>
        <w:t>.</w:t>
      </w:r>
      <w:r>
        <w:tab/>
        <w:t>Licences not transferable etc.</w:t>
      </w:r>
      <w:bookmarkEnd w:id="490"/>
      <w:bookmarkEnd w:id="491"/>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492" w:name="_Toc233693186"/>
      <w:bookmarkStart w:id="493" w:name="_Toc191982272"/>
      <w:r>
        <w:rPr>
          <w:rStyle w:val="CharSectno"/>
        </w:rPr>
        <w:t>170</w:t>
      </w:r>
      <w:r>
        <w:t>.</w:t>
      </w:r>
      <w:r>
        <w:tab/>
        <w:t>Licences may be surrendered</w:t>
      </w:r>
      <w:bookmarkEnd w:id="492"/>
      <w:bookmarkEnd w:id="493"/>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494" w:name="_Toc233693187"/>
      <w:bookmarkStart w:id="495" w:name="_Toc191982273"/>
      <w:r>
        <w:rPr>
          <w:rStyle w:val="CharSectno"/>
        </w:rPr>
        <w:t>171</w:t>
      </w:r>
      <w:r>
        <w:t>.</w:t>
      </w:r>
      <w:r>
        <w:tab/>
        <w:t>Lost licences and cards may be replaced</w:t>
      </w:r>
      <w:bookmarkEnd w:id="494"/>
      <w:bookmarkEnd w:id="495"/>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496" w:name="_Toc233693188"/>
      <w:bookmarkStart w:id="497" w:name="_Toc191982274"/>
      <w:r>
        <w:rPr>
          <w:rStyle w:val="CharSectno"/>
        </w:rPr>
        <w:t>172</w:t>
      </w:r>
      <w:r>
        <w:t>.</w:t>
      </w:r>
      <w:r>
        <w:tab/>
        <w:t>Amending licences</w:t>
      </w:r>
      <w:bookmarkEnd w:id="496"/>
      <w:bookmarkEnd w:id="497"/>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(if any), unless a fee will be payable under regulation 184 if the licence is amended; and</w:t>
      </w:r>
    </w:p>
    <w:p>
      <w:pPr>
        <w:pStyle w:val="Indenta"/>
      </w:pPr>
      <w:r>
        <w:tab/>
        <w:t>(d)</w:t>
      </w:r>
      <w:r>
        <w:tab/>
        <w:t>be made to the Chief Officer.</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Heading5"/>
      </w:pPr>
      <w:bookmarkStart w:id="498" w:name="_Toc233693189"/>
      <w:bookmarkStart w:id="499" w:name="_Toc191982275"/>
      <w:r>
        <w:rPr>
          <w:rStyle w:val="CharSectno"/>
        </w:rPr>
        <w:t>173</w:t>
      </w:r>
      <w:r>
        <w:t>.</w:t>
      </w:r>
      <w:r>
        <w:tab/>
        <w:t>Renewing licences, procedure for</w:t>
      </w:r>
      <w:bookmarkEnd w:id="498"/>
      <w:bookmarkEnd w:id="499"/>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keepNext/>
      </w:pPr>
      <w:r>
        <w:tab/>
        <w:t>(i)</w:t>
      </w:r>
      <w:r>
        <w:tab/>
        <w:t xml:space="preserve">be accompanied by — </w:t>
      </w:r>
    </w:p>
    <w:p>
      <w:pPr>
        <w:pStyle w:val="Indenti"/>
      </w:pPr>
      <w:r>
        <w:tab/>
        <w:t>(i)</w:t>
      </w:r>
      <w:r>
        <w:tab/>
        <w:t>the fee; or</w:t>
      </w:r>
    </w:p>
    <w:p>
      <w:pPr>
        <w:pStyle w:val="Indenti"/>
      </w:pPr>
      <w:r>
        <w:tab/>
        <w:t>(ii)</w:t>
      </w:r>
      <w:r>
        <w:tab/>
        <w:t>if a fee is payable under regulation 184, the instalment payable under that regulation;</w:t>
      </w:r>
    </w:p>
    <w:p>
      <w:pPr>
        <w:pStyle w:val="Indenta"/>
      </w:pPr>
      <w:r>
        <w:tab/>
      </w:r>
      <w:r>
        <w:tab/>
        <w:t>and</w:t>
      </w:r>
    </w:p>
    <w:p>
      <w:pPr>
        <w:pStyle w:val="Indenta"/>
      </w:pPr>
      <w:r>
        <w:tab/>
        <w:t>(j)</w:t>
      </w:r>
      <w:r>
        <w:tab/>
        <w:t>be made to the Chief Officer.</w:t>
      </w:r>
    </w:p>
    <w:p>
      <w:pPr>
        <w:pStyle w:val="Subsection"/>
      </w:pPr>
      <w:r>
        <w:tab/>
        <w:t>(4)</w:t>
      </w:r>
      <w:r>
        <w:tab/>
        <w:t>If the application is in respect of a licence referred to in regulation 157(7),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Heading3"/>
      </w:pPr>
      <w:bookmarkStart w:id="500" w:name="_Toc191960695"/>
      <w:bookmarkStart w:id="501" w:name="_Toc191982276"/>
      <w:bookmarkStart w:id="502" w:name="_Toc233693190"/>
      <w:r>
        <w:rPr>
          <w:rStyle w:val="CharDivNo"/>
        </w:rPr>
        <w:t>Division 3</w:t>
      </w:r>
      <w:r>
        <w:t> — </w:t>
      </w:r>
      <w:r>
        <w:rPr>
          <w:rStyle w:val="CharDivText"/>
        </w:rPr>
        <w:t>Suspending and cancelling licences</w:t>
      </w:r>
      <w:bookmarkEnd w:id="500"/>
      <w:bookmarkEnd w:id="501"/>
      <w:bookmarkEnd w:id="502"/>
    </w:p>
    <w:p>
      <w:pPr>
        <w:pStyle w:val="Heading5"/>
      </w:pPr>
      <w:bookmarkStart w:id="503" w:name="_Toc233693191"/>
      <w:bookmarkStart w:id="504" w:name="_Toc191982277"/>
      <w:r>
        <w:rPr>
          <w:rStyle w:val="CharSectno"/>
        </w:rPr>
        <w:t>174</w:t>
      </w:r>
      <w:r>
        <w:t>.</w:t>
      </w:r>
      <w:r>
        <w:tab/>
        <w:t>Grounds for suspending or cancelling</w:t>
      </w:r>
      <w:bookmarkEnd w:id="503"/>
      <w:bookmarkEnd w:id="504"/>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162.</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w:t>
      </w:r>
    </w:p>
    <w:p>
      <w:pPr>
        <w:pStyle w:val="Heading5"/>
      </w:pPr>
      <w:bookmarkStart w:id="505" w:name="_Toc233693192"/>
      <w:bookmarkStart w:id="506" w:name="_Toc191982278"/>
      <w:r>
        <w:rPr>
          <w:rStyle w:val="CharSectno"/>
        </w:rPr>
        <w:t>175</w:t>
      </w:r>
      <w:r>
        <w:t>.</w:t>
      </w:r>
      <w:r>
        <w:tab/>
        <w:t>Procedure for suspending or cancelling</w:t>
      </w:r>
      <w:bookmarkEnd w:id="505"/>
      <w:bookmarkEnd w:id="506"/>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507" w:name="_Toc233693193"/>
      <w:bookmarkStart w:id="508" w:name="_Toc191982279"/>
      <w:r>
        <w:rPr>
          <w:rStyle w:val="CharSectno"/>
        </w:rPr>
        <w:t>176</w:t>
      </w:r>
      <w:r>
        <w:t>.</w:t>
      </w:r>
      <w:r>
        <w:tab/>
        <w:t>Suspension in urgent circumstances</w:t>
      </w:r>
      <w:bookmarkEnd w:id="507"/>
      <w:bookmarkEnd w:id="508"/>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175 to cancel a licence.</w:t>
      </w:r>
    </w:p>
    <w:p>
      <w:pPr>
        <w:pStyle w:val="Heading5"/>
      </w:pPr>
      <w:bookmarkStart w:id="509" w:name="_Toc233693194"/>
      <w:bookmarkStart w:id="510" w:name="_Toc191982280"/>
      <w:r>
        <w:rPr>
          <w:rStyle w:val="CharSectno"/>
        </w:rPr>
        <w:t>177</w:t>
      </w:r>
      <w:r>
        <w:t>.</w:t>
      </w:r>
      <w:r>
        <w:tab/>
        <w:t>Licences etc. to be returned on cancellation etc.</w:t>
      </w:r>
      <w:bookmarkEnd w:id="509"/>
      <w:bookmarkEnd w:id="510"/>
    </w:p>
    <w:p>
      <w:pPr>
        <w:pStyle w:val="Subsection"/>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pPr>
      <w:r>
        <w:tab/>
        <w:t>Penalty: a level 3 fine.</w:t>
      </w:r>
    </w:p>
    <w:p>
      <w:pPr>
        <w:pStyle w:val="Heading5"/>
      </w:pPr>
      <w:bookmarkStart w:id="511" w:name="_Toc233693195"/>
      <w:bookmarkStart w:id="512" w:name="_Toc191982281"/>
      <w:r>
        <w:rPr>
          <w:rStyle w:val="CharSectno"/>
        </w:rPr>
        <w:t>178</w:t>
      </w:r>
      <w:r>
        <w:t>.</w:t>
      </w:r>
      <w:r>
        <w:tab/>
        <w:t>Suspension may be terminated</w:t>
      </w:r>
      <w:bookmarkEnd w:id="511"/>
      <w:bookmarkEnd w:id="512"/>
    </w:p>
    <w:p>
      <w:pPr>
        <w:pStyle w:val="Subsection"/>
      </w:pPr>
      <w:r>
        <w:tab/>
      </w:r>
      <w:r>
        <w:tab/>
        <w:t>The Chief Officer may terminate the suspension of a licence at any time by giving the holder a written notice of the fact.</w:t>
      </w:r>
    </w:p>
    <w:p>
      <w:pPr>
        <w:pStyle w:val="Heading3"/>
      </w:pPr>
      <w:bookmarkStart w:id="513" w:name="_Toc191960701"/>
      <w:bookmarkStart w:id="514" w:name="_Toc191982282"/>
      <w:bookmarkStart w:id="515" w:name="_Toc233693196"/>
      <w:r>
        <w:rPr>
          <w:rStyle w:val="CharDivNo"/>
        </w:rPr>
        <w:t>Division 4</w:t>
      </w:r>
      <w:r>
        <w:t> — </w:t>
      </w:r>
      <w:r>
        <w:rPr>
          <w:rStyle w:val="CharDivText"/>
        </w:rPr>
        <w:t>Duties of licence holders</w:t>
      </w:r>
      <w:bookmarkEnd w:id="513"/>
      <w:bookmarkEnd w:id="514"/>
      <w:bookmarkEnd w:id="515"/>
    </w:p>
    <w:p>
      <w:pPr>
        <w:pStyle w:val="Heading5"/>
      </w:pPr>
      <w:bookmarkStart w:id="516" w:name="_Toc233693197"/>
      <w:bookmarkStart w:id="517" w:name="_Toc191982283"/>
      <w:r>
        <w:rPr>
          <w:rStyle w:val="CharSectno"/>
        </w:rPr>
        <w:t>179</w:t>
      </w:r>
      <w:r>
        <w:t>.</w:t>
      </w:r>
      <w:r>
        <w:tab/>
        <w:t>Wrong information, duty to correct</w:t>
      </w:r>
      <w:bookmarkEnd w:id="516"/>
      <w:bookmarkEnd w:id="517"/>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518" w:name="_Toc233693198"/>
      <w:bookmarkStart w:id="519" w:name="_Toc191982284"/>
      <w:r>
        <w:rPr>
          <w:rStyle w:val="CharSectno"/>
        </w:rPr>
        <w:t>180</w:t>
      </w:r>
      <w:r>
        <w:t>.</w:t>
      </w:r>
      <w:r>
        <w:tab/>
        <w:t>Licence holder charged with or convicted of relevant offence to notify Chief Officer</w:t>
      </w:r>
      <w:bookmarkEnd w:id="518"/>
      <w:bookmarkEnd w:id="519"/>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520" w:name="_Toc233693199"/>
      <w:bookmarkStart w:id="521" w:name="_Toc191982285"/>
      <w:r>
        <w:rPr>
          <w:rStyle w:val="CharSectno"/>
        </w:rPr>
        <w:t>181</w:t>
      </w:r>
      <w:r>
        <w:t>.</w:t>
      </w:r>
      <w:r>
        <w:tab/>
        <w:t>Licences relating to places, notification of development</w:t>
      </w:r>
      <w:bookmarkEnd w:id="520"/>
      <w:bookmarkEnd w:id="521"/>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522" w:name="_Toc233693200"/>
      <w:bookmarkStart w:id="523" w:name="_Toc191982286"/>
      <w:r>
        <w:rPr>
          <w:rStyle w:val="CharSectno"/>
        </w:rPr>
        <w:t>182</w:t>
      </w:r>
      <w:r>
        <w:t>.</w:t>
      </w:r>
      <w:r>
        <w:tab/>
        <w:t>Condition of licence, contravening</w:t>
      </w:r>
      <w:bookmarkEnd w:id="522"/>
      <w:bookmarkEnd w:id="523"/>
    </w:p>
    <w:p>
      <w:pPr>
        <w:pStyle w:val="Subsection"/>
      </w:pPr>
      <w:r>
        <w:tab/>
        <w:t>(1)</w:t>
      </w:r>
      <w:r>
        <w:tab/>
        <w:t>A licence holder must not contravene a condition of the licence.</w:t>
      </w:r>
    </w:p>
    <w:p>
      <w:pPr>
        <w:pStyle w:val="Penstart"/>
      </w:pPr>
      <w:r>
        <w:tab/>
        <w:t>Penalty: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Subsection"/>
      </w:pPr>
      <w:r>
        <w:tab/>
        <w:t>(3)</w:t>
      </w:r>
      <w:r>
        <w:tab/>
        <w:t xml:space="preserve">A person convicted of an offence under subregulation (1) may be punished for the offence even if the condition contravened is subsequently amended or cancelled, despite </w:t>
      </w:r>
      <w:r>
        <w:rPr>
          <w:i/>
          <w:iCs/>
        </w:rPr>
        <w:t xml:space="preserve">The Criminal Code </w:t>
      </w:r>
      <w:r>
        <w:t>section 11.</w:t>
      </w:r>
    </w:p>
    <w:p>
      <w:pPr>
        <w:pStyle w:val="Heading3"/>
      </w:pPr>
      <w:bookmarkStart w:id="524" w:name="_Toc191960706"/>
      <w:bookmarkStart w:id="525" w:name="_Toc191982287"/>
      <w:bookmarkStart w:id="526" w:name="_Toc233693201"/>
      <w:r>
        <w:rPr>
          <w:rStyle w:val="CharDivNo"/>
        </w:rPr>
        <w:t>Division 5</w:t>
      </w:r>
      <w:r>
        <w:t> — </w:t>
      </w:r>
      <w:r>
        <w:rPr>
          <w:rStyle w:val="CharDivText"/>
        </w:rPr>
        <w:t>Miscellaneous matters</w:t>
      </w:r>
      <w:bookmarkEnd w:id="524"/>
      <w:bookmarkEnd w:id="525"/>
      <w:bookmarkEnd w:id="526"/>
    </w:p>
    <w:p>
      <w:pPr>
        <w:pStyle w:val="Heading5"/>
      </w:pPr>
      <w:bookmarkStart w:id="527" w:name="_Toc233693202"/>
      <w:bookmarkStart w:id="528" w:name="_Toc191982288"/>
      <w:r>
        <w:rPr>
          <w:rStyle w:val="CharSectno"/>
        </w:rPr>
        <w:t>183</w:t>
      </w:r>
      <w:r>
        <w:t>.</w:t>
      </w:r>
      <w:r>
        <w:tab/>
        <w:t>Register of licences</w:t>
      </w:r>
      <w:bookmarkEnd w:id="527"/>
      <w:bookmarkEnd w:id="528"/>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Heading5"/>
      </w:pPr>
      <w:bookmarkStart w:id="529" w:name="_Toc233693203"/>
      <w:bookmarkStart w:id="530" w:name="_Toc191982289"/>
      <w:r>
        <w:rPr>
          <w:rStyle w:val="CharSectno"/>
        </w:rPr>
        <w:t>184</w:t>
      </w:r>
      <w:r>
        <w:t>.</w:t>
      </w:r>
      <w:r>
        <w:tab/>
        <w:t>Annual fee for major hazard facilities</w:t>
      </w:r>
      <w:bookmarkEnd w:id="529"/>
      <w:bookmarkEnd w:id="530"/>
    </w:p>
    <w:p>
      <w:pPr>
        <w:pStyle w:val="Subsection"/>
      </w:pPr>
      <w:r>
        <w:tab/>
        <w:t>(1)</w:t>
      </w:r>
      <w:r>
        <w:tab/>
        <w:t xml:space="preserve">The holder of an explosives manufacture licence issued in respect of a dangerous goods site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is subject to the explosives manufacture licence; and</w:t>
      </w:r>
    </w:p>
    <w:p>
      <w:pPr>
        <w:pStyle w:val="Indenta"/>
      </w:pPr>
      <w:r>
        <w:tab/>
        <w:t>(b)</w:t>
      </w:r>
      <w:r>
        <w:tab/>
        <w:t xml:space="preserve">the </w:t>
      </w:r>
      <w:r>
        <w:rPr>
          <w:i/>
          <w:iCs/>
        </w:rPr>
        <w:t>Dangerous Goods Safety (Major Hazard Facilities) Regulations 2007</w:t>
      </w:r>
      <w:r>
        <w:t xml:space="preserve"> require a safety report to have been approved for the site.</w:t>
      </w:r>
    </w:p>
    <w:p>
      <w:pPr>
        <w:pStyle w:val="Heading2"/>
      </w:pPr>
      <w:bookmarkStart w:id="531" w:name="_Toc191960709"/>
      <w:bookmarkStart w:id="532" w:name="_Toc191982290"/>
      <w:bookmarkStart w:id="533" w:name="_Toc233693204"/>
      <w:r>
        <w:rPr>
          <w:rStyle w:val="CharPartNo"/>
        </w:rPr>
        <w:t>Part 16</w:t>
      </w:r>
      <w:r>
        <w:rPr>
          <w:rStyle w:val="CharDivNo"/>
        </w:rPr>
        <w:t> </w:t>
      </w:r>
      <w:r>
        <w:t>—</w:t>
      </w:r>
      <w:r>
        <w:rPr>
          <w:rStyle w:val="CharDivText"/>
        </w:rPr>
        <w:t> </w:t>
      </w:r>
      <w:r>
        <w:rPr>
          <w:rStyle w:val="CharPartText"/>
        </w:rPr>
        <w:t>Fees for using State explosives facilities</w:t>
      </w:r>
      <w:bookmarkEnd w:id="531"/>
      <w:bookmarkEnd w:id="532"/>
      <w:bookmarkEnd w:id="533"/>
    </w:p>
    <w:p>
      <w:pPr>
        <w:pStyle w:val="Heading5"/>
      </w:pPr>
      <w:bookmarkStart w:id="534" w:name="_Toc233693205"/>
      <w:bookmarkStart w:id="535" w:name="_Toc191982291"/>
      <w:r>
        <w:rPr>
          <w:rStyle w:val="CharSectno"/>
        </w:rPr>
        <w:t>185</w:t>
      </w:r>
      <w:r>
        <w:t>.</w:t>
      </w:r>
      <w:r>
        <w:tab/>
        <w:t>Terms used in this Part</w:t>
      </w:r>
      <w:bookmarkEnd w:id="534"/>
      <w:bookmarkEnd w:id="535"/>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536" w:name="_Toc233693206"/>
      <w:bookmarkStart w:id="537" w:name="_Toc191982292"/>
      <w:r>
        <w:rPr>
          <w:rStyle w:val="CharSectno"/>
        </w:rPr>
        <w:t>186</w:t>
      </w:r>
      <w:r>
        <w:t>.</w:t>
      </w:r>
      <w:r>
        <w:tab/>
        <w:t>Application of this Part</w:t>
      </w:r>
      <w:bookmarkEnd w:id="536"/>
      <w:bookmarkEnd w:id="537"/>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538" w:name="_Toc233693207"/>
      <w:bookmarkStart w:id="539" w:name="_Toc191982293"/>
      <w:r>
        <w:rPr>
          <w:rStyle w:val="CharSectno"/>
        </w:rPr>
        <w:t>187</w:t>
      </w:r>
      <w:r>
        <w:t>.</w:t>
      </w:r>
      <w:r>
        <w:tab/>
        <w:t>Fees to be paid quarterly</w:t>
      </w:r>
      <w:bookmarkEnd w:id="538"/>
      <w:bookmarkEnd w:id="539"/>
    </w:p>
    <w:p>
      <w:pPr>
        <w:pStyle w:val="Subsection"/>
      </w:pPr>
      <w:r>
        <w:tab/>
      </w:r>
      <w:r>
        <w:tab/>
        <w:t>The fees payable under this Part must be paid in advance before 1 January, 1 April, 1 July and 1 October of each year for the quarter that begins on that date.</w:t>
      </w:r>
    </w:p>
    <w:p>
      <w:pPr>
        <w:pStyle w:val="Heading5"/>
      </w:pPr>
      <w:bookmarkStart w:id="540" w:name="_Toc233693208"/>
      <w:bookmarkStart w:id="541" w:name="_Toc191982294"/>
      <w:r>
        <w:rPr>
          <w:rStyle w:val="CharSectno"/>
        </w:rPr>
        <w:t>188</w:t>
      </w:r>
      <w:r>
        <w:t>.</w:t>
      </w:r>
      <w:r>
        <w:tab/>
        <w:t>Fees for using SEF to manufacture explosives</w:t>
      </w:r>
      <w:bookmarkEnd w:id="540"/>
      <w:bookmarkEnd w:id="541"/>
    </w:p>
    <w:p>
      <w:pPr>
        <w:pStyle w:val="Subsection"/>
      </w:pPr>
      <w:r>
        <w:tab/>
      </w:r>
      <w:r>
        <w:tab/>
        <w:t>The holder of an explosives manufacture licence that authorises the manufacture of an explosive at an SEF must pay for each year or part of a year a fee being —</w:t>
      </w:r>
    </w:p>
    <w:p>
      <w:pPr>
        <w:pStyle w:val="Indenta"/>
        <w:keepNext/>
      </w:pPr>
      <w:r>
        <w:tab/>
        <w:t>(a)</w:t>
      </w:r>
      <w:r>
        <w:tab/>
        <w:t>if the SEF is a type A facility — the greater of —</w:t>
      </w:r>
    </w:p>
    <w:p>
      <w:pPr>
        <w:pStyle w:val="Indenti"/>
      </w:pPr>
      <w:r>
        <w:tab/>
        <w:t>(i)</w:t>
      </w:r>
      <w:r>
        <w:tab/>
        <w:t>$2 400; or</w:t>
      </w:r>
    </w:p>
    <w:p>
      <w:pPr>
        <w:pStyle w:val="Indenti"/>
      </w:pPr>
      <w:r>
        <w:tab/>
        <w:t>(ii)</w:t>
      </w:r>
      <w:r>
        <w:tab/>
        <w:t>$6.40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Heading5"/>
      </w:pPr>
      <w:bookmarkStart w:id="542" w:name="_Toc233693209"/>
      <w:bookmarkStart w:id="543" w:name="_Toc191982295"/>
      <w:r>
        <w:rPr>
          <w:rStyle w:val="CharSectno"/>
        </w:rPr>
        <w:t>189</w:t>
      </w:r>
      <w:r>
        <w:t>.</w:t>
      </w:r>
      <w:r>
        <w:tab/>
        <w:t>Fees for using SEF to store explosives</w:t>
      </w:r>
      <w:bookmarkEnd w:id="542"/>
      <w:bookmarkEnd w:id="543"/>
    </w:p>
    <w:p>
      <w:pPr>
        <w:pStyle w:val="Subsection"/>
      </w:pPr>
      <w:r>
        <w:tab/>
      </w:r>
      <w:r>
        <w:tab/>
        <w:t>The holder of an explosives storage licence that authorises the storage of an explosive at an SEF must pay for each year or part thereof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$150;</w:t>
      </w:r>
    </w:p>
    <w:p>
      <w:pPr>
        <w:pStyle w:val="Indenti"/>
      </w:pPr>
      <w:r>
        <w:tab/>
        <w:t>(ii)</w:t>
      </w:r>
      <w:r>
        <w:tab/>
        <w:t>if the licence authorises the storage of 100 kg or more but not more than 1 000 kg of explosive — $150 plus $1.25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$230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Heading5"/>
      </w:pPr>
      <w:bookmarkStart w:id="544" w:name="_Toc233693210"/>
      <w:bookmarkStart w:id="545" w:name="_Toc191982296"/>
      <w:r>
        <w:rPr>
          <w:rStyle w:val="CharSectno"/>
        </w:rPr>
        <w:t>190</w:t>
      </w:r>
      <w:r>
        <w:t>.</w:t>
      </w:r>
      <w:r>
        <w:tab/>
        <w:t>Fees for using SEF to manufacture or store SRSs</w:t>
      </w:r>
      <w:bookmarkEnd w:id="544"/>
      <w:bookmarkEnd w:id="545"/>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or part thereof a fee being —</w:t>
      </w:r>
    </w:p>
    <w:p>
      <w:pPr>
        <w:pStyle w:val="Indenta"/>
        <w:keepNext/>
      </w:pPr>
      <w:r>
        <w:tab/>
        <w:t>(a)</w:t>
      </w:r>
      <w:r>
        <w:tab/>
        <w:t>if the SEF is a type A facility — the greater of —</w:t>
      </w:r>
    </w:p>
    <w:p>
      <w:pPr>
        <w:pStyle w:val="Indenti"/>
      </w:pPr>
      <w:r>
        <w:tab/>
        <w:t>(i)</w:t>
      </w:r>
      <w:r>
        <w:tab/>
        <w:t>$2 400; or</w:t>
      </w:r>
    </w:p>
    <w:p>
      <w:pPr>
        <w:pStyle w:val="Indenti"/>
      </w:pPr>
      <w:r>
        <w:tab/>
        <w:t>(ii)</w:t>
      </w:r>
      <w:r>
        <w:tab/>
        <w:t>$6.40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Heading2"/>
      </w:pPr>
      <w:bookmarkStart w:id="546" w:name="_Toc191960716"/>
      <w:bookmarkStart w:id="547" w:name="_Toc191982297"/>
      <w:bookmarkStart w:id="548" w:name="_Toc233693211"/>
      <w:r>
        <w:rPr>
          <w:rStyle w:val="CharPartNo"/>
        </w:rPr>
        <w:t>Part 17</w:t>
      </w:r>
      <w:r>
        <w:rPr>
          <w:rStyle w:val="CharDivNo"/>
        </w:rPr>
        <w:t> </w:t>
      </w:r>
      <w:r>
        <w:t>—</w:t>
      </w:r>
      <w:r>
        <w:rPr>
          <w:rStyle w:val="CharDivText"/>
        </w:rPr>
        <w:t> </w:t>
      </w:r>
      <w:r>
        <w:rPr>
          <w:rStyle w:val="CharPartText"/>
        </w:rPr>
        <w:t>Miscellaneous matters</w:t>
      </w:r>
      <w:bookmarkEnd w:id="546"/>
      <w:bookmarkEnd w:id="547"/>
      <w:bookmarkEnd w:id="548"/>
    </w:p>
    <w:p>
      <w:pPr>
        <w:pStyle w:val="Heading5"/>
      </w:pPr>
      <w:bookmarkStart w:id="549" w:name="_Toc233693212"/>
      <w:bookmarkStart w:id="550" w:name="_Toc191982298"/>
      <w:r>
        <w:rPr>
          <w:rStyle w:val="CharSectno"/>
        </w:rPr>
        <w:t>191</w:t>
      </w:r>
      <w:r>
        <w:t>.</w:t>
      </w:r>
      <w:r>
        <w:tab/>
        <w:t>State land, manufacture or storage on</w:t>
      </w:r>
      <w:bookmarkEnd w:id="549"/>
      <w:bookmarkEnd w:id="550"/>
    </w:p>
    <w:p>
      <w:pPr>
        <w:pStyle w:val="Subsection"/>
      </w:pPr>
      <w:r>
        <w:tab/>
      </w:r>
      <w:r>
        <w:tab/>
        <w:t>A person must not manufacture or store an explosive or SRS on State land that the Minister controls and manages without the prior written approval of the Chief Officer.</w:t>
      </w:r>
    </w:p>
    <w:p>
      <w:pPr>
        <w:pStyle w:val="Penstart"/>
      </w:pPr>
      <w:r>
        <w:tab/>
        <w:t>Penalty: a level 2 fine.</w:t>
      </w:r>
    </w:p>
    <w:p>
      <w:pPr>
        <w:pStyle w:val="Heading5"/>
      </w:pPr>
      <w:bookmarkStart w:id="551" w:name="_Toc233693213"/>
      <w:bookmarkStart w:id="552" w:name="_Toc191982299"/>
      <w:r>
        <w:rPr>
          <w:rStyle w:val="CharSectno"/>
        </w:rPr>
        <w:t>192</w:t>
      </w:r>
      <w:r>
        <w:t>.</w:t>
      </w:r>
      <w:r>
        <w:tab/>
        <w:t>“Safety management documents” prescribed (Act s. 3)</w:t>
      </w:r>
      <w:bookmarkEnd w:id="551"/>
      <w:bookmarkEnd w:id="552"/>
    </w:p>
    <w:p>
      <w:pPr>
        <w:pStyle w:val="Subsection"/>
      </w:pPr>
      <w:r>
        <w:tab/>
      </w:r>
      <w:r>
        <w:tab/>
        <w:t>Each of the following documents is prescribed to be a safety management document for the purposes of the definition of “safety management document” in the Act section 3 —</w:t>
      </w:r>
    </w:p>
    <w:p>
      <w:pPr>
        <w:pStyle w:val="Indenta"/>
      </w:pPr>
      <w:r>
        <w:tab/>
        <w:t>(a)</w:t>
      </w:r>
      <w:r>
        <w:tab/>
        <w:t>an explosives management plan referred to in regulation 161 that relates to a licence referred to in regulation 157(7);</w:t>
      </w:r>
    </w:p>
    <w:p>
      <w:pPr>
        <w:pStyle w:val="Indenta"/>
      </w:pPr>
      <w:r>
        <w:tab/>
        <w:t>(b)</w:t>
      </w:r>
      <w:r>
        <w:tab/>
        <w:t>a blast plan referred to in regulation 130 and required to be prepared for the use of an explosive.</w:t>
      </w:r>
    </w:p>
    <w:p>
      <w:pPr>
        <w:pStyle w:val="Heading5"/>
      </w:pPr>
      <w:bookmarkStart w:id="553" w:name="_Toc233693214"/>
      <w:bookmarkStart w:id="554" w:name="_Toc191982300"/>
      <w:r>
        <w:rPr>
          <w:rStyle w:val="CharSectno"/>
        </w:rPr>
        <w:t>193</w:t>
      </w:r>
      <w:r>
        <w:t>.</w:t>
      </w:r>
      <w:r>
        <w:tab/>
        <w:t>False or misleading information, offences</w:t>
      </w:r>
      <w:bookmarkEnd w:id="553"/>
      <w:bookmarkEnd w:id="554"/>
    </w:p>
    <w:p>
      <w:pPr>
        <w:pStyle w:val="Subsection"/>
      </w:pPr>
      <w:r>
        <w:tab/>
        <w:t>(1)</w:t>
      </w:r>
      <w:r>
        <w:tab/>
        <w:t>A person must not record any information that the person knows is false or misleading in a plan, record or report that is required to be kept or made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555" w:name="_Toc233693215"/>
      <w:bookmarkStart w:id="556" w:name="_Toc191982301"/>
      <w:r>
        <w:rPr>
          <w:rStyle w:val="CharSectno"/>
        </w:rPr>
        <w:t>194</w:t>
      </w:r>
      <w:r>
        <w:t>.</w:t>
      </w:r>
      <w:r>
        <w:tab/>
        <w:t>Explosives management plan, duties in respect of</w:t>
      </w:r>
      <w:bookmarkEnd w:id="555"/>
      <w:bookmarkEnd w:id="556"/>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pPr>
      <w:r>
        <w:tab/>
        <w:t>Penalty: a level 3 fine.</w:t>
      </w:r>
    </w:p>
    <w:p>
      <w:pPr>
        <w:pStyle w:val="Heading5"/>
      </w:pPr>
      <w:bookmarkStart w:id="557" w:name="_Toc233693216"/>
      <w:bookmarkStart w:id="558" w:name="_Toc191982302"/>
      <w:r>
        <w:rPr>
          <w:rStyle w:val="CharSectno"/>
        </w:rPr>
        <w:t>195</w:t>
      </w:r>
      <w:r>
        <w:t>.</w:t>
      </w:r>
      <w:r>
        <w:tab/>
        <w:t>Conditions of a permit, contravening</w:t>
      </w:r>
      <w:bookmarkEnd w:id="557"/>
      <w:bookmarkEnd w:id="558"/>
    </w:p>
    <w:p>
      <w:pPr>
        <w:pStyle w:val="Subsection"/>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pPr>
      <w:r>
        <w:tab/>
        <w:t>(c)</w:t>
      </w:r>
      <w:r>
        <w:tab/>
        <w:t>a permit issued under regulation 131; or</w:t>
      </w:r>
    </w:p>
    <w:p>
      <w:pPr>
        <w:pStyle w:val="Indenta"/>
      </w:pPr>
      <w:r>
        <w:tab/>
        <w:t>(d)</w:t>
      </w:r>
      <w:r>
        <w:tab/>
        <w:t>a permit issued under regulation 139; or</w:t>
      </w:r>
    </w:p>
    <w:p>
      <w:pPr>
        <w:pStyle w:val="Indenta"/>
      </w:pPr>
      <w:r>
        <w:tab/>
        <w:t>(e)</w:t>
      </w:r>
      <w:r>
        <w:tab/>
        <w:t>a permit issued under regulation 140,</w:t>
      </w:r>
    </w:p>
    <w:p>
      <w:pPr>
        <w:pStyle w:val="Subsection"/>
      </w:pPr>
      <w:r>
        <w:tab/>
      </w:r>
      <w:r>
        <w:tab/>
        <w:t>must obey any condition that is in the permit.</w:t>
      </w:r>
    </w:p>
    <w:p>
      <w:pPr>
        <w:pStyle w:val="Penstart"/>
      </w:pPr>
      <w:r>
        <w:tab/>
        <w:t>Penalty: a level 1 fine and imprisonment for 10 months.</w:t>
      </w:r>
    </w:p>
    <w:p>
      <w:pPr>
        <w:pStyle w:val="Subsection"/>
      </w:pPr>
      <w:r>
        <w:tab/>
        <w:t>(2)</w:t>
      </w:r>
      <w:r>
        <w:tab/>
        <w:t xml:space="preserve">Despite </w:t>
      </w:r>
      <w:r>
        <w:rPr>
          <w:i/>
          <w:iCs/>
        </w:rPr>
        <w:t>The Criminal Code</w:t>
      </w:r>
      <w:r>
        <w:t xml:space="preserve"> section 11, a person convicted of an offence under subregulation (1) may be punished for the offence even if the condition contravened was amended or cancelled after the offence was committed.</w:t>
      </w:r>
    </w:p>
    <w:p>
      <w:pPr>
        <w:pStyle w:val="Heading5"/>
      </w:pPr>
      <w:bookmarkStart w:id="559" w:name="_Toc233693217"/>
      <w:bookmarkStart w:id="560" w:name="_Toc191982303"/>
      <w:r>
        <w:rPr>
          <w:rStyle w:val="CharSectno"/>
        </w:rPr>
        <w:t>196</w:t>
      </w:r>
      <w:r>
        <w:t>.</w:t>
      </w:r>
      <w:r>
        <w:tab/>
        <w:t>Permits have no effect if holder’s licence ceases to have effect</w:t>
      </w:r>
      <w:bookmarkEnd w:id="559"/>
      <w:bookmarkEnd w:id="560"/>
    </w:p>
    <w:p>
      <w:pPr>
        <w:pStyle w:val="Subsection"/>
      </w:pPr>
      <w:r>
        <w:tab/>
      </w:r>
      <w:r>
        <w:tab/>
        <w:t>If, when a licence ceases to have effect, the holder also holds a permit issued under these regulations, the permit ceases to have effect at the same time.</w:t>
      </w:r>
    </w:p>
    <w:p>
      <w:pPr>
        <w:pStyle w:val="Heading5"/>
      </w:pPr>
      <w:bookmarkStart w:id="561" w:name="_Toc233693218"/>
      <w:bookmarkStart w:id="562" w:name="_Toc191982304"/>
      <w:r>
        <w:rPr>
          <w:rStyle w:val="CharSectno"/>
        </w:rPr>
        <w:t>197</w:t>
      </w:r>
      <w:r>
        <w:t>.</w:t>
      </w:r>
      <w:r>
        <w:tab/>
        <w:t>Prescribed offences and modified penalties (Act s. 56)</w:t>
      </w:r>
      <w:bookmarkEnd w:id="561"/>
      <w:bookmarkEnd w:id="562"/>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563" w:name="_Toc191960724"/>
      <w:bookmarkStart w:id="564" w:name="_Toc191982305"/>
      <w:bookmarkStart w:id="565" w:name="_Toc233693219"/>
      <w:r>
        <w:rPr>
          <w:rStyle w:val="CharPartNo"/>
        </w:rPr>
        <w:t>Part 18</w:t>
      </w:r>
      <w:r>
        <w:rPr>
          <w:rStyle w:val="CharDivNo"/>
        </w:rPr>
        <w:t> </w:t>
      </w:r>
      <w:r>
        <w:t>—</w:t>
      </w:r>
      <w:r>
        <w:rPr>
          <w:rStyle w:val="CharDivText"/>
        </w:rPr>
        <w:t> </w:t>
      </w:r>
      <w:r>
        <w:rPr>
          <w:rStyle w:val="CharPartText"/>
        </w:rPr>
        <w:t>Transitional matters</w:t>
      </w:r>
      <w:bookmarkEnd w:id="563"/>
      <w:bookmarkEnd w:id="564"/>
      <w:bookmarkEnd w:id="565"/>
    </w:p>
    <w:p>
      <w:pPr>
        <w:pStyle w:val="Heading5"/>
      </w:pPr>
      <w:bookmarkStart w:id="566" w:name="_Toc233693220"/>
      <w:bookmarkStart w:id="567" w:name="_Toc191982306"/>
      <w:r>
        <w:rPr>
          <w:rStyle w:val="CharSectno"/>
        </w:rPr>
        <w:t>198</w:t>
      </w:r>
      <w:r>
        <w:t>.</w:t>
      </w:r>
      <w:r>
        <w:tab/>
        <w:t>Term used in this Part</w:t>
      </w:r>
      <w:bookmarkEnd w:id="566"/>
      <w:bookmarkEnd w:id="567"/>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568" w:name="_Toc233693221"/>
      <w:bookmarkStart w:id="569" w:name="_Toc191982307"/>
      <w:r>
        <w:rPr>
          <w:rStyle w:val="CharSectno"/>
        </w:rPr>
        <w:t>199</w:t>
      </w:r>
      <w:r>
        <w:t>.</w:t>
      </w:r>
      <w:r>
        <w:tab/>
        <w:t>Authorised explosives</w:t>
      </w:r>
      <w:bookmarkEnd w:id="568"/>
      <w:bookmarkEnd w:id="569"/>
    </w:p>
    <w:p>
      <w:pPr>
        <w:pStyle w:val="Subsection"/>
      </w:pPr>
      <w:r>
        <w:tab/>
      </w:r>
      <w:r>
        <w:tab/>
        <w:t xml:space="preserve">If immediately before commencement an explosive is declared under the </w:t>
      </w:r>
      <w:r>
        <w:rPr>
          <w:i/>
        </w:rPr>
        <w:t>Explosives and Dangerous Goods Act 1961</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570" w:name="_Toc233693222"/>
      <w:bookmarkStart w:id="571" w:name="_Toc191982308"/>
      <w:r>
        <w:rPr>
          <w:rStyle w:val="CharSectno"/>
        </w:rPr>
        <w:t>200</w:t>
      </w:r>
      <w:r>
        <w:t>.</w:t>
      </w:r>
      <w:r>
        <w:tab/>
        <w:t xml:space="preserve">Licences issued under </w:t>
      </w:r>
      <w:r>
        <w:rPr>
          <w:i/>
        </w:rPr>
        <w:t>Explosives and Dangerous Goods Act 1961</w:t>
      </w:r>
      <w:bookmarkEnd w:id="570"/>
      <w:bookmarkEnd w:id="571"/>
    </w:p>
    <w:p>
      <w:pPr>
        <w:pStyle w:val="Subsection"/>
      </w:pPr>
      <w:r>
        <w:tab/>
      </w:r>
      <w:r>
        <w:tab/>
        <w:t xml:space="preserve">If immediately before commencement a person holds a valid licence issued under the </w:t>
      </w:r>
      <w:r>
        <w:rPr>
          <w:i/>
        </w:rPr>
        <w:t>Explosives and Dangerous Goods Act 1961</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572" w:name="_Toc233693223"/>
      <w:bookmarkStart w:id="573" w:name="_Toc191982309"/>
      <w:r>
        <w:rPr>
          <w:rStyle w:val="CharSectno"/>
        </w:rPr>
        <w:t>201</w:t>
      </w:r>
      <w:r>
        <w:t>.</w:t>
      </w:r>
      <w:r>
        <w:tab/>
        <w:t xml:space="preserve">Explosive vehicle licences issued under </w:t>
      </w:r>
      <w:r>
        <w:rPr>
          <w:i/>
        </w:rPr>
        <w:t>Dangerous Goods (Transport) Act 1998</w:t>
      </w:r>
      <w:bookmarkEnd w:id="572"/>
      <w:bookmarkEnd w:id="573"/>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iCs/>
        </w:rPr>
        <w:t>.</w:t>
      </w:r>
    </w:p>
    <w:p>
      <w:pPr>
        <w:pStyle w:val="Heading5"/>
      </w:pPr>
      <w:bookmarkStart w:id="574" w:name="_Toc233693224"/>
      <w:bookmarkStart w:id="575" w:name="_Toc191982310"/>
      <w:r>
        <w:rPr>
          <w:rStyle w:val="CharSectno"/>
        </w:rPr>
        <w:t>202</w:t>
      </w:r>
      <w:r>
        <w:t>.</w:t>
      </w:r>
      <w:r>
        <w:tab/>
        <w:t>Security clearances required within one year after commencement</w:t>
      </w:r>
      <w:bookmarkEnd w:id="574"/>
      <w:bookmarkEnd w:id="575"/>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576" w:name="_Toc233693225"/>
      <w:bookmarkStart w:id="577" w:name="_Toc191982311"/>
      <w:r>
        <w:rPr>
          <w:rStyle w:val="CharSectno"/>
        </w:rPr>
        <w:t>203</w:t>
      </w:r>
      <w:r>
        <w:t>.</w:t>
      </w:r>
      <w:r>
        <w:tab/>
        <w:t>Explosives management plans required within one year after commencement</w:t>
      </w:r>
      <w:bookmarkEnd w:id="576"/>
      <w:bookmarkEnd w:id="577"/>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578" w:name="_Toc233693226"/>
      <w:bookmarkStart w:id="579" w:name="_Toc191982312"/>
      <w:r>
        <w:rPr>
          <w:rStyle w:val="CharSectno"/>
        </w:rPr>
        <w:t>204</w:t>
      </w:r>
      <w:r>
        <w:t>.</w:t>
      </w:r>
      <w:r>
        <w:tab/>
        <w:t>Explosives driver licence issued under</w:t>
      </w:r>
      <w:r>
        <w:rPr>
          <w:i/>
        </w:rPr>
        <w:t xml:space="preserve"> Dangerous Goods (Transport) Act 1998</w:t>
      </w:r>
      <w:bookmarkEnd w:id="578"/>
      <w:bookmarkEnd w:id="579"/>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Act 1999</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580" w:name="_Toc233693227"/>
      <w:bookmarkStart w:id="581" w:name="_Toc191982313"/>
      <w:r>
        <w:rPr>
          <w:rStyle w:val="CharSectno"/>
        </w:rPr>
        <w:t>205</w:t>
      </w:r>
      <w:r>
        <w:t>.</w:t>
      </w:r>
      <w:r>
        <w:tab/>
        <w:t>State explosive facilities, when new fees apply</w:t>
      </w:r>
      <w:bookmarkEnd w:id="580"/>
      <w:bookmarkEnd w:id="581"/>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82" w:name="_Toc191960733"/>
      <w:bookmarkStart w:id="583" w:name="_Toc191982314"/>
      <w:bookmarkStart w:id="584" w:name="_Toc233693228"/>
      <w:bookmarkStart w:id="585" w:name="_Toc113695922"/>
      <w:bookmarkStart w:id="586" w:name="_Toc186857117"/>
      <w:bookmarkStart w:id="587" w:name="_Toc186857186"/>
      <w:bookmarkStart w:id="588" w:name="_Toc186872265"/>
      <w:r>
        <w:rPr>
          <w:rStyle w:val="CharSchNo"/>
        </w:rPr>
        <w:t>Schedule 1</w:t>
      </w:r>
      <w:r>
        <w:rPr>
          <w:rStyle w:val="CharSDivNo"/>
        </w:rPr>
        <w:t> </w:t>
      </w:r>
      <w:r>
        <w:t>—</w:t>
      </w:r>
      <w:r>
        <w:rPr>
          <w:rStyle w:val="CharSDivText"/>
        </w:rPr>
        <w:t> </w:t>
      </w:r>
      <w:r>
        <w:rPr>
          <w:rStyle w:val="CharSchText"/>
        </w:rPr>
        <w:t>Fees</w:t>
      </w:r>
      <w:bookmarkEnd w:id="582"/>
      <w:bookmarkEnd w:id="583"/>
      <w:bookmarkEnd w:id="584"/>
    </w:p>
    <w:p>
      <w:pPr>
        <w:pStyle w:val="yShoulderClause"/>
        <w:spacing w:after="240"/>
      </w:pPr>
      <w:r>
        <w:t>[r. 3]</w:t>
      </w:r>
    </w:p>
    <w:tbl>
      <w:tblPr>
        <w:tblW w:w="7088" w:type="dxa"/>
        <w:tblInd w:w="57" w:type="dxa"/>
        <w:tblLayout w:type="fixed"/>
        <w:tblCellMar>
          <w:left w:w="57" w:type="dxa"/>
          <w:right w:w="57" w:type="dxa"/>
        </w:tblCellMar>
        <w:tblLook w:val="0000" w:firstRow="0" w:lastRow="0" w:firstColumn="0" w:lastColumn="0" w:noHBand="0" w:noVBand="0"/>
      </w:tblPr>
      <w:tblGrid>
        <w:gridCol w:w="567"/>
        <w:gridCol w:w="5529"/>
        <w:gridCol w:w="992"/>
      </w:tblGrid>
      <w:tr>
        <w:trPr>
          <w:cantSplit/>
          <w:tblHeader/>
        </w:trPr>
        <w:tc>
          <w:tcPr>
            <w:tcW w:w="567" w:type="dxa"/>
            <w:tcBorders>
              <w:top w:val="single" w:sz="4" w:space="0" w:color="auto"/>
              <w:bottom w:val="single" w:sz="4" w:space="0" w:color="auto"/>
            </w:tcBorders>
          </w:tcPr>
          <w:p>
            <w:pPr>
              <w:pStyle w:val="yTableNAm"/>
              <w:jc w:val="center"/>
              <w:rPr>
                <w:b/>
                <w:bCs/>
              </w:rPr>
            </w:pPr>
            <w:r>
              <w:rPr>
                <w:b/>
                <w:bCs/>
              </w:rPr>
              <w:t>Item</w:t>
            </w:r>
          </w:p>
        </w:tc>
        <w:tc>
          <w:tcPr>
            <w:tcW w:w="5529" w:type="dxa"/>
            <w:tcBorders>
              <w:top w:val="single" w:sz="4" w:space="0" w:color="auto"/>
              <w:bottom w:val="single" w:sz="4" w:space="0" w:color="auto"/>
            </w:tcBorders>
          </w:tcPr>
          <w:p>
            <w:pPr>
              <w:pStyle w:val="yTableNAm"/>
              <w:rPr>
                <w:b/>
                <w:bCs/>
              </w:rPr>
            </w:pPr>
            <w:r>
              <w:rPr>
                <w:b/>
                <w:bCs/>
              </w:rPr>
              <w:t>Fee for</w:t>
            </w:r>
          </w:p>
        </w:tc>
        <w:tc>
          <w:tcPr>
            <w:tcW w:w="992"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Pr>
        <w:tc>
          <w:tcPr>
            <w:tcW w:w="567" w:type="dxa"/>
          </w:tcPr>
          <w:p>
            <w:pPr>
              <w:pStyle w:val="yTableNAm"/>
              <w:jc w:val="center"/>
            </w:pPr>
            <w:r>
              <w:t>1.</w:t>
            </w:r>
          </w:p>
        </w:tc>
        <w:tc>
          <w:tcPr>
            <w:tcW w:w="5529" w:type="dxa"/>
          </w:tcPr>
          <w:p>
            <w:pPr>
              <w:pStyle w:val="yTableNAm"/>
            </w:pPr>
            <w:r>
              <w:t>Application for a security card (r. 17(3))</w:t>
            </w:r>
          </w:p>
        </w:tc>
        <w:tc>
          <w:tcPr>
            <w:tcW w:w="992" w:type="dxa"/>
          </w:tcPr>
          <w:p>
            <w:pPr>
              <w:pStyle w:val="yTableNAm"/>
              <w:tabs>
                <w:tab w:val="clear" w:pos="567"/>
              </w:tabs>
              <w:ind w:right="71"/>
              <w:jc w:val="right"/>
            </w:pPr>
            <w:del w:id="589" w:author="Master Repository Process" w:date="2021-08-01T02:52:00Z">
              <w:r>
                <w:delText>150</w:delText>
              </w:r>
            </w:del>
            <w:ins w:id="590" w:author="Master Repository Process" w:date="2021-08-01T02:52:00Z">
              <w:r>
                <w:t>156</w:t>
              </w:r>
            </w:ins>
          </w:p>
        </w:tc>
      </w:tr>
      <w:tr>
        <w:trPr>
          <w:cantSplit/>
        </w:trPr>
        <w:tc>
          <w:tcPr>
            <w:tcW w:w="567" w:type="dxa"/>
          </w:tcPr>
          <w:p>
            <w:pPr>
              <w:pStyle w:val="yTableNAm"/>
              <w:jc w:val="center"/>
            </w:pPr>
            <w:r>
              <w:t>2.</w:t>
            </w:r>
          </w:p>
        </w:tc>
        <w:tc>
          <w:tcPr>
            <w:tcW w:w="5529" w:type="dxa"/>
          </w:tcPr>
          <w:p>
            <w:pPr>
              <w:pStyle w:val="yTableNAm"/>
            </w:pPr>
            <w:r>
              <w:t>Application for a test permit (r. 27(2)(d))</w:t>
            </w:r>
          </w:p>
        </w:tc>
        <w:tc>
          <w:tcPr>
            <w:tcW w:w="992" w:type="dxa"/>
          </w:tcPr>
          <w:p>
            <w:pPr>
              <w:pStyle w:val="yTableNAm"/>
              <w:tabs>
                <w:tab w:val="clear" w:pos="567"/>
              </w:tabs>
              <w:ind w:right="71"/>
              <w:jc w:val="right"/>
            </w:pPr>
            <w:r>
              <w:t>160</w:t>
            </w:r>
          </w:p>
        </w:tc>
      </w:tr>
      <w:tr>
        <w:trPr>
          <w:cantSplit/>
        </w:trPr>
        <w:tc>
          <w:tcPr>
            <w:tcW w:w="567" w:type="dxa"/>
          </w:tcPr>
          <w:p>
            <w:pPr>
              <w:pStyle w:val="yTableNAm"/>
              <w:jc w:val="center"/>
            </w:pPr>
            <w:r>
              <w:t>3.</w:t>
            </w:r>
          </w:p>
        </w:tc>
        <w:tc>
          <w:tcPr>
            <w:tcW w:w="5529" w:type="dxa"/>
          </w:tcPr>
          <w:p>
            <w:pPr>
              <w:pStyle w:val="yTableNAm"/>
            </w:pPr>
            <w:r>
              <w:t>Application to have an explosive authorised (r. 30(2)(j))</w:t>
            </w:r>
          </w:p>
        </w:tc>
        <w:tc>
          <w:tcPr>
            <w:tcW w:w="992" w:type="dxa"/>
          </w:tcPr>
          <w:p>
            <w:pPr>
              <w:pStyle w:val="yTableNAm"/>
              <w:tabs>
                <w:tab w:val="clear" w:pos="567"/>
              </w:tabs>
              <w:ind w:right="71"/>
              <w:jc w:val="right"/>
            </w:pPr>
            <w:r>
              <w:t>138</w:t>
            </w:r>
          </w:p>
        </w:tc>
      </w:tr>
      <w:tr>
        <w:trPr>
          <w:cantSplit/>
        </w:trPr>
        <w:tc>
          <w:tcPr>
            <w:tcW w:w="567" w:type="dxa"/>
          </w:tcPr>
          <w:p>
            <w:pPr>
              <w:pStyle w:val="yTableNAm"/>
              <w:jc w:val="center"/>
            </w:pPr>
            <w:r>
              <w:t>4.</w:t>
            </w:r>
          </w:p>
        </w:tc>
        <w:tc>
          <w:tcPr>
            <w:tcW w:w="5529" w:type="dxa"/>
          </w:tcPr>
          <w:p>
            <w:pPr>
              <w:pStyle w:val="yTableNAm"/>
            </w:pPr>
            <w:r>
              <w:t>Application for a fireworks event permit (r. 149(1)(e)) — one fee being whichever of the following is the highest fee applicable to the event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pPr>
            <w:r>
              <w:t>(a)</w:t>
            </w:r>
            <w:r>
              <w:tab/>
              <w:t>if the event fireworks include ground fireworks</w:t>
            </w:r>
          </w:p>
        </w:tc>
        <w:tc>
          <w:tcPr>
            <w:tcW w:w="992" w:type="dxa"/>
          </w:tcPr>
          <w:p>
            <w:pPr>
              <w:pStyle w:val="yTableNAm"/>
              <w:tabs>
                <w:tab w:val="clear" w:pos="567"/>
              </w:tabs>
              <w:ind w:right="71"/>
              <w:jc w:val="right"/>
            </w:pPr>
            <w:r>
              <w:t>50</w:t>
            </w:r>
          </w:p>
        </w:tc>
      </w:tr>
      <w:tr>
        <w:trPr>
          <w:cantSplit/>
        </w:trPr>
        <w:tc>
          <w:tcPr>
            <w:tcW w:w="567" w:type="dxa"/>
          </w:tcPr>
          <w:p>
            <w:pPr>
              <w:pStyle w:val="yTableNAm"/>
              <w:jc w:val="center"/>
            </w:pPr>
          </w:p>
        </w:tc>
        <w:tc>
          <w:tcPr>
            <w:tcW w:w="5529" w:type="dxa"/>
          </w:tcPr>
          <w:p>
            <w:pPr>
              <w:pStyle w:val="yTableNAm"/>
            </w:pPr>
            <w:r>
              <w:t>(b)</w:t>
            </w:r>
            <w:r>
              <w:tab/>
              <w:t>if the event fireworks include aerial shells of not more than 125 mm diameter</w:t>
            </w:r>
          </w:p>
        </w:tc>
        <w:tc>
          <w:tcPr>
            <w:tcW w:w="992" w:type="dxa"/>
          </w:tcPr>
          <w:p>
            <w:pPr>
              <w:pStyle w:val="yTableNAm"/>
              <w:tabs>
                <w:tab w:val="clear" w:pos="567"/>
              </w:tabs>
              <w:ind w:right="71"/>
              <w:jc w:val="right"/>
            </w:pPr>
          </w:p>
          <w:p>
            <w:pPr>
              <w:pStyle w:val="yTableNAm"/>
              <w:tabs>
                <w:tab w:val="clear" w:pos="567"/>
              </w:tabs>
              <w:ind w:right="71"/>
              <w:jc w:val="right"/>
            </w:pPr>
            <w:r>
              <w:t>100</w:t>
            </w:r>
          </w:p>
        </w:tc>
      </w:tr>
      <w:tr>
        <w:trPr>
          <w:cantSplit/>
        </w:trPr>
        <w:tc>
          <w:tcPr>
            <w:tcW w:w="567" w:type="dxa"/>
          </w:tcPr>
          <w:p>
            <w:pPr>
              <w:pStyle w:val="yTableNAm"/>
              <w:jc w:val="center"/>
            </w:pPr>
          </w:p>
        </w:tc>
        <w:tc>
          <w:tcPr>
            <w:tcW w:w="5529" w:type="dxa"/>
          </w:tcPr>
          <w:p>
            <w:pPr>
              <w:pStyle w:val="yTableNAm"/>
            </w:pPr>
            <w:r>
              <w:t>(c)</w:t>
            </w:r>
            <w:r>
              <w:tab/>
              <w:t>if the event fireworks include aerial shells of more than 125 mm and not more than 300 mm diameter</w:t>
            </w:r>
          </w:p>
        </w:tc>
        <w:tc>
          <w:tcPr>
            <w:tcW w:w="992" w:type="dxa"/>
          </w:tcPr>
          <w:p>
            <w:pPr>
              <w:pStyle w:val="yTableNAm"/>
              <w:tabs>
                <w:tab w:val="clear" w:pos="567"/>
              </w:tabs>
              <w:ind w:right="71"/>
              <w:jc w:val="right"/>
            </w:pPr>
          </w:p>
          <w:p>
            <w:pPr>
              <w:pStyle w:val="yTableNAm"/>
              <w:tabs>
                <w:tab w:val="clear" w:pos="567"/>
              </w:tabs>
              <w:ind w:right="71"/>
              <w:jc w:val="right"/>
            </w:pPr>
            <w:r>
              <w:t>250</w:t>
            </w:r>
          </w:p>
        </w:tc>
      </w:tr>
      <w:tr>
        <w:trPr>
          <w:cantSplit/>
        </w:trPr>
        <w:tc>
          <w:tcPr>
            <w:tcW w:w="567" w:type="dxa"/>
          </w:tcPr>
          <w:p>
            <w:pPr>
              <w:pStyle w:val="yTableNAm"/>
              <w:jc w:val="center"/>
            </w:pPr>
          </w:p>
        </w:tc>
        <w:tc>
          <w:tcPr>
            <w:tcW w:w="5529" w:type="dxa"/>
          </w:tcPr>
          <w:p>
            <w:pPr>
              <w:pStyle w:val="yTableNAm"/>
            </w:pPr>
            <w:r>
              <w:t>(d)</w:t>
            </w:r>
            <w:r>
              <w:tab/>
              <w:t>if the event fireworks include aerial shells of more than 300 mm diameter</w:t>
            </w:r>
          </w:p>
        </w:tc>
        <w:tc>
          <w:tcPr>
            <w:tcW w:w="992" w:type="dxa"/>
          </w:tcPr>
          <w:p>
            <w:pPr>
              <w:pStyle w:val="yTableNAm"/>
              <w:tabs>
                <w:tab w:val="clear" w:pos="567"/>
              </w:tabs>
              <w:ind w:right="71"/>
              <w:jc w:val="right"/>
            </w:pPr>
          </w:p>
          <w:p>
            <w:pPr>
              <w:pStyle w:val="yTableNAm"/>
              <w:tabs>
                <w:tab w:val="clear" w:pos="567"/>
              </w:tabs>
              <w:ind w:right="71"/>
              <w:jc w:val="right"/>
            </w:pPr>
            <w:r>
              <w:t>500</w:t>
            </w:r>
          </w:p>
        </w:tc>
      </w:tr>
      <w:tr>
        <w:trPr>
          <w:cantSplit/>
        </w:trPr>
        <w:tc>
          <w:tcPr>
            <w:tcW w:w="567" w:type="dxa"/>
          </w:tcPr>
          <w:p>
            <w:pPr>
              <w:pStyle w:val="yTableNAm"/>
              <w:jc w:val="center"/>
            </w:pPr>
            <w:r>
              <w:t>5.</w:t>
            </w:r>
          </w:p>
        </w:tc>
        <w:tc>
          <w:tcPr>
            <w:tcW w:w="5529" w:type="dxa"/>
          </w:tcPr>
          <w:p>
            <w:pPr>
              <w:pStyle w:val="yTableNAm"/>
            </w:pPr>
            <w:r>
              <w:t>Application for a licence, for the term of the licence per year or part of a year (r. 157(1)(c))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pPr>
            <w:r>
              <w:t>(a)</w:t>
            </w:r>
            <w:r>
              <w:tab/>
              <w:t>explosives import/export licence</w:t>
            </w:r>
          </w:p>
        </w:tc>
        <w:tc>
          <w:tcPr>
            <w:tcW w:w="992" w:type="dxa"/>
          </w:tcPr>
          <w:p>
            <w:pPr>
              <w:pStyle w:val="yTableNAm"/>
              <w:tabs>
                <w:tab w:val="clear" w:pos="567"/>
              </w:tabs>
              <w:ind w:right="71"/>
              <w:jc w:val="right"/>
            </w:pPr>
            <w:r>
              <w:t>160</w:t>
            </w:r>
          </w:p>
        </w:tc>
      </w:tr>
      <w:tr>
        <w:trPr>
          <w:cantSplit/>
        </w:trPr>
        <w:tc>
          <w:tcPr>
            <w:tcW w:w="567" w:type="dxa"/>
          </w:tcPr>
          <w:p>
            <w:pPr>
              <w:pStyle w:val="yTableNAm"/>
              <w:jc w:val="center"/>
            </w:pPr>
          </w:p>
        </w:tc>
        <w:tc>
          <w:tcPr>
            <w:tcW w:w="5529" w:type="dxa"/>
          </w:tcPr>
          <w:p>
            <w:pPr>
              <w:pStyle w:val="yTableNAm"/>
            </w:pPr>
            <w:r>
              <w:t>(b)</w:t>
            </w:r>
            <w:r>
              <w:tab/>
              <w:t>explosives manufacture licence, unless a fee is payable under regulation 184</w:t>
            </w:r>
          </w:p>
        </w:tc>
        <w:tc>
          <w:tcPr>
            <w:tcW w:w="992" w:type="dxa"/>
          </w:tcPr>
          <w:p>
            <w:pPr>
              <w:pStyle w:val="yTableNAm"/>
              <w:tabs>
                <w:tab w:val="clear" w:pos="567"/>
              </w:tabs>
              <w:ind w:right="71"/>
              <w:jc w:val="right"/>
            </w:pPr>
          </w:p>
          <w:p>
            <w:pPr>
              <w:pStyle w:val="yTableNAm"/>
              <w:tabs>
                <w:tab w:val="clear" w:pos="567"/>
              </w:tabs>
              <w:ind w:right="71"/>
              <w:jc w:val="right"/>
            </w:pPr>
            <w:r>
              <w:t>340</w:t>
            </w:r>
          </w:p>
        </w:tc>
      </w:tr>
      <w:tr>
        <w:trPr>
          <w:cantSplit/>
        </w:trPr>
        <w:tc>
          <w:tcPr>
            <w:tcW w:w="567" w:type="dxa"/>
          </w:tcPr>
          <w:p>
            <w:pPr>
              <w:pStyle w:val="yTableNAm"/>
              <w:jc w:val="center"/>
            </w:pPr>
          </w:p>
        </w:tc>
        <w:tc>
          <w:tcPr>
            <w:tcW w:w="5529" w:type="dxa"/>
          </w:tcPr>
          <w:p>
            <w:pPr>
              <w:pStyle w:val="yTableNAm"/>
            </w:pPr>
            <w:r>
              <w:t>(c)</w:t>
            </w:r>
            <w:r>
              <w:tab/>
              <w:t>explosives manufacture (MPU) licence</w:t>
            </w:r>
          </w:p>
        </w:tc>
        <w:tc>
          <w:tcPr>
            <w:tcW w:w="992" w:type="dxa"/>
          </w:tcPr>
          <w:p>
            <w:pPr>
              <w:pStyle w:val="yTableNAm"/>
              <w:tabs>
                <w:tab w:val="clear" w:pos="567"/>
              </w:tabs>
              <w:ind w:right="71"/>
              <w:jc w:val="right"/>
            </w:pPr>
            <w:r>
              <w:t>800</w:t>
            </w:r>
          </w:p>
        </w:tc>
      </w:tr>
      <w:tr>
        <w:trPr>
          <w:cantSplit/>
        </w:trPr>
        <w:tc>
          <w:tcPr>
            <w:tcW w:w="567" w:type="dxa"/>
          </w:tcPr>
          <w:p>
            <w:pPr>
              <w:pStyle w:val="yTableNAm"/>
              <w:jc w:val="center"/>
            </w:pPr>
          </w:p>
        </w:tc>
        <w:tc>
          <w:tcPr>
            <w:tcW w:w="5529" w:type="dxa"/>
          </w:tcPr>
          <w:p>
            <w:pPr>
              <w:pStyle w:val="yTableNAm"/>
            </w:pPr>
            <w:r>
              <w:t>(d)</w:t>
            </w:r>
            <w:r>
              <w:tab/>
              <w:t>explosives storage licence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pPr>
            <w:r>
              <w:t>(i)</w:t>
            </w:r>
            <w:r>
              <w:tab/>
              <w:t>for less than 1 t of explosives</w:t>
            </w:r>
          </w:p>
        </w:tc>
        <w:tc>
          <w:tcPr>
            <w:tcW w:w="992" w:type="dxa"/>
          </w:tcPr>
          <w:p>
            <w:pPr>
              <w:pStyle w:val="yTableNAm"/>
              <w:tabs>
                <w:tab w:val="clear" w:pos="567"/>
              </w:tabs>
              <w:ind w:right="71"/>
              <w:jc w:val="right"/>
            </w:pPr>
            <w:r>
              <w:t>100</w:t>
            </w:r>
          </w:p>
        </w:tc>
      </w:tr>
      <w:tr>
        <w:trPr>
          <w:cantSplit/>
        </w:trPr>
        <w:tc>
          <w:tcPr>
            <w:tcW w:w="567" w:type="dxa"/>
          </w:tcPr>
          <w:p>
            <w:pPr>
              <w:pStyle w:val="yTableNAm"/>
              <w:jc w:val="center"/>
            </w:pPr>
          </w:p>
        </w:tc>
        <w:tc>
          <w:tcPr>
            <w:tcW w:w="5529" w:type="dxa"/>
          </w:tcPr>
          <w:p>
            <w:pPr>
              <w:pStyle w:val="yTableNAm"/>
            </w:pPr>
            <w:r>
              <w:t>(ii)</w:t>
            </w:r>
            <w:r>
              <w:tab/>
              <w:t>for 1 t or more but not more than 5 t of explosives</w:t>
            </w:r>
          </w:p>
        </w:tc>
        <w:tc>
          <w:tcPr>
            <w:tcW w:w="992" w:type="dxa"/>
          </w:tcPr>
          <w:p>
            <w:pPr>
              <w:pStyle w:val="yTableNAm"/>
              <w:tabs>
                <w:tab w:val="clear" w:pos="567"/>
              </w:tabs>
              <w:ind w:right="71"/>
              <w:jc w:val="right"/>
            </w:pPr>
          </w:p>
          <w:p>
            <w:pPr>
              <w:pStyle w:val="yTableNAm"/>
              <w:tabs>
                <w:tab w:val="clear" w:pos="567"/>
              </w:tabs>
              <w:ind w:right="71"/>
              <w:jc w:val="right"/>
            </w:pPr>
            <w:r>
              <w:t>120</w:t>
            </w:r>
          </w:p>
        </w:tc>
      </w:tr>
      <w:tr>
        <w:trPr>
          <w:cantSplit/>
        </w:trPr>
        <w:tc>
          <w:tcPr>
            <w:tcW w:w="567" w:type="dxa"/>
          </w:tcPr>
          <w:p>
            <w:pPr>
              <w:pStyle w:val="yTableNAm"/>
              <w:jc w:val="center"/>
            </w:pPr>
          </w:p>
        </w:tc>
        <w:tc>
          <w:tcPr>
            <w:tcW w:w="5529" w:type="dxa"/>
          </w:tcPr>
          <w:p>
            <w:pPr>
              <w:pStyle w:val="yTableNAm"/>
            </w:pPr>
            <w:r>
              <w:t>(iii)</w:t>
            </w:r>
            <w:r>
              <w:tab/>
              <w:t>for more than 5 t of explosives</w:t>
            </w:r>
          </w:p>
        </w:tc>
        <w:tc>
          <w:tcPr>
            <w:tcW w:w="992" w:type="dxa"/>
          </w:tcPr>
          <w:p>
            <w:pPr>
              <w:pStyle w:val="yTableNAm"/>
              <w:tabs>
                <w:tab w:val="clear" w:pos="567"/>
              </w:tabs>
              <w:ind w:right="71"/>
              <w:jc w:val="right"/>
            </w:pPr>
            <w:r>
              <w:t>320</w:t>
            </w:r>
          </w:p>
        </w:tc>
      </w:tr>
      <w:tr>
        <w:trPr>
          <w:cantSplit/>
        </w:trPr>
        <w:tc>
          <w:tcPr>
            <w:tcW w:w="567" w:type="dxa"/>
          </w:tcPr>
          <w:p>
            <w:pPr>
              <w:pStyle w:val="yTableNAm"/>
              <w:jc w:val="center"/>
            </w:pPr>
          </w:p>
        </w:tc>
        <w:tc>
          <w:tcPr>
            <w:tcW w:w="5529" w:type="dxa"/>
          </w:tcPr>
          <w:p>
            <w:pPr>
              <w:pStyle w:val="yTableNAm"/>
            </w:pPr>
            <w:r>
              <w:t>(e)</w:t>
            </w:r>
            <w:r>
              <w:tab/>
              <w:t>explosives transport licence</w:t>
            </w:r>
          </w:p>
        </w:tc>
        <w:tc>
          <w:tcPr>
            <w:tcW w:w="992" w:type="dxa"/>
          </w:tcPr>
          <w:p>
            <w:pPr>
              <w:pStyle w:val="yTableNAm"/>
              <w:tabs>
                <w:tab w:val="clear" w:pos="567"/>
              </w:tabs>
              <w:ind w:right="71"/>
              <w:jc w:val="right"/>
            </w:pPr>
            <w:r>
              <w:t>800</w:t>
            </w:r>
          </w:p>
        </w:tc>
      </w:tr>
      <w:tr>
        <w:trPr>
          <w:cantSplit/>
        </w:trPr>
        <w:tc>
          <w:tcPr>
            <w:tcW w:w="567" w:type="dxa"/>
          </w:tcPr>
          <w:p>
            <w:pPr>
              <w:pStyle w:val="yTableNAm"/>
              <w:jc w:val="center"/>
            </w:pPr>
          </w:p>
        </w:tc>
        <w:tc>
          <w:tcPr>
            <w:tcW w:w="5529" w:type="dxa"/>
          </w:tcPr>
          <w:p>
            <w:pPr>
              <w:pStyle w:val="yTableNAm"/>
            </w:pPr>
            <w:r>
              <w:t>(f)</w:t>
            </w:r>
            <w:r>
              <w:tab/>
              <w:t>explosives driver licence</w:t>
            </w:r>
          </w:p>
        </w:tc>
        <w:tc>
          <w:tcPr>
            <w:tcW w:w="992" w:type="dxa"/>
          </w:tcPr>
          <w:p>
            <w:pPr>
              <w:pStyle w:val="yTableNAm"/>
              <w:tabs>
                <w:tab w:val="clear" w:pos="567"/>
              </w:tabs>
              <w:ind w:right="71"/>
              <w:jc w:val="right"/>
            </w:pPr>
            <w:r>
              <w:t>20</w:t>
            </w:r>
          </w:p>
        </w:tc>
      </w:tr>
      <w:tr>
        <w:trPr>
          <w:cantSplit/>
        </w:trPr>
        <w:tc>
          <w:tcPr>
            <w:tcW w:w="567" w:type="dxa"/>
          </w:tcPr>
          <w:p>
            <w:pPr>
              <w:pStyle w:val="yTableNAm"/>
              <w:jc w:val="center"/>
            </w:pPr>
          </w:p>
        </w:tc>
        <w:tc>
          <w:tcPr>
            <w:tcW w:w="5529" w:type="dxa"/>
          </w:tcPr>
          <w:p>
            <w:pPr>
              <w:pStyle w:val="yTableNAm"/>
            </w:pPr>
            <w:r>
              <w:t>(g)</w:t>
            </w:r>
            <w:r>
              <w:tab/>
              <w:t>explosives supply licence</w:t>
            </w:r>
          </w:p>
        </w:tc>
        <w:tc>
          <w:tcPr>
            <w:tcW w:w="992" w:type="dxa"/>
          </w:tcPr>
          <w:p>
            <w:pPr>
              <w:pStyle w:val="yTableNAm"/>
              <w:tabs>
                <w:tab w:val="clear" w:pos="567"/>
              </w:tabs>
              <w:ind w:right="71"/>
              <w:jc w:val="right"/>
            </w:pPr>
            <w:r>
              <w:t>55</w:t>
            </w:r>
          </w:p>
        </w:tc>
      </w:tr>
      <w:tr>
        <w:trPr>
          <w:cantSplit/>
        </w:trPr>
        <w:tc>
          <w:tcPr>
            <w:tcW w:w="567" w:type="dxa"/>
          </w:tcPr>
          <w:p>
            <w:pPr>
              <w:pStyle w:val="yTableNAm"/>
              <w:jc w:val="center"/>
            </w:pPr>
          </w:p>
        </w:tc>
        <w:tc>
          <w:tcPr>
            <w:tcW w:w="5529" w:type="dxa"/>
          </w:tcPr>
          <w:p>
            <w:pPr>
              <w:pStyle w:val="yTableNAm"/>
            </w:pPr>
            <w:r>
              <w:t>(h)</w:t>
            </w:r>
            <w:r>
              <w:tab/>
              <w:t>shotfiring licence</w:t>
            </w:r>
          </w:p>
        </w:tc>
        <w:tc>
          <w:tcPr>
            <w:tcW w:w="992" w:type="dxa"/>
          </w:tcPr>
          <w:p>
            <w:pPr>
              <w:pStyle w:val="yTableNAm"/>
              <w:tabs>
                <w:tab w:val="clear" w:pos="567"/>
              </w:tabs>
              <w:ind w:right="71"/>
              <w:jc w:val="right"/>
            </w:pPr>
            <w:r>
              <w:t>20</w:t>
            </w:r>
          </w:p>
        </w:tc>
      </w:tr>
      <w:tr>
        <w:trPr>
          <w:cantSplit/>
        </w:trPr>
        <w:tc>
          <w:tcPr>
            <w:tcW w:w="567" w:type="dxa"/>
          </w:tcPr>
          <w:p>
            <w:pPr>
              <w:pStyle w:val="yTableNAm"/>
              <w:jc w:val="center"/>
            </w:pPr>
          </w:p>
        </w:tc>
        <w:tc>
          <w:tcPr>
            <w:tcW w:w="5529" w:type="dxa"/>
          </w:tcPr>
          <w:p>
            <w:pPr>
              <w:pStyle w:val="yTableNAm"/>
            </w:pPr>
            <w:r>
              <w:t>(i)</w:t>
            </w:r>
            <w:r>
              <w:tab/>
              <w:t>fireworks contractor licence</w:t>
            </w:r>
          </w:p>
        </w:tc>
        <w:tc>
          <w:tcPr>
            <w:tcW w:w="992" w:type="dxa"/>
          </w:tcPr>
          <w:p>
            <w:pPr>
              <w:pStyle w:val="yTableNAm"/>
              <w:tabs>
                <w:tab w:val="clear" w:pos="567"/>
              </w:tabs>
              <w:ind w:right="71"/>
              <w:jc w:val="right"/>
            </w:pPr>
            <w:r>
              <w:t>80</w:t>
            </w:r>
          </w:p>
        </w:tc>
      </w:tr>
      <w:tr>
        <w:trPr>
          <w:cantSplit/>
        </w:trPr>
        <w:tc>
          <w:tcPr>
            <w:tcW w:w="567" w:type="dxa"/>
          </w:tcPr>
          <w:p>
            <w:pPr>
              <w:pStyle w:val="yTableNAm"/>
              <w:jc w:val="center"/>
            </w:pPr>
          </w:p>
        </w:tc>
        <w:tc>
          <w:tcPr>
            <w:tcW w:w="5529" w:type="dxa"/>
          </w:tcPr>
          <w:p>
            <w:pPr>
              <w:pStyle w:val="yTableNAm"/>
            </w:pPr>
            <w:r>
              <w:t>(j)</w:t>
            </w:r>
            <w:r>
              <w:tab/>
              <w:t>fireworks operator licence</w:t>
            </w:r>
          </w:p>
        </w:tc>
        <w:tc>
          <w:tcPr>
            <w:tcW w:w="992" w:type="dxa"/>
          </w:tcPr>
          <w:p>
            <w:pPr>
              <w:pStyle w:val="yTableNAm"/>
              <w:tabs>
                <w:tab w:val="clear" w:pos="567"/>
              </w:tabs>
              <w:ind w:right="71"/>
              <w:jc w:val="right"/>
            </w:pPr>
            <w:r>
              <w:t>20</w:t>
            </w:r>
          </w:p>
        </w:tc>
      </w:tr>
      <w:tr>
        <w:trPr>
          <w:cantSplit/>
        </w:trPr>
        <w:tc>
          <w:tcPr>
            <w:tcW w:w="567" w:type="dxa"/>
          </w:tcPr>
          <w:p>
            <w:pPr>
              <w:pStyle w:val="yTableNAm"/>
              <w:jc w:val="center"/>
            </w:pPr>
          </w:p>
        </w:tc>
        <w:tc>
          <w:tcPr>
            <w:tcW w:w="5529" w:type="dxa"/>
          </w:tcPr>
          <w:p>
            <w:pPr>
              <w:pStyle w:val="yTableNAm"/>
            </w:pPr>
            <w:r>
              <w:t>(k)</w:t>
            </w:r>
            <w:r>
              <w:tab/>
              <w:t>pyrotechnics (special use) licence</w:t>
            </w:r>
          </w:p>
        </w:tc>
        <w:tc>
          <w:tcPr>
            <w:tcW w:w="992" w:type="dxa"/>
          </w:tcPr>
          <w:p>
            <w:pPr>
              <w:pStyle w:val="yTableNAm"/>
              <w:tabs>
                <w:tab w:val="clear" w:pos="567"/>
              </w:tabs>
              <w:ind w:right="71"/>
              <w:jc w:val="right"/>
            </w:pPr>
            <w:r>
              <w:t>20</w:t>
            </w:r>
          </w:p>
        </w:tc>
      </w:tr>
      <w:tr>
        <w:trPr>
          <w:cantSplit/>
        </w:trPr>
        <w:tc>
          <w:tcPr>
            <w:tcW w:w="567" w:type="dxa"/>
          </w:tcPr>
          <w:p>
            <w:pPr>
              <w:pStyle w:val="yTableNAm"/>
              <w:jc w:val="center"/>
            </w:pPr>
            <w:r>
              <w:t>6.</w:t>
            </w:r>
          </w:p>
        </w:tc>
        <w:tc>
          <w:tcPr>
            <w:tcW w:w="5529" w:type="dxa"/>
          </w:tcPr>
          <w:p>
            <w:pPr>
              <w:pStyle w:val="yTableNAm"/>
            </w:pPr>
            <w:r>
              <w:t>Replacement card (r. 171(2))</w:t>
            </w:r>
          </w:p>
        </w:tc>
        <w:tc>
          <w:tcPr>
            <w:tcW w:w="992" w:type="dxa"/>
          </w:tcPr>
          <w:p>
            <w:pPr>
              <w:pStyle w:val="yTableNAm"/>
              <w:tabs>
                <w:tab w:val="clear" w:pos="567"/>
              </w:tabs>
              <w:ind w:right="71"/>
              <w:jc w:val="right"/>
            </w:pPr>
            <w:r>
              <w:t>20</w:t>
            </w:r>
          </w:p>
        </w:tc>
      </w:tr>
      <w:tr>
        <w:trPr>
          <w:cantSplit/>
        </w:trPr>
        <w:tc>
          <w:tcPr>
            <w:tcW w:w="567" w:type="dxa"/>
            <w:tcBorders>
              <w:bottom w:val="single" w:sz="4" w:space="0" w:color="auto"/>
            </w:tcBorders>
          </w:tcPr>
          <w:p>
            <w:pPr>
              <w:pStyle w:val="yTableNAm"/>
              <w:jc w:val="center"/>
            </w:pPr>
            <w:r>
              <w:t>7.</w:t>
            </w:r>
          </w:p>
        </w:tc>
        <w:tc>
          <w:tcPr>
            <w:tcW w:w="5529" w:type="dxa"/>
            <w:tcBorders>
              <w:bottom w:val="single" w:sz="4" w:space="0" w:color="auto"/>
            </w:tcBorders>
          </w:tcPr>
          <w:p>
            <w:pPr>
              <w:pStyle w:val="yTableNAm"/>
            </w:pPr>
            <w:r>
              <w:t>Application for renewal of a licence (r. 173(3)(i)) — the fee in item 5 for the licence</w:t>
            </w:r>
          </w:p>
        </w:tc>
        <w:tc>
          <w:tcPr>
            <w:tcW w:w="992" w:type="dxa"/>
            <w:tcBorders>
              <w:bottom w:val="single" w:sz="4" w:space="0" w:color="auto"/>
            </w:tcBorders>
          </w:tcPr>
          <w:p>
            <w:pPr>
              <w:pStyle w:val="yTableNAm"/>
              <w:tabs>
                <w:tab w:val="clear" w:pos="567"/>
              </w:tabs>
              <w:ind w:right="71"/>
              <w:jc w:val="right"/>
            </w:pPr>
          </w:p>
        </w:tc>
      </w:tr>
    </w:tbl>
    <w:p>
      <w:pPr>
        <w:rPr>
          <w:del w:id="591" w:author="Master Repository Process" w:date="2021-08-01T02:52:00Z"/>
        </w:rPr>
        <w:sectPr>
          <w:headerReference w:type="even" r:id="rId20"/>
          <w:headerReference w:type="default" r:id="rId21"/>
          <w:footerReference w:type="even" r:id="rId22"/>
          <w:footerReference w:type="default" r:id="rId23"/>
          <w:endnotePr>
            <w:numFmt w:val="decimal"/>
          </w:endnotePr>
          <w:pgSz w:w="11907" w:h="16840" w:code="9"/>
          <w:pgMar w:top="2381" w:right="2410" w:bottom="3544" w:left="2410" w:header="720" w:footer="3544" w:gutter="0"/>
          <w:cols w:space="720"/>
          <w:noEndnote/>
        </w:sectPr>
      </w:pPr>
    </w:p>
    <w:p>
      <w:pPr>
        <w:pStyle w:val="yFootnotesection"/>
        <w:rPr>
          <w:ins w:id="592" w:author="Master Repository Process" w:date="2021-08-01T02:52:00Z"/>
        </w:rPr>
        <w:sectPr>
          <w:headerReference w:type="even" r:id="rId24"/>
          <w:headerReference w:type="default" r:id="rId25"/>
          <w:footerReference w:type="even" r:id="rId26"/>
          <w:footerReference w:type="default" r:id="rId27"/>
          <w:endnotePr>
            <w:numFmt w:val="decimal"/>
          </w:endnotePr>
          <w:pgSz w:w="11907" w:h="16840" w:code="9"/>
          <w:pgMar w:top="2381" w:right="2410" w:bottom="3544" w:left="2410" w:header="720" w:footer="3544" w:gutter="0"/>
          <w:cols w:space="720"/>
          <w:noEndnote/>
        </w:sectPr>
      </w:pPr>
      <w:ins w:id="593" w:author="Master Repository Process" w:date="2021-08-01T02:52:00Z">
        <w:r>
          <w:tab/>
          <w:t>[Schedule 1 amended in Gazette 16 Jun 2009 p. 2196.]</w:t>
        </w:r>
      </w:ins>
    </w:p>
    <w:p>
      <w:pPr>
        <w:pStyle w:val="yScheduleHeading"/>
      </w:pPr>
      <w:bookmarkStart w:id="594" w:name="_Toc191960734"/>
      <w:bookmarkStart w:id="595" w:name="_Toc191982315"/>
      <w:bookmarkStart w:id="596" w:name="_Toc233693229"/>
      <w:r>
        <w:rPr>
          <w:rStyle w:val="CharSchNo"/>
        </w:rPr>
        <w:t>Schedule 2</w:t>
      </w:r>
      <w:r>
        <w:rPr>
          <w:rStyle w:val="CharSDivNo"/>
        </w:rPr>
        <w:t> </w:t>
      </w:r>
      <w:r>
        <w:t>—</w:t>
      </w:r>
      <w:r>
        <w:rPr>
          <w:rStyle w:val="CharSDivText"/>
        </w:rPr>
        <w:t> </w:t>
      </w:r>
      <w:r>
        <w:rPr>
          <w:rStyle w:val="CharSchText"/>
        </w:rPr>
        <w:t>Prohibited explosives</w:t>
      </w:r>
      <w:bookmarkEnd w:id="594"/>
      <w:bookmarkEnd w:id="595"/>
      <w:bookmarkEnd w:id="596"/>
    </w:p>
    <w:p>
      <w:pPr>
        <w:pStyle w:val="yShoulderClause"/>
      </w:pPr>
      <w:r>
        <w:t>[r. 3]</w:t>
      </w:r>
    </w:p>
    <w:p>
      <w:pPr>
        <w:pStyle w:val="yHeading5"/>
      </w:pPr>
      <w:bookmarkStart w:id="597" w:name="_Toc233693230"/>
      <w:bookmarkStart w:id="598" w:name="_Toc191982316"/>
      <w:r>
        <w:rPr>
          <w:rStyle w:val="CharSClsNo"/>
        </w:rPr>
        <w:t>1</w:t>
      </w:r>
      <w:r>
        <w:t>.</w:t>
      </w:r>
      <w:r>
        <w:tab/>
        <w:t>Explosive containing chlorate etc.</w:t>
      </w:r>
      <w:bookmarkEnd w:id="597"/>
      <w:bookmarkEnd w:id="598"/>
    </w:p>
    <w:p>
      <w:pPr>
        <w:pStyle w:val="ySubsection"/>
      </w:pPr>
      <w:r>
        <w:tab/>
      </w:r>
      <w:r>
        <w:tab/>
        <w:t>An explosive that contains a chlorate mixed with an ammonium salt is a prohibited explosive.</w:t>
      </w:r>
    </w:p>
    <w:p>
      <w:pPr>
        <w:pStyle w:val="yHeading5"/>
      </w:pPr>
      <w:bookmarkStart w:id="599" w:name="_Toc233693231"/>
      <w:bookmarkStart w:id="600" w:name="_Toc191982317"/>
      <w:r>
        <w:rPr>
          <w:rStyle w:val="CharSClsNo"/>
        </w:rPr>
        <w:t>2</w:t>
      </w:r>
      <w:r>
        <w:t>.</w:t>
      </w:r>
      <w:r>
        <w:tab/>
        <w:t>Fireworks, various types of</w:t>
      </w:r>
      <w:bookmarkEnd w:id="599"/>
      <w:bookmarkEnd w:id="600"/>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sectPr>
          <w:headerReference w:type="even" r:id="rId28"/>
          <w:headerReference w:type="default" r:id="rId29"/>
          <w:endnotePr>
            <w:numFmt w:val="decimal"/>
          </w:endnotePr>
          <w:pgSz w:w="11907" w:h="16840" w:code="9"/>
          <w:pgMar w:top="2381" w:right="2410" w:bottom="3544" w:left="2410" w:header="720" w:footer="3544" w:gutter="0"/>
          <w:cols w:space="720"/>
          <w:noEndnote/>
        </w:sectPr>
      </w:pPr>
    </w:p>
    <w:p>
      <w:pPr>
        <w:pStyle w:val="yScheduleHeading"/>
      </w:pPr>
      <w:bookmarkStart w:id="601" w:name="_Toc191960737"/>
      <w:bookmarkStart w:id="602" w:name="_Toc191982318"/>
      <w:bookmarkStart w:id="603" w:name="_Toc233693232"/>
      <w:r>
        <w:rPr>
          <w:rStyle w:val="CharSchNo"/>
        </w:rPr>
        <w:t>Schedule 3</w:t>
      </w:r>
      <w:r>
        <w:rPr>
          <w:rStyle w:val="CharSDivNo"/>
        </w:rPr>
        <w:t> </w:t>
      </w:r>
      <w:r>
        <w:t>—</w:t>
      </w:r>
      <w:r>
        <w:rPr>
          <w:rStyle w:val="CharSDivText"/>
        </w:rPr>
        <w:t> </w:t>
      </w:r>
      <w:r>
        <w:rPr>
          <w:rStyle w:val="CharSchText"/>
        </w:rPr>
        <w:t>Unrestricted fireworks</w:t>
      </w:r>
      <w:bookmarkEnd w:id="601"/>
      <w:bookmarkEnd w:id="602"/>
      <w:bookmarkEnd w:id="603"/>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30"/>
          <w:headerReference w:type="default" r:id="rId31"/>
          <w:endnotePr>
            <w:numFmt w:val="decimal"/>
          </w:endnotePr>
          <w:pgSz w:w="11907" w:h="16840" w:code="9"/>
          <w:pgMar w:top="2381" w:right="2410" w:bottom="3544" w:left="2410" w:header="720" w:footer="3544" w:gutter="0"/>
          <w:cols w:space="720"/>
          <w:noEndnote/>
        </w:sectPr>
      </w:pPr>
    </w:p>
    <w:p>
      <w:pPr>
        <w:pStyle w:val="yScheduleHeading"/>
      </w:pPr>
      <w:bookmarkStart w:id="604" w:name="_Toc191960738"/>
      <w:bookmarkStart w:id="605" w:name="_Toc191982319"/>
      <w:bookmarkStart w:id="606" w:name="_Toc233693233"/>
      <w:r>
        <w:rPr>
          <w:rStyle w:val="CharSchNo"/>
        </w:rPr>
        <w:t>Schedule 4</w:t>
      </w:r>
      <w:r>
        <w:rPr>
          <w:rStyle w:val="CharSDivNo"/>
        </w:rPr>
        <w:t> </w:t>
      </w:r>
      <w:r>
        <w:t>—</w:t>
      </w:r>
      <w:r>
        <w:rPr>
          <w:rStyle w:val="CharSDivText"/>
        </w:rPr>
        <w:t> </w:t>
      </w:r>
      <w:r>
        <w:rPr>
          <w:rStyle w:val="CharSchText"/>
        </w:rPr>
        <w:t>Explosives that may be possessed without a licence</w:t>
      </w:r>
      <w:bookmarkEnd w:id="604"/>
      <w:bookmarkEnd w:id="605"/>
      <w:bookmarkEnd w:id="606"/>
    </w:p>
    <w:p>
      <w:pPr>
        <w:pStyle w:val="yShoulderClause"/>
      </w:pPr>
      <w:r>
        <w:t>[r. 46]</w:t>
      </w:r>
    </w:p>
    <w:p>
      <w:pPr>
        <w:pStyle w:val="yHeading5"/>
      </w:pPr>
      <w:bookmarkStart w:id="607" w:name="_Toc233693234"/>
      <w:bookmarkStart w:id="608" w:name="_Toc191982320"/>
      <w:r>
        <w:rPr>
          <w:rStyle w:val="CharSClsNo"/>
        </w:rPr>
        <w:t>1</w:t>
      </w:r>
      <w:r>
        <w:t>.</w:t>
      </w:r>
      <w:r>
        <w:tab/>
        <w:t>Sparklers</w:t>
      </w:r>
      <w:bookmarkEnd w:id="607"/>
      <w:bookmarkEnd w:id="608"/>
    </w:p>
    <w:p>
      <w:pPr>
        <w:pStyle w:val="ySubsection"/>
      </w:pPr>
      <w:r>
        <w:tab/>
      </w:r>
      <w:r>
        <w:tab/>
        <w:t>A person may possess a sparkler if the combustible part of it is not more than 300 mm long.</w:t>
      </w:r>
    </w:p>
    <w:p>
      <w:pPr>
        <w:pStyle w:val="yHeading5"/>
      </w:pPr>
      <w:bookmarkStart w:id="609" w:name="_Toc233693235"/>
      <w:bookmarkStart w:id="610" w:name="_Toc191982321"/>
      <w:r>
        <w:rPr>
          <w:rStyle w:val="CharSClsNo"/>
        </w:rPr>
        <w:t>2</w:t>
      </w:r>
      <w:r>
        <w:t>.</w:t>
      </w:r>
      <w:r>
        <w:tab/>
        <w:t>Cartridges for safety devices etc.</w:t>
      </w:r>
      <w:bookmarkEnd w:id="609"/>
      <w:bookmarkEnd w:id="610"/>
    </w:p>
    <w:p>
      <w:pPr>
        <w:pStyle w:val="ySubsection"/>
      </w:pPr>
      <w:r>
        <w:tab/>
      </w:r>
      <w:r>
        <w:tab/>
        <w:t>A person may possess a power device cartridge if in the circumstances the person has a reasonable reason to possess it.</w:t>
      </w:r>
    </w:p>
    <w:p>
      <w:pPr>
        <w:pStyle w:val="yHeading5"/>
      </w:pPr>
      <w:bookmarkStart w:id="611" w:name="_Toc233693236"/>
      <w:bookmarkStart w:id="612" w:name="_Toc191982322"/>
      <w:r>
        <w:rPr>
          <w:rStyle w:val="CharSClsNo"/>
        </w:rPr>
        <w:t>3</w:t>
      </w:r>
      <w:r>
        <w:t>.</w:t>
      </w:r>
      <w:r>
        <w:tab/>
        <w:t>Cartridges for nail guns etc.</w:t>
      </w:r>
      <w:bookmarkEnd w:id="611"/>
      <w:bookmarkEnd w:id="612"/>
    </w:p>
    <w:p>
      <w:pPr>
        <w:pStyle w:val="ySubsection"/>
      </w:pPr>
      <w:r>
        <w:tab/>
      </w:r>
      <w:r>
        <w:tab/>
        <w:t>A person may possess a power tool cartridge if in the circumstances the person has a reasonable reason to possess it.</w:t>
      </w:r>
    </w:p>
    <w:p>
      <w:pPr>
        <w:pStyle w:val="yHeading5"/>
      </w:pPr>
      <w:bookmarkStart w:id="613" w:name="_Toc233693237"/>
      <w:bookmarkStart w:id="614" w:name="_Toc191982323"/>
      <w:r>
        <w:rPr>
          <w:rStyle w:val="CharSClsNo"/>
        </w:rPr>
        <w:t>4</w:t>
      </w:r>
      <w:r>
        <w:t>.</w:t>
      </w:r>
      <w:r>
        <w:tab/>
        <w:t>Emergency devices</w:t>
      </w:r>
      <w:bookmarkEnd w:id="613"/>
      <w:bookmarkEnd w:id="614"/>
    </w:p>
    <w:p>
      <w:pPr>
        <w:pStyle w:val="ySubsection"/>
      </w:pPr>
      <w:r>
        <w:tab/>
      </w:r>
      <w:r>
        <w:tab/>
        <w:t>A person may possess an emergency device if —</w:t>
      </w:r>
    </w:p>
    <w:p>
      <w:pPr>
        <w:pStyle w:val="yIndenta"/>
      </w:pPr>
      <w:r>
        <w:tab/>
        <w:t>(a)</w:t>
      </w:r>
      <w:r>
        <w:tab/>
        <w:t>in the circumstances the person has a reasonable reason to possess it; and</w:t>
      </w:r>
    </w:p>
    <w:p>
      <w:pPr>
        <w:pStyle w:val="yIndenta"/>
      </w:pPr>
      <w:r>
        <w:tab/>
        <w:t>(b)</w:t>
      </w:r>
      <w:r>
        <w:tab/>
        <w:t>the person possesses not more than 25 emergency devices.</w:t>
      </w:r>
    </w:p>
    <w:p>
      <w:pPr>
        <w:pStyle w:val="yHeading5"/>
      </w:pPr>
      <w:bookmarkStart w:id="615" w:name="_Toc233693238"/>
      <w:bookmarkStart w:id="616" w:name="_Toc191982324"/>
      <w:r>
        <w:rPr>
          <w:rStyle w:val="CharSClsNo"/>
        </w:rPr>
        <w:t>5</w:t>
      </w:r>
      <w:r>
        <w:t>.</w:t>
      </w:r>
      <w:r>
        <w:tab/>
        <w:t>Ammunition, ammunition propellant and black powder</w:t>
      </w:r>
      <w:bookmarkEnd w:id="615"/>
      <w:bookmarkEnd w:id="616"/>
    </w:p>
    <w:p>
      <w:pPr>
        <w:pStyle w:val="ySubsection"/>
      </w:pPr>
      <w:r>
        <w:tab/>
        <w:t>(1)</w:t>
      </w:r>
      <w:r>
        <w:tab/>
        <w:t xml:space="preserve">A person may possess ammunition if authorised under the </w:t>
      </w:r>
      <w:r>
        <w:rPr>
          <w:i/>
          <w:iCs/>
        </w:rPr>
        <w:t xml:space="preserve">Firearms Act 1973 </w:t>
      </w:r>
      <w:r>
        <w:t>to do so.</w:t>
      </w:r>
    </w:p>
    <w:p>
      <w:pPr>
        <w:pStyle w:val="ySubsection"/>
      </w:pPr>
      <w:r>
        <w:tab/>
        <w:t>(2)</w:t>
      </w:r>
      <w:r>
        <w:tab/>
        <w:t>A person may possess ammunition propellant if —</w:t>
      </w:r>
    </w:p>
    <w:p>
      <w:pPr>
        <w:pStyle w:val="yIndenta"/>
      </w:pPr>
      <w:r>
        <w:tab/>
        <w:t>(a)</w:t>
      </w:r>
      <w:r>
        <w:tab/>
        <w:t xml:space="preserve">the person holds a licence under the </w:t>
      </w:r>
      <w:r>
        <w:rPr>
          <w:i/>
          <w:iCs/>
        </w:rPr>
        <w:t xml:space="preserve">Firearms Act 1973 </w:t>
      </w:r>
      <w:r>
        <w:t>that authorises the person to possess ammunition; and</w:t>
      </w:r>
    </w:p>
    <w:p>
      <w:pPr>
        <w:pStyle w:val="yIndenta"/>
      </w:pPr>
      <w:r>
        <w:tab/>
        <w:t>(b)</w:t>
      </w:r>
      <w:r>
        <w:tab/>
        <w:t>the propellant is a constituent of that ammunition.</w:t>
      </w:r>
    </w:p>
    <w:p>
      <w:pPr>
        <w:pStyle w:val="ySubsection"/>
      </w:pPr>
      <w:r>
        <w:tab/>
        <w:t>(3)</w:t>
      </w:r>
      <w:r>
        <w:tab/>
        <w:t xml:space="preserve">A person may possess black powder if the person holds a licence under the </w:t>
      </w:r>
      <w:r>
        <w:rPr>
          <w:i/>
          <w:iCs/>
        </w:rPr>
        <w:t xml:space="preserve">Firearms Act 1973 </w:t>
      </w:r>
      <w:r>
        <w:t>that authorises the person to possess a firearm that uses black powder.</w:t>
      </w:r>
    </w:p>
    <w:p>
      <w:pPr>
        <w:pStyle w:val="yScheduleHeading"/>
      </w:pPr>
      <w:bookmarkStart w:id="617" w:name="_Toc191960744"/>
      <w:bookmarkStart w:id="618" w:name="_Toc191982325"/>
      <w:bookmarkStart w:id="619" w:name="_Toc233693239"/>
      <w:r>
        <w:rPr>
          <w:rStyle w:val="CharSchNo"/>
        </w:rPr>
        <w:t>Schedule 5</w:t>
      </w:r>
      <w:r>
        <w:rPr>
          <w:rStyle w:val="CharSDivNo"/>
        </w:rPr>
        <w:t> </w:t>
      </w:r>
      <w:r>
        <w:t>—</w:t>
      </w:r>
      <w:r>
        <w:rPr>
          <w:rStyle w:val="CharSDivText"/>
        </w:rPr>
        <w:t> </w:t>
      </w:r>
      <w:r>
        <w:rPr>
          <w:rStyle w:val="CharSchText"/>
        </w:rPr>
        <w:t>Explosives that may be manufactured without a licence</w:t>
      </w:r>
      <w:bookmarkEnd w:id="617"/>
      <w:bookmarkEnd w:id="618"/>
      <w:bookmarkEnd w:id="619"/>
    </w:p>
    <w:p>
      <w:pPr>
        <w:pStyle w:val="yShoulderClause"/>
      </w:pPr>
      <w:r>
        <w:t>[r. 64]</w:t>
      </w:r>
    </w:p>
    <w:p>
      <w:pPr>
        <w:pStyle w:val="yHeading5"/>
      </w:pPr>
      <w:bookmarkStart w:id="620" w:name="_Toc233693240"/>
      <w:bookmarkStart w:id="621" w:name="_Toc191982326"/>
      <w:r>
        <w:rPr>
          <w:rStyle w:val="CharSClsNo"/>
        </w:rPr>
        <w:t>1</w:t>
      </w:r>
      <w:r>
        <w:t>.</w:t>
      </w:r>
      <w:r>
        <w:tab/>
        <w:t>Ammunition for private use</w:t>
      </w:r>
      <w:bookmarkEnd w:id="620"/>
      <w:bookmarkEnd w:id="621"/>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622" w:name="_Toc191960746"/>
      <w:bookmarkStart w:id="623" w:name="_Toc191982327"/>
      <w:bookmarkStart w:id="624" w:name="_Toc233693241"/>
      <w:r>
        <w:rPr>
          <w:rStyle w:val="CharSchNo"/>
        </w:rPr>
        <w:t>Schedule 6</w:t>
      </w:r>
      <w:r>
        <w:rPr>
          <w:rStyle w:val="CharSDivNo"/>
        </w:rPr>
        <w:t> </w:t>
      </w:r>
      <w:r>
        <w:t>—</w:t>
      </w:r>
      <w:r>
        <w:rPr>
          <w:rStyle w:val="CharSDivText"/>
        </w:rPr>
        <w:t> </w:t>
      </w:r>
      <w:r>
        <w:rPr>
          <w:rStyle w:val="CharSchText"/>
        </w:rPr>
        <w:t>Explosives that may be stored without a licence</w:t>
      </w:r>
      <w:bookmarkEnd w:id="622"/>
      <w:bookmarkEnd w:id="623"/>
      <w:bookmarkEnd w:id="624"/>
    </w:p>
    <w:p>
      <w:pPr>
        <w:pStyle w:val="yShoulderClause"/>
      </w:pPr>
      <w:r>
        <w:t>[r. 76]</w:t>
      </w:r>
    </w:p>
    <w:p>
      <w:pPr>
        <w:pStyle w:val="yHeading5"/>
      </w:pPr>
      <w:bookmarkStart w:id="625" w:name="_Toc233693242"/>
      <w:bookmarkStart w:id="626" w:name="_Toc191982328"/>
      <w:r>
        <w:rPr>
          <w:rStyle w:val="CharSClsNo"/>
        </w:rPr>
        <w:t>1</w:t>
      </w:r>
      <w:r>
        <w:t>.</w:t>
      </w:r>
      <w:r>
        <w:tab/>
        <w:t>Sparklers</w:t>
      </w:r>
      <w:bookmarkEnd w:id="625"/>
      <w:bookmarkEnd w:id="626"/>
    </w:p>
    <w:p>
      <w:pPr>
        <w:pStyle w:val="ySubsection"/>
      </w:pPr>
      <w:r>
        <w:tab/>
      </w:r>
      <w:r>
        <w:tab/>
        <w:t>A person may store a sparkler at any place if there is not more than 1 000 kg of sparklers at the place.</w:t>
      </w:r>
    </w:p>
    <w:p>
      <w:pPr>
        <w:pStyle w:val="yHeading5"/>
      </w:pPr>
      <w:bookmarkStart w:id="627" w:name="_Toc233693243"/>
      <w:bookmarkStart w:id="628" w:name="_Toc191982329"/>
      <w:r>
        <w:rPr>
          <w:rStyle w:val="CharSClsNo"/>
        </w:rPr>
        <w:t>2</w:t>
      </w:r>
      <w:r>
        <w:t>.</w:t>
      </w:r>
      <w:r>
        <w:tab/>
        <w:t>Cartridges for safety devices etc.</w:t>
      </w:r>
      <w:bookmarkEnd w:id="627"/>
      <w:bookmarkEnd w:id="628"/>
    </w:p>
    <w:p>
      <w:pPr>
        <w:pStyle w:val="ySubsection"/>
      </w:pPr>
      <w:r>
        <w:tab/>
      </w:r>
      <w:r>
        <w:tab/>
        <w:t>A person may store a power device cartridge at any place.</w:t>
      </w:r>
    </w:p>
    <w:p>
      <w:pPr>
        <w:pStyle w:val="yHeading5"/>
      </w:pPr>
      <w:bookmarkStart w:id="629" w:name="_Toc233693244"/>
      <w:bookmarkStart w:id="630" w:name="_Toc191982330"/>
      <w:r>
        <w:rPr>
          <w:rStyle w:val="CharSClsNo"/>
        </w:rPr>
        <w:t>3</w:t>
      </w:r>
      <w:r>
        <w:t>.</w:t>
      </w:r>
      <w:r>
        <w:tab/>
        <w:t>Cartridges for nail guns etc.</w:t>
      </w:r>
      <w:bookmarkEnd w:id="629"/>
      <w:bookmarkEnd w:id="630"/>
    </w:p>
    <w:p>
      <w:pPr>
        <w:pStyle w:val="ySubsection"/>
      </w:pPr>
      <w:r>
        <w:tab/>
      </w:r>
      <w:r>
        <w:tab/>
        <w:t>A person may store a power tool cartridge at any place.</w:t>
      </w:r>
    </w:p>
    <w:p>
      <w:pPr>
        <w:pStyle w:val="yHeading5"/>
      </w:pPr>
      <w:bookmarkStart w:id="631" w:name="_Toc233693245"/>
      <w:bookmarkStart w:id="632" w:name="_Toc191982331"/>
      <w:r>
        <w:rPr>
          <w:rStyle w:val="CharSClsNo"/>
        </w:rPr>
        <w:t>4</w:t>
      </w:r>
      <w:r>
        <w:t>.</w:t>
      </w:r>
      <w:r>
        <w:tab/>
        <w:t>Emergency devices</w:t>
      </w:r>
      <w:bookmarkEnd w:id="631"/>
      <w:bookmarkEnd w:id="632"/>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633" w:name="_Toc233693246"/>
      <w:bookmarkStart w:id="634" w:name="_Toc191982332"/>
      <w:r>
        <w:rPr>
          <w:rStyle w:val="CharSClsNo"/>
        </w:rPr>
        <w:t>5</w:t>
      </w:r>
      <w:r>
        <w:t>.</w:t>
      </w:r>
      <w:r>
        <w:tab/>
        <w:t>Ammunition, ammunition propellant and black powder</w:t>
      </w:r>
      <w:bookmarkEnd w:id="633"/>
      <w:bookmarkEnd w:id="634"/>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ScheduleHeading"/>
      </w:pPr>
      <w:bookmarkStart w:id="635" w:name="_Toc191960752"/>
      <w:bookmarkStart w:id="636" w:name="_Toc191982333"/>
      <w:bookmarkStart w:id="637" w:name="_Toc233693247"/>
      <w:r>
        <w:rPr>
          <w:rStyle w:val="CharSchNo"/>
        </w:rPr>
        <w:t>Schedule 7</w:t>
      </w:r>
      <w:r>
        <w:rPr>
          <w:rStyle w:val="CharSDivNo"/>
        </w:rPr>
        <w:t> </w:t>
      </w:r>
      <w:r>
        <w:t>—</w:t>
      </w:r>
      <w:r>
        <w:rPr>
          <w:rStyle w:val="CharSDivText"/>
        </w:rPr>
        <w:t> </w:t>
      </w:r>
      <w:r>
        <w:rPr>
          <w:rStyle w:val="CharSchText"/>
        </w:rPr>
        <w:t>Explosives that may be transported without a licence</w:t>
      </w:r>
      <w:bookmarkEnd w:id="635"/>
      <w:bookmarkEnd w:id="636"/>
      <w:bookmarkEnd w:id="637"/>
    </w:p>
    <w:p>
      <w:pPr>
        <w:pStyle w:val="yShoulderClause"/>
      </w:pPr>
      <w:r>
        <w:t>[r. 97]</w:t>
      </w:r>
    </w:p>
    <w:p>
      <w:pPr>
        <w:pStyle w:val="yHeading5"/>
      </w:pPr>
      <w:bookmarkStart w:id="638" w:name="_Toc233693248"/>
      <w:bookmarkStart w:id="639" w:name="_Toc191982334"/>
      <w:r>
        <w:rPr>
          <w:rStyle w:val="CharSClsNo"/>
        </w:rPr>
        <w:t>1</w:t>
      </w:r>
      <w:r>
        <w:t>.</w:t>
      </w:r>
      <w:r>
        <w:tab/>
        <w:t>Sparklers</w:t>
      </w:r>
      <w:bookmarkEnd w:id="638"/>
      <w:bookmarkEnd w:id="639"/>
    </w:p>
    <w:p>
      <w:pPr>
        <w:pStyle w:val="ySubsection"/>
      </w:pPr>
      <w:r>
        <w:tab/>
      </w:r>
      <w:r>
        <w:tab/>
        <w:t>A person may transport any quantity of sparklers that have a classification code of 1.4G or 1.4S.</w:t>
      </w:r>
    </w:p>
    <w:p>
      <w:pPr>
        <w:pStyle w:val="yHeading5"/>
      </w:pPr>
      <w:bookmarkStart w:id="640" w:name="_Toc233693249"/>
      <w:bookmarkStart w:id="641" w:name="_Toc191982335"/>
      <w:r>
        <w:rPr>
          <w:rStyle w:val="CharSClsNo"/>
        </w:rPr>
        <w:t>2</w:t>
      </w:r>
      <w:r>
        <w:t>.</w:t>
      </w:r>
      <w:r>
        <w:tab/>
        <w:t>Cartridges for safety devices</w:t>
      </w:r>
      <w:bookmarkEnd w:id="640"/>
      <w:bookmarkEnd w:id="641"/>
    </w:p>
    <w:p>
      <w:pPr>
        <w:pStyle w:val="ySubsection"/>
      </w:pPr>
      <w:r>
        <w:tab/>
      </w:r>
      <w:r>
        <w:tab/>
        <w:t>A person may transport any quantity of power device cartridges.</w:t>
      </w:r>
    </w:p>
    <w:p>
      <w:pPr>
        <w:pStyle w:val="yHeading5"/>
      </w:pPr>
      <w:bookmarkStart w:id="642" w:name="_Toc233693250"/>
      <w:bookmarkStart w:id="643" w:name="_Toc191982336"/>
      <w:r>
        <w:rPr>
          <w:rStyle w:val="CharSClsNo"/>
        </w:rPr>
        <w:t>3</w:t>
      </w:r>
      <w:r>
        <w:t>.</w:t>
      </w:r>
      <w:r>
        <w:tab/>
        <w:t>Cartridges for nail guns etc.</w:t>
      </w:r>
      <w:bookmarkEnd w:id="642"/>
      <w:bookmarkEnd w:id="643"/>
    </w:p>
    <w:p>
      <w:pPr>
        <w:pStyle w:val="ySubsection"/>
      </w:pPr>
      <w:r>
        <w:tab/>
      </w:r>
      <w:r>
        <w:tab/>
        <w:t>A person may transport any quantity of power tool cartridges.</w:t>
      </w:r>
    </w:p>
    <w:p>
      <w:pPr>
        <w:pStyle w:val="yHeading5"/>
      </w:pPr>
      <w:bookmarkStart w:id="644" w:name="_Toc233693251"/>
      <w:bookmarkStart w:id="645" w:name="_Toc191982337"/>
      <w:r>
        <w:rPr>
          <w:rStyle w:val="CharSClsNo"/>
        </w:rPr>
        <w:t>4</w:t>
      </w:r>
      <w:r>
        <w:t>.</w:t>
      </w:r>
      <w:r>
        <w:tab/>
        <w:t>Emergency devices</w:t>
      </w:r>
      <w:bookmarkEnd w:id="644"/>
      <w:bookmarkEnd w:id="645"/>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1.4G in the vehicle.</w:t>
      </w:r>
    </w:p>
    <w:p>
      <w:pPr>
        <w:pStyle w:val="yHeading5"/>
      </w:pPr>
      <w:bookmarkStart w:id="646" w:name="_Toc233693252"/>
      <w:bookmarkStart w:id="647" w:name="_Toc191982338"/>
      <w:r>
        <w:rPr>
          <w:rStyle w:val="CharSClsNo"/>
        </w:rPr>
        <w:t>5</w:t>
      </w:r>
      <w:r>
        <w:t>.</w:t>
      </w:r>
      <w:r>
        <w:tab/>
        <w:t>Ammunition, ammunition propellant and black powder</w:t>
      </w:r>
      <w:bookmarkEnd w:id="646"/>
      <w:bookmarkEnd w:id="647"/>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15 kg; and</w:t>
      </w:r>
    </w:p>
    <w:p>
      <w:pPr>
        <w:pStyle w:val="yIndenta"/>
      </w:pPr>
      <w:r>
        <w:tab/>
        <w:t>(b)</w:t>
      </w:r>
      <w:r>
        <w:tab/>
        <w:t>there is not more than 4 kg of black powder in the vehicle.</w:t>
      </w:r>
    </w:p>
    <w:p>
      <w:pPr>
        <w:pStyle w:val="yScheduleHeading"/>
      </w:pPr>
      <w:bookmarkStart w:id="648" w:name="_Toc191960758"/>
      <w:bookmarkStart w:id="649" w:name="_Toc191982339"/>
      <w:bookmarkStart w:id="650" w:name="_Toc233693253"/>
      <w:r>
        <w:rPr>
          <w:rStyle w:val="CharSchNo"/>
        </w:rPr>
        <w:t>Schedule 8</w:t>
      </w:r>
      <w:r>
        <w:rPr>
          <w:rStyle w:val="CharSDivNo"/>
        </w:rPr>
        <w:t> </w:t>
      </w:r>
      <w:r>
        <w:t>—</w:t>
      </w:r>
      <w:r>
        <w:rPr>
          <w:rStyle w:val="CharSDivText"/>
        </w:rPr>
        <w:t> </w:t>
      </w:r>
      <w:r>
        <w:rPr>
          <w:rStyle w:val="CharSchText"/>
        </w:rPr>
        <w:t>Explosives that may supplied without a licence</w:t>
      </w:r>
      <w:bookmarkEnd w:id="648"/>
      <w:bookmarkEnd w:id="649"/>
      <w:bookmarkEnd w:id="650"/>
    </w:p>
    <w:p>
      <w:pPr>
        <w:pStyle w:val="yShoulderClause"/>
      </w:pPr>
      <w:r>
        <w:t>[r. 112]</w:t>
      </w:r>
    </w:p>
    <w:p>
      <w:pPr>
        <w:pStyle w:val="yHeading5"/>
      </w:pPr>
      <w:bookmarkStart w:id="651" w:name="_Toc233693254"/>
      <w:bookmarkStart w:id="652" w:name="_Toc191982340"/>
      <w:r>
        <w:rPr>
          <w:rStyle w:val="CharSClsNo"/>
        </w:rPr>
        <w:t>1</w:t>
      </w:r>
      <w:r>
        <w:t>.</w:t>
      </w:r>
      <w:r>
        <w:tab/>
        <w:t>Sparklers</w:t>
      </w:r>
      <w:bookmarkEnd w:id="651"/>
      <w:bookmarkEnd w:id="652"/>
    </w:p>
    <w:p>
      <w:pPr>
        <w:pStyle w:val="ySubsection"/>
      </w:pPr>
      <w:r>
        <w:tab/>
      </w:r>
      <w:r>
        <w:tab/>
        <w:t>A person may supply a sparkler.</w:t>
      </w:r>
    </w:p>
    <w:p>
      <w:pPr>
        <w:pStyle w:val="yHeading5"/>
      </w:pPr>
      <w:bookmarkStart w:id="653" w:name="_Toc233693255"/>
      <w:bookmarkStart w:id="654" w:name="_Toc191982341"/>
      <w:r>
        <w:rPr>
          <w:rStyle w:val="CharSClsNo"/>
        </w:rPr>
        <w:t>2</w:t>
      </w:r>
      <w:r>
        <w:t>.</w:t>
      </w:r>
      <w:r>
        <w:tab/>
        <w:t>Cartridges for safety devices etc.</w:t>
      </w:r>
      <w:bookmarkEnd w:id="653"/>
      <w:bookmarkEnd w:id="654"/>
    </w:p>
    <w:p>
      <w:pPr>
        <w:pStyle w:val="ySubsection"/>
      </w:pPr>
      <w:r>
        <w:tab/>
      </w:r>
      <w:r>
        <w:tab/>
        <w:t>A person may supply a power device cartridge.</w:t>
      </w:r>
    </w:p>
    <w:p>
      <w:pPr>
        <w:pStyle w:val="yHeading5"/>
      </w:pPr>
      <w:bookmarkStart w:id="655" w:name="_Toc233693256"/>
      <w:bookmarkStart w:id="656" w:name="_Toc191982342"/>
      <w:r>
        <w:rPr>
          <w:rStyle w:val="CharSClsNo"/>
        </w:rPr>
        <w:t>3</w:t>
      </w:r>
      <w:r>
        <w:t>.</w:t>
      </w:r>
      <w:r>
        <w:tab/>
        <w:t>Cartridges for nail guns etc.</w:t>
      </w:r>
      <w:bookmarkEnd w:id="655"/>
      <w:bookmarkEnd w:id="656"/>
    </w:p>
    <w:p>
      <w:pPr>
        <w:pStyle w:val="ySubsection"/>
      </w:pPr>
      <w:r>
        <w:tab/>
      </w:r>
      <w:r>
        <w:tab/>
        <w:t>A person may supply a power tool cartridge.</w:t>
      </w:r>
    </w:p>
    <w:p>
      <w:pPr>
        <w:pStyle w:val="yHeading5"/>
      </w:pPr>
      <w:bookmarkStart w:id="657" w:name="_Toc233693257"/>
      <w:bookmarkStart w:id="658" w:name="_Toc191982343"/>
      <w:r>
        <w:rPr>
          <w:rStyle w:val="CharSClsNo"/>
        </w:rPr>
        <w:t>4</w:t>
      </w:r>
      <w:r>
        <w:t>.</w:t>
      </w:r>
      <w:r>
        <w:tab/>
        <w:t>Emergency devices</w:t>
      </w:r>
      <w:bookmarkEnd w:id="657"/>
      <w:bookmarkEnd w:id="658"/>
    </w:p>
    <w:p>
      <w:pPr>
        <w:pStyle w:val="ySubsection"/>
      </w:pPr>
      <w:r>
        <w:tab/>
      </w:r>
      <w:r>
        <w:tab/>
        <w:t>A person may supply an emergency device.</w:t>
      </w:r>
    </w:p>
    <w:p>
      <w:pPr>
        <w:pStyle w:val="yHeading5"/>
      </w:pPr>
      <w:bookmarkStart w:id="659" w:name="_Toc233693258"/>
      <w:bookmarkStart w:id="660" w:name="_Toc191982344"/>
      <w:r>
        <w:rPr>
          <w:rStyle w:val="CharSClsNo"/>
        </w:rPr>
        <w:t>5</w:t>
      </w:r>
      <w:r>
        <w:t>.</w:t>
      </w:r>
      <w:r>
        <w:tab/>
        <w:t>Ammunition</w:t>
      </w:r>
      <w:bookmarkEnd w:id="659"/>
      <w:bookmarkEnd w:id="660"/>
    </w:p>
    <w:p>
      <w:pPr>
        <w:pStyle w:val="ySubsection"/>
      </w:pPr>
      <w:r>
        <w:tab/>
      </w:r>
      <w:r>
        <w:tab/>
        <w:t xml:space="preserve">A person may supply ammunition if authorised under the </w:t>
      </w:r>
      <w:r>
        <w:rPr>
          <w:i/>
          <w:iCs/>
        </w:rPr>
        <w:t xml:space="preserve">Firearms Act 1973 </w:t>
      </w:r>
      <w:r>
        <w:t>to do so.</w:t>
      </w:r>
    </w:p>
    <w:p>
      <w:pPr>
        <w:pStyle w:val="yScheduleHeading"/>
      </w:pPr>
      <w:bookmarkStart w:id="661" w:name="_Toc191960764"/>
      <w:bookmarkStart w:id="662" w:name="_Toc191982345"/>
      <w:bookmarkStart w:id="663" w:name="_Toc233693259"/>
      <w:r>
        <w:rPr>
          <w:rStyle w:val="CharSchNo"/>
        </w:rPr>
        <w:t>Schedule 9</w:t>
      </w:r>
      <w:r>
        <w:rPr>
          <w:rStyle w:val="CharSDivNo"/>
        </w:rPr>
        <w:t> </w:t>
      </w:r>
      <w:r>
        <w:t>—</w:t>
      </w:r>
      <w:r>
        <w:rPr>
          <w:rStyle w:val="CharSDivText"/>
        </w:rPr>
        <w:t> </w:t>
      </w:r>
      <w:r>
        <w:rPr>
          <w:rStyle w:val="CharSchText"/>
        </w:rPr>
        <w:t>Explosives that may be used without a licence</w:t>
      </w:r>
      <w:bookmarkEnd w:id="661"/>
      <w:bookmarkEnd w:id="662"/>
      <w:bookmarkEnd w:id="663"/>
    </w:p>
    <w:p>
      <w:pPr>
        <w:pStyle w:val="yShoulderClause"/>
      </w:pPr>
      <w:r>
        <w:t>[r. 125(1)]</w:t>
      </w:r>
    </w:p>
    <w:p>
      <w:pPr>
        <w:pStyle w:val="yHeading5"/>
      </w:pPr>
      <w:bookmarkStart w:id="664" w:name="_Toc233693260"/>
      <w:bookmarkStart w:id="665" w:name="_Toc191982346"/>
      <w:r>
        <w:rPr>
          <w:rStyle w:val="CharSClsNo"/>
        </w:rPr>
        <w:t>1</w:t>
      </w:r>
      <w:r>
        <w:t>.</w:t>
      </w:r>
      <w:r>
        <w:tab/>
        <w:t>Sparklers</w:t>
      </w:r>
      <w:bookmarkEnd w:id="664"/>
      <w:bookmarkEnd w:id="665"/>
    </w:p>
    <w:p>
      <w:pPr>
        <w:pStyle w:val="ySubsection"/>
      </w:pPr>
      <w:r>
        <w:tab/>
      </w:r>
      <w:r>
        <w:tab/>
        <w:t>A person may use a sparkler.</w:t>
      </w:r>
    </w:p>
    <w:p>
      <w:pPr>
        <w:pStyle w:val="yHeading5"/>
      </w:pPr>
      <w:bookmarkStart w:id="666" w:name="_Toc233693261"/>
      <w:bookmarkStart w:id="667" w:name="_Toc191982347"/>
      <w:r>
        <w:rPr>
          <w:rStyle w:val="CharSClsNo"/>
        </w:rPr>
        <w:t>2</w:t>
      </w:r>
      <w:r>
        <w:t>.</w:t>
      </w:r>
      <w:r>
        <w:tab/>
        <w:t>Cartridges for safety devices etc.</w:t>
      </w:r>
      <w:bookmarkEnd w:id="666"/>
      <w:bookmarkEnd w:id="667"/>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668" w:name="_Toc233693262"/>
      <w:bookmarkStart w:id="669" w:name="_Toc191982348"/>
      <w:r>
        <w:rPr>
          <w:rStyle w:val="CharSClsNo"/>
        </w:rPr>
        <w:t>3</w:t>
      </w:r>
      <w:r>
        <w:t>.</w:t>
      </w:r>
      <w:r>
        <w:tab/>
        <w:t>Cartridges for nail guns etc.</w:t>
      </w:r>
      <w:bookmarkEnd w:id="668"/>
      <w:bookmarkEnd w:id="669"/>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670" w:name="_Toc233693263"/>
      <w:bookmarkStart w:id="671" w:name="_Toc191982349"/>
      <w:r>
        <w:rPr>
          <w:rStyle w:val="CharSClsNo"/>
        </w:rPr>
        <w:t>4</w:t>
      </w:r>
      <w:r>
        <w:t>.</w:t>
      </w:r>
      <w:r>
        <w:tab/>
        <w:t>Emergency devices</w:t>
      </w:r>
      <w:bookmarkEnd w:id="670"/>
      <w:bookmarkEnd w:id="671"/>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w:t>
      </w:r>
    </w:p>
    <w:p>
      <w:pPr>
        <w:pStyle w:val="yHeading5"/>
      </w:pPr>
      <w:bookmarkStart w:id="672" w:name="_Toc233693264"/>
      <w:bookmarkStart w:id="673" w:name="_Toc191982350"/>
      <w:r>
        <w:rPr>
          <w:rStyle w:val="CharSClsNo"/>
        </w:rPr>
        <w:t>5</w:t>
      </w:r>
      <w:r>
        <w:t>.</w:t>
      </w:r>
      <w:r>
        <w:tab/>
        <w:t>Ammunition</w:t>
      </w:r>
      <w:bookmarkEnd w:id="672"/>
      <w:bookmarkEnd w:id="673"/>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ScheduleHeading"/>
      </w:pPr>
      <w:bookmarkStart w:id="674" w:name="_Toc191960770"/>
      <w:bookmarkStart w:id="675" w:name="_Toc191982351"/>
      <w:bookmarkStart w:id="676" w:name="_Toc233693265"/>
      <w:r>
        <w:rPr>
          <w:rStyle w:val="CharSchNo"/>
        </w:rPr>
        <w:t>Schedule 10</w:t>
      </w:r>
      <w:r>
        <w:t> — </w:t>
      </w:r>
      <w:r>
        <w:rPr>
          <w:rStyle w:val="CharSchText"/>
        </w:rPr>
        <w:t>Provisions for required plans</w:t>
      </w:r>
      <w:bookmarkEnd w:id="674"/>
      <w:bookmarkEnd w:id="675"/>
      <w:bookmarkEnd w:id="676"/>
    </w:p>
    <w:p>
      <w:pPr>
        <w:pStyle w:val="yShoulderClause"/>
      </w:pPr>
      <w:r>
        <w:t>[r. 161]</w:t>
      </w:r>
    </w:p>
    <w:p>
      <w:pPr>
        <w:pStyle w:val="yHeading5"/>
      </w:pPr>
      <w:bookmarkStart w:id="677" w:name="_Toc233693266"/>
      <w:bookmarkStart w:id="678" w:name="_Toc191982352"/>
      <w:r>
        <w:rPr>
          <w:rStyle w:val="CharSClsNo"/>
        </w:rPr>
        <w:t>1</w:t>
      </w:r>
      <w:r>
        <w:t>.</w:t>
      </w:r>
      <w:r>
        <w:tab/>
        <w:t>Terms used in this Schedule</w:t>
      </w:r>
      <w:bookmarkEnd w:id="677"/>
      <w:bookmarkEnd w:id="678"/>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“required plan”;</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679" w:name="_Toc233693267"/>
      <w:bookmarkStart w:id="680" w:name="_Toc191982353"/>
      <w:r>
        <w:rPr>
          <w:rStyle w:val="CharSClsNo"/>
        </w:rPr>
        <w:t>2</w:t>
      </w:r>
      <w:r>
        <w:t>.</w:t>
      </w:r>
      <w:r>
        <w:tab/>
        <w:t>General matters</w:t>
      </w:r>
      <w:bookmarkEnd w:id="679"/>
      <w:bookmarkEnd w:id="680"/>
    </w:p>
    <w:p>
      <w:pPr>
        <w:pStyle w:val="ySubsection"/>
      </w:pPr>
      <w:r>
        <w:tab/>
      </w:r>
      <w:r>
        <w:tab/>
        <w:t xml:space="preserve">If a required plan is required to contain the matters in this clause it must contain the following — </w:t>
      </w:r>
    </w:p>
    <w:p>
      <w:pPr>
        <w:pStyle w:val="yIndenta"/>
      </w:pPr>
      <w:r>
        <w:tab/>
        <w:t>(a)</w:t>
      </w:r>
      <w:r>
        <w:tab/>
        <w:t>an emergency management plan to deal with any dangerous goods incident, or any dangerous situation, involving an explosive that might occur that includes these matters —</w:t>
      </w:r>
    </w:p>
    <w:p>
      <w:pPr>
        <w:pStyle w:val="yIndenti0"/>
      </w:pPr>
      <w:r>
        <w:tab/>
        <w:t>(i)</w:t>
      </w:r>
      <w:r>
        <w:tab/>
        <w:t>the equipment and facilities that will be available;</w:t>
      </w:r>
    </w:p>
    <w:p>
      <w:pPr>
        <w:pStyle w:val="yIndenti0"/>
      </w:pPr>
      <w:r>
        <w:tab/>
        <w:t>(ii)</w:t>
      </w:r>
      <w:r>
        <w:tab/>
        <w:t>the procedures that will be followed and the measures that will be taken, including matters such as sounding alarms and evacuating people;</w:t>
      </w:r>
    </w:p>
    <w:p>
      <w:pPr>
        <w:pStyle w:val="yIndenti0"/>
      </w:pPr>
      <w:r>
        <w:tab/>
        <w:t>(iii)</w:t>
      </w:r>
      <w:r>
        <w:tab/>
        <w:t>the measures that will be taken to investigate why the incident or situation occurred;</w:t>
      </w:r>
    </w:p>
    <w:p>
      <w:pPr>
        <w:pStyle w:val="yIndenti0"/>
      </w:pPr>
      <w:r>
        <w:tab/>
        <w:t>(iv)</w:t>
      </w:r>
      <w:r>
        <w:tab/>
        <w:t>the individuals who will be responsible for implementing the emergency management plan;</w:t>
      </w:r>
    </w:p>
    <w:p>
      <w:pPr>
        <w:pStyle w:val="yIndenti0"/>
      </w:pPr>
      <w:r>
        <w:tab/>
        <w:t>(v)</w:t>
      </w:r>
      <w:r>
        <w:tab/>
        <w:t>the measures that will be taken to train people to execute the emergency management plan;</w:t>
      </w:r>
    </w:p>
    <w:p>
      <w:pPr>
        <w:pStyle w:val="yIndenti0"/>
      </w:pPr>
      <w:r>
        <w:tab/>
        <w:t>(vi)</w:t>
      </w:r>
      <w:r>
        <w:tab/>
        <w:t>which emergency services and other people will be given a copy of the emergency management plan;</w:t>
      </w:r>
    </w:p>
    <w:p>
      <w:pPr>
        <w:pStyle w:val="yIndenta"/>
      </w:pPr>
      <w:r>
        <w:tab/>
        <w:t>(b)</w:t>
      </w:r>
      <w:r>
        <w:tab/>
        <w:t>the measures that will be taken to ensure any dangerous goods incident involving an explosive is reported to the Chief Officer as soon as practicable;</w:t>
      </w:r>
    </w:p>
    <w:p>
      <w:pPr>
        <w:pStyle w:val="yIndenta"/>
      </w:pPr>
      <w:r>
        <w:tab/>
        <w:t>(c)</w:t>
      </w:r>
      <w:r>
        <w:tab/>
        <w:t>the measures that will be taken to ensure that people who may have access to an explosive are instructed about and comply with these regulations;</w:t>
      </w:r>
    </w:p>
    <w:p>
      <w:pPr>
        <w:pStyle w:val="yIndenta"/>
      </w:pPr>
      <w:r>
        <w:tab/>
        <w:t>(d)</w:t>
      </w:r>
      <w:r>
        <w:tab/>
        <w:t>the measures that will be taken to ensure that people who may have access to an explosive are instructed about and comply with the plan;</w:t>
      </w:r>
    </w:p>
    <w:p>
      <w:pPr>
        <w:pStyle w:val="yIndenta"/>
      </w:pPr>
      <w:r>
        <w:tab/>
        <w:t>(e)</w:t>
      </w:r>
      <w:r>
        <w:tab/>
        <w:t>the measures that will be taken to monitor and ensure compliance, with the plan;</w:t>
      </w:r>
    </w:p>
    <w:p>
      <w:pPr>
        <w:pStyle w:val="yIndenta"/>
      </w:pPr>
      <w:r>
        <w:tab/>
        <w:t>(f)</w:t>
      </w:r>
      <w:r>
        <w:tab/>
        <w:t>the measures that will be taken to ensure the plan and its effectiveness are reviewed regularly and that the plan is revised if necessary;</w:t>
      </w:r>
    </w:p>
    <w:p>
      <w:pPr>
        <w:pStyle w:val="yIndenta"/>
      </w:pPr>
      <w:r>
        <w:tab/>
        <w:t>(g)</w:t>
      </w:r>
      <w:r>
        <w:tab/>
        <w:t>the measures that will be taken to ensure a record is kept of measures taken under the plan.</w:t>
      </w:r>
    </w:p>
    <w:p>
      <w:pPr>
        <w:pStyle w:val="yHeading5"/>
      </w:pPr>
      <w:bookmarkStart w:id="681" w:name="_Toc233693268"/>
      <w:bookmarkStart w:id="682" w:name="_Toc191982354"/>
      <w:r>
        <w:rPr>
          <w:rStyle w:val="CharSClsNo"/>
        </w:rPr>
        <w:t>3</w:t>
      </w:r>
      <w:r>
        <w:t>.</w:t>
      </w:r>
      <w:r>
        <w:tab/>
        <w:t>Safety matters</w:t>
      </w:r>
      <w:bookmarkEnd w:id="681"/>
      <w:bookmarkEnd w:id="682"/>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683" w:name="_Toc233693269"/>
      <w:bookmarkStart w:id="684" w:name="_Toc191982355"/>
      <w:r>
        <w:rPr>
          <w:rStyle w:val="CharSClsNo"/>
        </w:rPr>
        <w:t>4</w:t>
      </w:r>
      <w:r>
        <w:t>.</w:t>
      </w:r>
      <w:r>
        <w:tab/>
        <w:t>Security matters</w:t>
      </w:r>
      <w:bookmarkEnd w:id="683"/>
      <w:bookmarkEnd w:id="684"/>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685" w:name="_Toc191960775"/>
      <w:bookmarkStart w:id="686" w:name="_Toc191982356"/>
      <w:bookmarkStart w:id="687" w:name="_Toc233693270"/>
      <w:r>
        <w:rPr>
          <w:rStyle w:val="CharSchNo"/>
        </w:rPr>
        <w:t>Schedule 11</w:t>
      </w:r>
      <w:r>
        <w:rPr>
          <w:rStyle w:val="CharSDivNo"/>
        </w:rPr>
        <w:t> </w:t>
      </w:r>
      <w:r>
        <w:t>—</w:t>
      </w:r>
      <w:r>
        <w:rPr>
          <w:rStyle w:val="CharSDivText"/>
        </w:rPr>
        <w:t> </w:t>
      </w:r>
      <w:r>
        <w:rPr>
          <w:rStyle w:val="CharSchText"/>
        </w:rPr>
        <w:t>Central business districts</w:t>
      </w:r>
      <w:bookmarkEnd w:id="685"/>
      <w:bookmarkEnd w:id="686"/>
      <w:bookmarkEnd w:id="687"/>
    </w:p>
    <w:p>
      <w:pPr>
        <w:pStyle w:val="yShoulderClause"/>
      </w:pPr>
      <w:r>
        <w:t>[r. 107]</w:t>
      </w:r>
    </w:p>
    <w:p>
      <w:pPr>
        <w:pStyle w:val="yHeading5"/>
      </w:pPr>
      <w:bookmarkStart w:id="688" w:name="_Toc233693271"/>
      <w:bookmarkStart w:id="689" w:name="_Toc191982357"/>
      <w:r>
        <w:rPr>
          <w:rStyle w:val="CharSClsNo"/>
        </w:rPr>
        <w:t>1</w:t>
      </w:r>
      <w:r>
        <w:t>.</w:t>
      </w:r>
      <w:r>
        <w:tab/>
        <w:t>Fremantle central business district</w:t>
      </w:r>
      <w:bookmarkEnd w:id="688"/>
      <w:bookmarkEnd w:id="689"/>
    </w:p>
    <w:p>
      <w:pPr>
        <w:pStyle w:val="ySubsection"/>
      </w:pPr>
      <w:r>
        <w:tab/>
      </w:r>
      <w:r>
        <w:tab/>
        <w:t>The Fremantle central business district is the land bounded by a line that goes —</w:t>
      </w:r>
    </w:p>
    <w:p>
      <w:pPr>
        <w:pStyle w:val="ySubsection"/>
        <w:spacing w:before="0"/>
      </w:pPr>
      <w:r>
        <w:tab/>
      </w:r>
      <w:r>
        <w:tab/>
        <w:t>from the western end of the South Mole, westerly and north westerly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Heading5"/>
      </w:pPr>
      <w:bookmarkStart w:id="690" w:name="_Toc233693272"/>
      <w:bookmarkStart w:id="691" w:name="_Toc191982358"/>
      <w:r>
        <w:rPr>
          <w:rStyle w:val="CharSClsNo"/>
        </w:rPr>
        <w:t>2</w:t>
      </w:r>
      <w:r>
        <w:t>.</w:t>
      </w:r>
      <w:r>
        <w:tab/>
        <w:t>Perth central business district</w:t>
      </w:r>
      <w:bookmarkEnd w:id="690"/>
      <w:bookmarkEnd w:id="691"/>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spacing w:before="0"/>
      </w:pPr>
      <w:r>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sectPr>
          <w:headerReference w:type="even" r:id="rId32"/>
          <w:headerReference w:type="default" r:id="rId33"/>
          <w:footerReference w:type="even" r:id="rId34"/>
          <w:footerReference w:type="default" r:id="rId35"/>
          <w:headerReference w:type="first" r:id="rId36"/>
          <w:endnotePr>
            <w:numFmt w:val="decimal"/>
          </w:endnotePr>
          <w:pgSz w:w="11906" w:h="16838" w:code="9"/>
          <w:pgMar w:top="2376" w:right="2405" w:bottom="3542" w:left="2405" w:header="706" w:footer="3528" w:gutter="0"/>
          <w:cols w:space="720"/>
          <w:noEndnote/>
        </w:sectPr>
      </w:pPr>
    </w:p>
    <w:p>
      <w:pPr>
        <w:pStyle w:val="nHeading2"/>
      </w:pPr>
      <w:bookmarkStart w:id="692" w:name="_Toc191960778"/>
      <w:bookmarkStart w:id="693" w:name="_Toc191982359"/>
      <w:bookmarkStart w:id="694" w:name="_Toc233693273"/>
      <w:r>
        <w:t>Notes</w:t>
      </w:r>
      <w:bookmarkEnd w:id="585"/>
      <w:bookmarkEnd w:id="586"/>
      <w:bookmarkEnd w:id="587"/>
      <w:bookmarkEnd w:id="588"/>
      <w:bookmarkEnd w:id="692"/>
      <w:bookmarkEnd w:id="693"/>
      <w:bookmarkEnd w:id="694"/>
    </w:p>
    <w:p>
      <w:pPr>
        <w:pStyle w:val="nSubsection"/>
        <w:rPr>
          <w:snapToGrid w:val="0"/>
        </w:rPr>
      </w:pPr>
      <w:r>
        <w:rPr>
          <w:snapToGrid w:val="0"/>
          <w:vertAlign w:val="superscript"/>
        </w:rPr>
        <w:t>1</w:t>
      </w:r>
      <w:r>
        <w:rPr>
          <w:snapToGrid w:val="0"/>
        </w:rPr>
        <w:tab/>
        <w:t xml:space="preserve">This is a compilation of the </w:t>
      </w:r>
      <w:r>
        <w:rPr>
          <w:i/>
        </w:rPr>
        <w:t>Dangerous Goods Safety (Explosives) Regulations 2007</w:t>
      </w:r>
      <w:del w:id="695" w:author="Master Repository Process" w:date="2021-08-01T02:52:00Z">
        <w:r>
          <w:rPr>
            <w:i/>
          </w:rPr>
          <w:delText> </w:delText>
        </w:r>
        <w:r>
          <w:rPr>
            <w:iCs/>
            <w:vertAlign w:val="superscript"/>
          </w:rPr>
          <w:delText>1a</w:delText>
        </w:r>
        <w:r>
          <w:rPr>
            <w:i/>
          </w:rPr>
          <w:delText>.</w:delText>
        </w:r>
        <w:r>
          <w:delText xml:space="preserve">  </w:delText>
        </w:r>
        <w:r>
          <w:rPr>
            <w:snapToGrid w:val="0"/>
          </w:rPr>
          <w:delText>The</w:delText>
        </w:r>
      </w:del>
      <w:ins w:id="696" w:author="Master Repository Process" w:date="2021-08-01T02:52:00Z">
        <w:r>
          <w:rPr>
            <w:snapToGrid w:val="0"/>
          </w:rPr>
          <w:t xml:space="preserve"> and includes the amendments made by the other written laws referred to in the</w:t>
        </w:r>
      </w:ins>
      <w:r>
        <w:rPr>
          <w:snapToGrid w:val="0"/>
        </w:rPr>
        <w:t xml:space="preserve"> following table</w:t>
      </w:r>
      <w:del w:id="697" w:author="Master Repository Process" w:date="2021-08-01T02:52:00Z">
        <w:r>
          <w:rPr>
            <w:snapToGrid w:val="0"/>
          </w:rPr>
          <w:delText xml:space="preserve"> contains information about those regulations.</w:delText>
        </w:r>
      </w:del>
      <w:ins w:id="698" w:author="Master Repository Process" w:date="2021-08-01T02:52:00Z">
        <w:r>
          <w:rPr>
            <w:snapToGrid w:val="0"/>
          </w:rPr>
          <w:t xml:space="preserve">.  </w:t>
        </w:r>
      </w:ins>
    </w:p>
    <w:p>
      <w:pPr>
        <w:pStyle w:val="nHeading3"/>
      </w:pPr>
      <w:bookmarkStart w:id="699" w:name="_Toc70311430"/>
      <w:bookmarkStart w:id="700" w:name="_Toc113695923"/>
      <w:bookmarkStart w:id="701" w:name="_Toc233693274"/>
      <w:bookmarkStart w:id="702" w:name="_Toc191982360"/>
      <w:r>
        <w:t>Compilation table</w:t>
      </w:r>
      <w:bookmarkEnd w:id="699"/>
      <w:bookmarkEnd w:id="700"/>
      <w:bookmarkEnd w:id="701"/>
      <w:bookmarkEnd w:id="7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nil"/>
            </w:tcBorders>
          </w:tcPr>
          <w:p>
            <w:pPr>
              <w:pStyle w:val="nTable"/>
              <w:spacing w:after="40"/>
              <w:rPr>
                <w:b/>
                <w:sz w:val="19"/>
              </w:rPr>
            </w:pPr>
            <w:r>
              <w:rPr>
                <w:b/>
                <w:sz w:val="19"/>
              </w:rPr>
              <w:t>Citation</w:t>
            </w:r>
          </w:p>
        </w:tc>
        <w:tc>
          <w:tcPr>
            <w:tcW w:w="1276" w:type="dxa"/>
            <w:tcBorders>
              <w:bottom w:val="nil"/>
            </w:tcBorders>
          </w:tcPr>
          <w:p>
            <w:pPr>
              <w:pStyle w:val="nTable"/>
              <w:spacing w:after="40"/>
              <w:rPr>
                <w:b/>
                <w:sz w:val="19"/>
              </w:rPr>
            </w:pPr>
            <w:r>
              <w:rPr>
                <w:b/>
                <w:sz w:val="19"/>
              </w:rPr>
              <w:t>Gazettal</w:t>
            </w:r>
          </w:p>
        </w:tc>
        <w:tc>
          <w:tcPr>
            <w:tcW w:w="2693" w:type="dxa"/>
            <w:tcBorders>
              <w:bottom w:val="nil"/>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iCs/>
                <w:sz w:val="19"/>
              </w:rPr>
            </w:pPr>
            <w:r>
              <w:rPr>
                <w:i/>
                <w:sz w:val="19"/>
              </w:rPr>
              <w:t>Dangerous Goods Safety (Explosives) Regulations 2007</w:t>
            </w:r>
          </w:p>
        </w:tc>
        <w:tc>
          <w:tcPr>
            <w:tcW w:w="1276" w:type="dxa"/>
            <w:tcBorders>
              <w:top w:val="nil"/>
              <w:bottom w:val="nil"/>
            </w:tcBorders>
          </w:tcPr>
          <w:p>
            <w:pPr>
              <w:pStyle w:val="nTable"/>
              <w:spacing w:after="40"/>
              <w:rPr>
                <w:sz w:val="19"/>
              </w:rPr>
            </w:pPr>
            <w:r>
              <w:rPr>
                <w:sz w:val="19"/>
              </w:rPr>
              <w:t>31 Dec 2007 p. 6541-717</w:t>
            </w:r>
          </w:p>
        </w:tc>
        <w:tc>
          <w:tcPr>
            <w:tcW w:w="2693" w:type="dxa"/>
            <w:tcBorders>
              <w:top w:val="nil"/>
              <w:bottom w:val="nil"/>
            </w:tcBorders>
          </w:tcPr>
          <w:p>
            <w:pPr>
              <w:pStyle w:val="nTable"/>
              <w:spacing w:after="40"/>
              <w:rPr>
                <w:del w:id="703" w:author="Master Repository Process" w:date="2021-08-01T02:52:00Z"/>
                <w:sz w:val="19"/>
              </w:rPr>
            </w:pPr>
            <w:r>
              <w:rPr>
                <w:sz w:val="19"/>
              </w:rPr>
              <w:t>r. 1 and 2: 31 Dec 2007 (see r. 2(a);</w:t>
            </w:r>
          </w:p>
          <w:p>
            <w:pPr>
              <w:pStyle w:val="nTable"/>
              <w:spacing w:after="40"/>
              <w:rPr>
                <w:sz w:val="19"/>
              </w:rPr>
            </w:pPr>
            <w:r>
              <w:rPr>
                <w:sz w:val="19"/>
              </w:rPr>
              <w:t xml:space="preserve">Regulations other than r. 1 and 2: 1 Mar 2008 (see r. 2(b) and </w:t>
            </w:r>
            <w:r>
              <w:rPr>
                <w:i/>
                <w:iCs/>
                <w:sz w:val="19"/>
              </w:rPr>
              <w:t>Gazette</w:t>
            </w:r>
            <w:r>
              <w:rPr>
                <w:sz w:val="19"/>
              </w:rPr>
              <w:t xml:space="preserve"> 29 Feb 2008 p. 669)</w:t>
            </w:r>
          </w:p>
        </w:tc>
      </w:tr>
      <w:tr>
        <w:trPr>
          <w:ins w:id="704" w:author="Master Repository Process" w:date="2021-08-01T02:52:00Z"/>
        </w:trPr>
        <w:tc>
          <w:tcPr>
            <w:tcW w:w="3118" w:type="dxa"/>
            <w:tcBorders>
              <w:top w:val="nil"/>
            </w:tcBorders>
          </w:tcPr>
          <w:p>
            <w:pPr>
              <w:pStyle w:val="nTable"/>
              <w:spacing w:after="40"/>
              <w:rPr>
                <w:ins w:id="705" w:author="Master Repository Process" w:date="2021-08-01T02:52:00Z"/>
                <w:i/>
                <w:sz w:val="19"/>
              </w:rPr>
            </w:pPr>
            <w:ins w:id="706" w:author="Master Repository Process" w:date="2021-08-01T02:52:00Z">
              <w:r>
                <w:rPr>
                  <w:i/>
                  <w:sz w:val="19"/>
                </w:rPr>
                <w:t>Dangerous Goods Safety (Explosives) Amendment Regulations (No. </w:t>
              </w:r>
              <w:r>
                <w:rPr>
                  <w:i/>
                </w:rPr>
                <w:t xml:space="preserve">3) </w:t>
              </w:r>
              <w:r>
                <w:rPr>
                  <w:i/>
                  <w:sz w:val="19"/>
                </w:rPr>
                <w:t>2009</w:t>
              </w:r>
              <w:r>
                <w:rPr>
                  <w:iCs/>
                  <w:sz w:val="19"/>
                </w:rPr>
                <w:t>r</w:t>
              </w:r>
            </w:ins>
          </w:p>
        </w:tc>
        <w:tc>
          <w:tcPr>
            <w:tcW w:w="1276" w:type="dxa"/>
            <w:tcBorders>
              <w:top w:val="nil"/>
            </w:tcBorders>
          </w:tcPr>
          <w:p>
            <w:pPr>
              <w:pStyle w:val="nTable"/>
              <w:spacing w:after="40"/>
              <w:rPr>
                <w:ins w:id="707" w:author="Master Repository Process" w:date="2021-08-01T02:52:00Z"/>
                <w:sz w:val="19"/>
              </w:rPr>
            </w:pPr>
            <w:ins w:id="708" w:author="Master Repository Process" w:date="2021-08-01T02:52:00Z">
              <w:r>
                <w:rPr>
                  <w:sz w:val="19"/>
                </w:rPr>
                <w:t>16 Jun 2009 p. 2195</w:t>
              </w:r>
              <w:r>
                <w:rPr>
                  <w:sz w:val="19"/>
                </w:rPr>
                <w:noBreakHyphen/>
                <w:t>6</w:t>
              </w:r>
            </w:ins>
          </w:p>
        </w:tc>
        <w:tc>
          <w:tcPr>
            <w:tcW w:w="2693" w:type="dxa"/>
            <w:tcBorders>
              <w:top w:val="nil"/>
            </w:tcBorders>
          </w:tcPr>
          <w:p>
            <w:pPr>
              <w:pStyle w:val="nTable"/>
              <w:spacing w:after="40"/>
              <w:rPr>
                <w:ins w:id="709" w:author="Master Repository Process" w:date="2021-08-01T02:52:00Z"/>
                <w:sz w:val="19"/>
              </w:rPr>
            </w:pPr>
            <w:ins w:id="710" w:author="Master Repository Process" w:date="2021-08-01T02:52:00Z">
              <w:r>
                <w:rPr>
                  <w:snapToGrid w:val="0"/>
                  <w:spacing w:val="-2"/>
                  <w:sz w:val="19"/>
                  <w:lang w:val="en-US"/>
                </w:rPr>
                <w:t>r. 1 and 2: 16 Jun 2009 (see r. 2(a));</w:t>
              </w:r>
              <w:r>
                <w:rPr>
                  <w:snapToGrid w:val="0"/>
                  <w:spacing w:val="-2"/>
                  <w:sz w:val="19"/>
                  <w:lang w:val="en-US"/>
                </w:rPr>
                <w:br/>
                <w:t>Regulations other than r. 1 and 2: 1 Jul 2009 (see r. 2(b))</w:t>
              </w:r>
            </w:ins>
          </w:p>
        </w:tc>
      </w:tr>
    </w:tbl>
    <w:p>
      <w:pPr>
        <w:pStyle w:val="nSubsection"/>
        <w:tabs>
          <w:tab w:val="clear" w:pos="454"/>
          <w:tab w:val="left" w:pos="567"/>
        </w:tabs>
        <w:spacing w:before="120"/>
        <w:ind w:left="567" w:hanging="567"/>
        <w:rPr>
          <w:del w:id="711" w:author="Master Repository Process" w:date="2021-08-01T02:52:00Z"/>
          <w:snapToGrid w:val="0"/>
        </w:rPr>
      </w:pPr>
      <w:bookmarkStart w:id="712" w:name="_Toc423332724"/>
      <w:bookmarkStart w:id="713" w:name="_Toc425219443"/>
      <w:bookmarkStart w:id="714" w:name="_Toc426249310"/>
      <w:bookmarkStart w:id="715" w:name="_Toc449924706"/>
      <w:bookmarkStart w:id="716" w:name="_Toc449947724"/>
      <w:bookmarkStart w:id="717" w:name="_Toc454185715"/>
      <w:bookmarkStart w:id="718" w:name="_Toc515958688"/>
      <w:del w:id="719" w:author="Master Repository Process" w:date="2021-08-01T02: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20" w:author="Master Repository Process" w:date="2021-08-01T02:52:00Z"/>
        </w:rPr>
      </w:pPr>
      <w:bookmarkStart w:id="721" w:name="_Toc7405065"/>
      <w:bookmarkStart w:id="722" w:name="_Toc181500909"/>
      <w:bookmarkStart w:id="723" w:name="_Toc193100050"/>
      <w:del w:id="724" w:author="Master Repository Process" w:date="2021-08-01T02:52:00Z">
        <w:r>
          <w:delText>Provisions that have not come into operation</w:delText>
        </w:r>
        <w:bookmarkEnd w:id="721"/>
        <w:bookmarkEnd w:id="722"/>
        <w:bookmarkEnd w:id="723"/>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725" w:author="Master Repository Process" w:date="2021-08-01T02:52:00Z"/>
        </w:trPr>
        <w:tc>
          <w:tcPr>
            <w:tcW w:w="3119" w:type="dxa"/>
            <w:tcBorders>
              <w:top w:val="single" w:sz="8" w:space="0" w:color="auto"/>
              <w:bottom w:val="single" w:sz="8" w:space="0" w:color="auto"/>
            </w:tcBorders>
          </w:tcPr>
          <w:p>
            <w:pPr>
              <w:pStyle w:val="nTable"/>
              <w:spacing w:after="40"/>
              <w:ind w:right="113"/>
              <w:rPr>
                <w:del w:id="726" w:author="Master Repository Process" w:date="2021-08-01T02:52:00Z"/>
                <w:b/>
                <w:sz w:val="19"/>
              </w:rPr>
            </w:pPr>
            <w:del w:id="727" w:author="Master Repository Process" w:date="2021-08-01T02:52:00Z">
              <w:r>
                <w:rPr>
                  <w:b/>
                  <w:sz w:val="19"/>
                </w:rPr>
                <w:delText>Citation</w:delText>
              </w:r>
            </w:del>
          </w:p>
        </w:tc>
        <w:tc>
          <w:tcPr>
            <w:tcW w:w="1276" w:type="dxa"/>
            <w:tcBorders>
              <w:top w:val="single" w:sz="8" w:space="0" w:color="auto"/>
              <w:bottom w:val="single" w:sz="8" w:space="0" w:color="auto"/>
            </w:tcBorders>
          </w:tcPr>
          <w:p>
            <w:pPr>
              <w:pStyle w:val="nTable"/>
              <w:spacing w:after="40"/>
              <w:rPr>
                <w:del w:id="728" w:author="Master Repository Process" w:date="2021-08-01T02:52:00Z"/>
                <w:b/>
                <w:sz w:val="19"/>
              </w:rPr>
            </w:pPr>
            <w:del w:id="729" w:author="Master Repository Process" w:date="2021-08-01T02:52:00Z">
              <w:r>
                <w:rPr>
                  <w:b/>
                  <w:sz w:val="19"/>
                </w:rPr>
                <w:delText>Gazettal</w:delText>
              </w:r>
            </w:del>
          </w:p>
        </w:tc>
        <w:tc>
          <w:tcPr>
            <w:tcW w:w="2693" w:type="dxa"/>
            <w:tcBorders>
              <w:top w:val="single" w:sz="8" w:space="0" w:color="auto"/>
              <w:bottom w:val="single" w:sz="8" w:space="0" w:color="auto"/>
            </w:tcBorders>
          </w:tcPr>
          <w:p>
            <w:pPr>
              <w:pStyle w:val="nTable"/>
              <w:spacing w:after="40"/>
              <w:rPr>
                <w:del w:id="730" w:author="Master Repository Process" w:date="2021-08-01T02:52:00Z"/>
                <w:b/>
                <w:sz w:val="19"/>
              </w:rPr>
            </w:pPr>
            <w:del w:id="731" w:author="Master Repository Process" w:date="2021-08-01T02:52:00Z">
              <w:r>
                <w:rPr>
                  <w:b/>
                  <w:sz w:val="19"/>
                </w:rPr>
                <w:delText>Commencement</w:delText>
              </w:r>
            </w:del>
          </w:p>
        </w:tc>
      </w:tr>
      <w:tr>
        <w:trPr>
          <w:cantSplit/>
          <w:del w:id="732" w:author="Master Repository Process" w:date="2021-08-01T02:52:00Z"/>
        </w:trPr>
        <w:tc>
          <w:tcPr>
            <w:tcW w:w="3119" w:type="dxa"/>
            <w:tcBorders>
              <w:top w:val="single" w:sz="8" w:space="0" w:color="auto"/>
              <w:bottom w:val="single" w:sz="4" w:space="0" w:color="auto"/>
            </w:tcBorders>
          </w:tcPr>
          <w:p>
            <w:pPr>
              <w:pStyle w:val="nTable"/>
              <w:spacing w:after="40"/>
              <w:ind w:right="113"/>
              <w:rPr>
                <w:del w:id="733" w:author="Master Repository Process" w:date="2021-08-01T02:52:00Z"/>
                <w:iCs/>
                <w:sz w:val="19"/>
                <w:vertAlign w:val="superscript"/>
              </w:rPr>
            </w:pPr>
            <w:del w:id="734" w:author="Master Repository Process" w:date="2021-08-01T02:52:00Z">
              <w:r>
                <w:rPr>
                  <w:i/>
                  <w:sz w:val="19"/>
                </w:rPr>
                <w:delText>Dangerous Goods Safety (Explosives) Amendment Regulations (No. </w:delText>
              </w:r>
              <w:r>
                <w:rPr>
                  <w:i/>
                </w:rPr>
                <w:delText xml:space="preserve">3) </w:delText>
              </w:r>
              <w:r>
                <w:rPr>
                  <w:i/>
                  <w:sz w:val="19"/>
                </w:rPr>
                <w:delText>2009</w:delText>
              </w:r>
              <w:r>
                <w:rPr>
                  <w:iCs/>
                  <w:sz w:val="19"/>
                </w:rPr>
                <w:delText xml:space="preserve"> r. 3 and 4 </w:delText>
              </w:r>
              <w:r>
                <w:rPr>
                  <w:iCs/>
                  <w:sz w:val="19"/>
                  <w:vertAlign w:val="superscript"/>
                </w:rPr>
                <w:delText>2</w:delText>
              </w:r>
            </w:del>
          </w:p>
        </w:tc>
        <w:tc>
          <w:tcPr>
            <w:tcW w:w="1276" w:type="dxa"/>
            <w:tcBorders>
              <w:top w:val="single" w:sz="8" w:space="0" w:color="auto"/>
              <w:bottom w:val="single" w:sz="4" w:space="0" w:color="auto"/>
            </w:tcBorders>
          </w:tcPr>
          <w:p>
            <w:pPr>
              <w:pStyle w:val="nTable"/>
              <w:spacing w:after="40"/>
              <w:rPr>
                <w:del w:id="735" w:author="Master Repository Process" w:date="2021-08-01T02:52:00Z"/>
                <w:sz w:val="19"/>
              </w:rPr>
            </w:pPr>
            <w:del w:id="736" w:author="Master Repository Process" w:date="2021-08-01T02:52:00Z">
              <w:r>
                <w:rPr>
                  <w:sz w:val="19"/>
                </w:rPr>
                <w:delText>16 Jun 2009 p. 2195</w:delText>
              </w:r>
              <w:r>
                <w:rPr>
                  <w:sz w:val="19"/>
                </w:rPr>
                <w:noBreakHyphen/>
                <w:delText>6</w:delText>
              </w:r>
            </w:del>
          </w:p>
        </w:tc>
        <w:tc>
          <w:tcPr>
            <w:tcW w:w="2693" w:type="dxa"/>
            <w:tcBorders>
              <w:top w:val="single" w:sz="8" w:space="0" w:color="auto"/>
              <w:bottom w:val="single" w:sz="4" w:space="0" w:color="auto"/>
            </w:tcBorders>
          </w:tcPr>
          <w:p>
            <w:pPr>
              <w:pStyle w:val="nTable"/>
              <w:spacing w:after="40"/>
              <w:rPr>
                <w:del w:id="737" w:author="Master Repository Process" w:date="2021-08-01T02:52:00Z"/>
                <w:sz w:val="19"/>
              </w:rPr>
            </w:pPr>
            <w:del w:id="738" w:author="Master Repository Process" w:date="2021-08-01T02:52:00Z">
              <w:r>
                <w:rPr>
                  <w:sz w:val="19"/>
                </w:rPr>
                <w:delText>1 Jul 2009 (see r. 2(b))</w:delText>
              </w:r>
            </w:del>
          </w:p>
        </w:tc>
      </w:tr>
    </w:tbl>
    <w:p>
      <w:pPr>
        <w:pStyle w:val="nSubsection"/>
        <w:keepLines/>
        <w:rPr>
          <w:del w:id="739" w:author="Master Repository Process" w:date="2021-08-01T02:52:00Z"/>
          <w:snapToGrid w:val="0"/>
        </w:rPr>
      </w:pPr>
      <w:del w:id="740" w:author="Master Repository Process" w:date="2021-08-01T02:52: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Dangerous Goods Safety (Explosives) Amendment Regulations (No. 3) 2009 </w:delText>
        </w:r>
        <w:r>
          <w:rPr>
            <w:snapToGrid w:val="0"/>
          </w:rPr>
          <w:delText>r. 3 and 4 had not come into operation.  They read as follows:</w:delText>
        </w:r>
      </w:del>
    </w:p>
    <w:p>
      <w:pPr>
        <w:pStyle w:val="BlankOpen"/>
        <w:rPr>
          <w:del w:id="741" w:author="Master Repository Process" w:date="2021-08-01T02:52:00Z"/>
        </w:rPr>
      </w:pPr>
    </w:p>
    <w:p>
      <w:pPr>
        <w:pStyle w:val="nzHeading5"/>
        <w:rPr>
          <w:del w:id="742" w:author="Master Repository Process" w:date="2021-08-01T02:52:00Z"/>
          <w:snapToGrid w:val="0"/>
        </w:rPr>
      </w:pPr>
      <w:del w:id="743" w:author="Master Repository Process" w:date="2021-08-01T02:52:00Z">
        <w:r>
          <w:rPr>
            <w:rStyle w:val="CharSectno"/>
          </w:rPr>
          <w:delText>3</w:delText>
        </w:r>
        <w:r>
          <w:rPr>
            <w:snapToGrid w:val="0"/>
          </w:rPr>
          <w:delText>.</w:delText>
        </w:r>
        <w:r>
          <w:rPr>
            <w:snapToGrid w:val="0"/>
          </w:rPr>
          <w:tab/>
          <w:delText>Regulations amended</w:delText>
        </w:r>
        <w:bookmarkEnd w:id="712"/>
        <w:bookmarkEnd w:id="713"/>
        <w:bookmarkEnd w:id="714"/>
        <w:bookmarkEnd w:id="715"/>
        <w:bookmarkEnd w:id="716"/>
        <w:bookmarkEnd w:id="717"/>
        <w:bookmarkEnd w:id="718"/>
      </w:del>
    </w:p>
    <w:p>
      <w:pPr>
        <w:pStyle w:val="nzSubsection"/>
        <w:rPr>
          <w:del w:id="744" w:author="Master Repository Process" w:date="2021-08-01T02:52:00Z"/>
        </w:rPr>
      </w:pPr>
      <w:del w:id="745" w:author="Master Repository Process" w:date="2021-08-01T02:52:00Z">
        <w:r>
          <w:tab/>
        </w:r>
        <w:r>
          <w:tab/>
        </w:r>
        <w:r>
          <w:rPr>
            <w:spacing w:val="-2"/>
          </w:rPr>
          <w:delText>These</w:delText>
        </w:r>
        <w:r>
          <w:delText xml:space="preserve"> regulations amend the </w:delText>
        </w:r>
        <w:r>
          <w:rPr>
            <w:i/>
          </w:rPr>
          <w:delText>Dangerous Goods Safety (Explosives) Regulations 2007</w:delText>
        </w:r>
        <w:r>
          <w:delText>.</w:delText>
        </w:r>
      </w:del>
    </w:p>
    <w:p>
      <w:pPr>
        <w:pStyle w:val="nzHeading5"/>
        <w:rPr>
          <w:del w:id="746" w:author="Master Repository Process" w:date="2021-08-01T02:52:00Z"/>
        </w:rPr>
      </w:pPr>
      <w:del w:id="747" w:author="Master Repository Process" w:date="2021-08-01T02:52:00Z">
        <w:r>
          <w:rPr>
            <w:rStyle w:val="CharSectno"/>
          </w:rPr>
          <w:delText>4</w:delText>
        </w:r>
        <w:r>
          <w:delText>.</w:delText>
        </w:r>
        <w:r>
          <w:tab/>
          <w:delText>Schedule 1 amended</w:delText>
        </w:r>
      </w:del>
    </w:p>
    <w:p>
      <w:pPr>
        <w:pStyle w:val="nzSubsection"/>
        <w:rPr>
          <w:del w:id="748" w:author="Master Repository Process" w:date="2021-08-01T02:52:00Z"/>
        </w:rPr>
      </w:pPr>
      <w:del w:id="749" w:author="Master Repository Process" w:date="2021-08-01T02:52:00Z">
        <w:r>
          <w:tab/>
        </w:r>
        <w:r>
          <w:tab/>
          <w:delText>In Schedule 1 item 1 delete “</w:delText>
        </w:r>
        <w:r>
          <w:rPr>
            <w:sz w:val="22"/>
          </w:rPr>
          <w:delText>150</w:delText>
        </w:r>
        <w:r>
          <w:delText>” and insert:</w:delText>
        </w:r>
      </w:del>
    </w:p>
    <w:p>
      <w:pPr>
        <w:pStyle w:val="BlankOpen"/>
        <w:rPr>
          <w:del w:id="750" w:author="Master Repository Process" w:date="2021-08-01T02:52:00Z"/>
        </w:rPr>
      </w:pPr>
    </w:p>
    <w:p>
      <w:pPr>
        <w:pStyle w:val="nzSubsection"/>
        <w:rPr>
          <w:del w:id="751" w:author="Master Repository Process" w:date="2021-08-01T02:52:00Z"/>
        </w:rPr>
      </w:pPr>
      <w:del w:id="752" w:author="Master Repository Process" w:date="2021-08-01T02:52:00Z">
        <w:r>
          <w:tab/>
        </w:r>
        <w:r>
          <w:tab/>
        </w:r>
        <w:r>
          <w:rPr>
            <w:sz w:val="22"/>
          </w:rPr>
          <w:delText>156</w:delText>
        </w:r>
      </w:del>
    </w:p>
    <w:p>
      <w:pPr>
        <w:pStyle w:val="BlankClose"/>
        <w:rPr>
          <w:del w:id="753" w:author="Master Repository Process" w:date="2021-08-01T02:52:00Z"/>
        </w:rPr>
      </w:pPr>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bookmarkStart w:id="754" w:name="AutoSch"/>
      <w:bookmarkEnd w:id="754"/>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(Explosives) Regulations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Unrestricted fireworks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F81A82-B9A1-4901-AFD9-FDB54EFF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20.xml"/><Relationship Id="rId21" Type="http://schemas.openxmlformats.org/officeDocument/2006/relationships/header" Target="header8.xml"/><Relationship Id="rId34" Type="http://schemas.openxmlformats.org/officeDocument/2006/relationships/footer" Target="footer11.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3.xml"/><Relationship Id="rId35" Type="http://schemas.openxmlformats.org/officeDocument/2006/relationships/footer" Target="footer12.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36645</Words>
  <Characters>175168</Characters>
  <Application>Microsoft Office Word</Application>
  <DocSecurity>0</DocSecurity>
  <Lines>4734</Lines>
  <Paragraphs>2941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00-c0-01 - 00-d0-01</dc:title>
  <dc:subject/>
  <dc:creator/>
  <cp:keywords/>
  <dc:description/>
  <cp:lastModifiedBy>Master Repository Process</cp:lastModifiedBy>
  <cp:revision>2</cp:revision>
  <cp:lastPrinted>2007-11-27T07:53:00Z</cp:lastPrinted>
  <dcterms:created xsi:type="dcterms:W3CDTF">2021-07-31T18:52:00Z</dcterms:created>
  <dcterms:modified xsi:type="dcterms:W3CDTF">2021-07-31T18:52:00Z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37310</vt:i4>
  </property>
  <property fmtid="{D5CDD505-2E9C-101B-9397-08002B2CF9AE}" pid="6" name="FromSuffix">
    <vt:lpwstr>00-c0-01</vt:lpwstr>
  </property>
  <property fmtid="{D5CDD505-2E9C-101B-9397-08002B2CF9AE}" pid="7" name="FromAsAtDate">
    <vt:lpwstr>16 Jun 2009</vt:lpwstr>
  </property>
  <property fmtid="{D5CDD505-2E9C-101B-9397-08002B2CF9AE}" pid="8" name="ToSuffix">
    <vt:lpwstr>00-d0-01</vt:lpwstr>
  </property>
  <property fmtid="{D5CDD505-2E9C-101B-9397-08002B2CF9AE}" pid="9" name="ToAsAtDate">
    <vt:lpwstr>01 Jul 2009</vt:lpwstr>
  </property>
</Properties>
</file>