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Racing and Wagering Western Australia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2009</w:t>
      </w:r>
      <w:r>
        <w:fldChar w:fldCharType="end"/>
      </w:r>
      <w:r>
        <w:t xml:space="preserve">, </w:t>
      </w:r>
      <w:r>
        <w:fldChar w:fldCharType="begin"/>
      </w:r>
      <w:r>
        <w:instrText xml:space="preserve"> DocProperty FromSuffix </w:instrText>
      </w:r>
      <w:r>
        <w:fldChar w:fldCharType="separate"/>
      </w:r>
      <w:r>
        <w:t>01-i0-01</w:t>
      </w:r>
      <w:r>
        <w:fldChar w:fldCharType="end"/>
      </w:r>
      <w:r>
        <w:t>] and [</w:t>
      </w:r>
      <w:r>
        <w:fldChar w:fldCharType="begin"/>
      </w:r>
      <w:r>
        <w:instrText xml:space="preserve"> DocProperty ToAsAtDate</w:instrText>
      </w:r>
      <w:r>
        <w:fldChar w:fldCharType="separate"/>
      </w:r>
      <w:r>
        <w:t>19 Jun 2009</w:t>
      </w:r>
      <w:r>
        <w:fldChar w:fldCharType="end"/>
      </w:r>
      <w:r>
        <w:t xml:space="preserve">, </w:t>
      </w:r>
      <w:r>
        <w:fldChar w:fldCharType="begin"/>
      </w:r>
      <w:r>
        <w:instrText xml:space="preserve"> DocProperty ToSuffix</w:instrText>
      </w:r>
      <w:r>
        <w:fldChar w:fldCharType="separate"/>
      </w:r>
      <w:r>
        <w:t>02-a0-01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2T13:22:00Z"/>
        </w:trPr>
        <w:tc>
          <w:tcPr>
            <w:tcW w:w="2434" w:type="dxa"/>
            <w:vMerge w:val="restart"/>
          </w:tcPr>
          <w:p>
            <w:pPr>
              <w:rPr>
                <w:ins w:id="1" w:author="Master Repository Process" w:date="2021-09-12T13:22:00Z"/>
              </w:rPr>
            </w:pPr>
          </w:p>
        </w:tc>
        <w:tc>
          <w:tcPr>
            <w:tcW w:w="2434" w:type="dxa"/>
            <w:vMerge w:val="restart"/>
          </w:tcPr>
          <w:p>
            <w:pPr>
              <w:jc w:val="center"/>
              <w:rPr>
                <w:ins w:id="2" w:author="Master Repository Process" w:date="2021-09-12T13:22:00Z"/>
              </w:rPr>
            </w:pPr>
            <w:ins w:id="3" w:author="Master Repository Process" w:date="2021-09-12T13:22: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2T13:22:00Z"/>
              </w:rPr>
            </w:pPr>
            <w:ins w:id="5" w:author="Master Repository Process" w:date="2021-09-12T13:22:00Z">
              <w:r>
                <w:rPr>
                  <w:b/>
                  <w:sz w:val="22"/>
                </w:rPr>
                <w:t xml:space="preserve">Reprinted under the </w:t>
              </w:r>
              <w:r>
                <w:rPr>
                  <w:b/>
                  <w:i/>
                  <w:sz w:val="22"/>
                </w:rPr>
                <w:t>Reprints Act 1984</w:t>
              </w:r>
              <w:r>
                <w:rPr>
                  <w:b/>
                  <w:sz w:val="22"/>
                </w:rPr>
                <w:t xml:space="preserve"> as</w:t>
              </w:r>
            </w:ins>
          </w:p>
        </w:tc>
      </w:tr>
      <w:tr>
        <w:trPr>
          <w:cantSplit/>
          <w:ins w:id="6" w:author="Master Repository Process" w:date="2021-09-12T13:22:00Z"/>
        </w:trPr>
        <w:tc>
          <w:tcPr>
            <w:tcW w:w="2434" w:type="dxa"/>
            <w:vMerge/>
          </w:tcPr>
          <w:p>
            <w:pPr>
              <w:rPr>
                <w:ins w:id="7" w:author="Master Repository Process" w:date="2021-09-12T13:22:00Z"/>
              </w:rPr>
            </w:pPr>
          </w:p>
        </w:tc>
        <w:tc>
          <w:tcPr>
            <w:tcW w:w="2434" w:type="dxa"/>
            <w:vMerge/>
          </w:tcPr>
          <w:p>
            <w:pPr>
              <w:jc w:val="center"/>
              <w:rPr>
                <w:ins w:id="8" w:author="Master Repository Process" w:date="2021-09-12T13:22:00Z"/>
              </w:rPr>
            </w:pPr>
          </w:p>
        </w:tc>
        <w:tc>
          <w:tcPr>
            <w:tcW w:w="2434" w:type="dxa"/>
          </w:tcPr>
          <w:p>
            <w:pPr>
              <w:keepNext/>
              <w:rPr>
                <w:ins w:id="9" w:author="Master Repository Process" w:date="2021-09-12T13:22:00Z"/>
                <w:b/>
                <w:sz w:val="22"/>
              </w:rPr>
            </w:pPr>
            <w:ins w:id="10" w:author="Master Repository Process" w:date="2021-09-12T13:22:00Z">
              <w:r>
                <w:rPr>
                  <w:b/>
                  <w:sz w:val="22"/>
                </w:rPr>
                <w:t>at 19</w:t>
              </w:r>
              <w:r>
                <w:rPr>
                  <w:b/>
                  <w:snapToGrid w:val="0"/>
                  <w:sz w:val="22"/>
                </w:rPr>
                <w:t xml:space="preserve"> June 2009</w:t>
              </w:r>
            </w:ins>
          </w:p>
        </w:tc>
      </w:tr>
    </w:tbl>
    <w:p>
      <w:pPr>
        <w:pStyle w:val="WA"/>
        <w:spacing w:before="120"/>
      </w:pPr>
      <w:r>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11" w:name="_Toc116990465"/>
      <w:bookmarkStart w:id="12" w:name="_Toc117047648"/>
      <w:bookmarkStart w:id="13" w:name="_Toc124141905"/>
      <w:bookmarkStart w:id="14" w:name="_Toc124142031"/>
      <w:bookmarkStart w:id="15" w:name="_Toc134521125"/>
      <w:bookmarkStart w:id="16" w:name="_Toc146505600"/>
      <w:bookmarkStart w:id="17" w:name="_Toc146520656"/>
      <w:bookmarkStart w:id="18" w:name="_Toc148162431"/>
      <w:bookmarkStart w:id="19" w:name="_Toc150229091"/>
      <w:bookmarkStart w:id="20" w:name="_Toc151199763"/>
      <w:bookmarkStart w:id="21" w:name="_Toc151261179"/>
      <w:bookmarkStart w:id="22" w:name="_Toc155067102"/>
      <w:bookmarkStart w:id="23" w:name="_Toc155158290"/>
      <w:bookmarkStart w:id="24" w:name="_Toc177793048"/>
      <w:bookmarkStart w:id="25" w:name="_Toc177878060"/>
      <w:bookmarkStart w:id="26" w:name="_Toc179709093"/>
      <w:bookmarkStart w:id="27" w:name="_Toc184710055"/>
      <w:bookmarkStart w:id="28" w:name="_Toc184719145"/>
      <w:bookmarkStart w:id="29" w:name="_Toc185654697"/>
      <w:bookmarkStart w:id="30" w:name="_Toc212947113"/>
      <w:bookmarkStart w:id="31" w:name="_Toc220898804"/>
      <w:bookmarkStart w:id="32" w:name="_Toc220899412"/>
      <w:bookmarkStart w:id="33" w:name="_Toc220899612"/>
      <w:bookmarkStart w:id="34" w:name="_Toc232309935"/>
      <w:bookmarkStart w:id="35" w:name="_Toc233689238"/>
      <w:bookmarkStart w:id="36" w:name="_Toc348893785"/>
      <w:r>
        <w:rPr>
          <w:rStyle w:val="CharPartNo"/>
        </w:rPr>
        <w:t>P</w:t>
      </w:r>
      <w:bookmarkStart w:id="37" w:name="_GoBack"/>
      <w:bookmarkEnd w:id="37"/>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pPr>
        <w:pStyle w:val="Heading5"/>
      </w:pPr>
      <w:bookmarkStart w:id="38" w:name="_Toc423332722"/>
      <w:bookmarkStart w:id="39" w:name="_Toc425219441"/>
      <w:bookmarkStart w:id="40" w:name="_Toc426249308"/>
      <w:bookmarkStart w:id="41" w:name="_Toc449924704"/>
      <w:bookmarkStart w:id="42" w:name="_Toc449947722"/>
      <w:bookmarkStart w:id="43" w:name="_Toc454185713"/>
      <w:bookmarkStart w:id="44" w:name="_Toc44995631"/>
      <w:bookmarkStart w:id="45" w:name="_Toc124141906"/>
      <w:bookmarkStart w:id="46" w:name="_Toc233689239"/>
      <w:bookmarkStart w:id="47" w:name="_Toc348893786"/>
      <w:r>
        <w:rPr>
          <w:rStyle w:val="CharSectno"/>
        </w:rPr>
        <w:t>1</w:t>
      </w:r>
      <w:r>
        <w:t>.</w:t>
      </w:r>
      <w:r>
        <w:tab/>
        <w:t>Citation</w:t>
      </w:r>
      <w:bookmarkEnd w:id="38"/>
      <w:bookmarkEnd w:id="39"/>
      <w:bookmarkEnd w:id="40"/>
      <w:bookmarkEnd w:id="41"/>
      <w:bookmarkEnd w:id="42"/>
      <w:bookmarkEnd w:id="43"/>
      <w:bookmarkEnd w:id="44"/>
      <w:bookmarkEnd w:id="45"/>
      <w:bookmarkEnd w:id="46"/>
      <w:bookmarkEnd w:id="47"/>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rPr>
          <w:iCs/>
          <w:vertAlign w:val="superscript"/>
        </w:rPr>
        <w:t> 1</w:t>
      </w:r>
      <w:r>
        <w:t>.</w:t>
      </w:r>
    </w:p>
    <w:p>
      <w:pPr>
        <w:pStyle w:val="Heading5"/>
        <w:rPr>
          <w:spacing w:val="-2"/>
        </w:rPr>
      </w:pPr>
      <w:bookmarkStart w:id="48" w:name="_Toc423332723"/>
      <w:bookmarkStart w:id="49" w:name="_Toc425219442"/>
      <w:bookmarkStart w:id="50" w:name="_Toc426249309"/>
      <w:bookmarkStart w:id="51" w:name="_Toc449924705"/>
      <w:bookmarkStart w:id="52" w:name="_Toc449947723"/>
      <w:bookmarkStart w:id="53" w:name="_Toc454185714"/>
      <w:bookmarkStart w:id="54" w:name="_Toc44995632"/>
      <w:bookmarkStart w:id="55" w:name="_Toc124141907"/>
      <w:bookmarkStart w:id="56" w:name="_Toc233689240"/>
      <w:bookmarkStart w:id="57" w:name="_Toc348893787"/>
      <w:r>
        <w:rPr>
          <w:rStyle w:val="CharSectno"/>
        </w:rPr>
        <w:t>2</w:t>
      </w:r>
      <w:r>
        <w:rPr>
          <w:spacing w:val="-2"/>
        </w:rPr>
        <w:t>.</w:t>
      </w:r>
      <w:r>
        <w:rPr>
          <w:spacing w:val="-2"/>
        </w:rPr>
        <w:tab/>
        <w:t>Commencement</w:t>
      </w:r>
      <w:bookmarkEnd w:id="48"/>
      <w:bookmarkEnd w:id="49"/>
      <w:bookmarkEnd w:id="50"/>
      <w:bookmarkEnd w:id="51"/>
      <w:bookmarkEnd w:id="52"/>
      <w:bookmarkEnd w:id="53"/>
      <w:bookmarkEnd w:id="54"/>
      <w:bookmarkEnd w:id="55"/>
      <w:bookmarkEnd w:id="56"/>
      <w:bookmarkEnd w:id="57"/>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rPr>
          <w:iCs/>
          <w:vertAlign w:val="superscript"/>
        </w:rPr>
        <w:t> 1</w:t>
      </w:r>
      <w:r>
        <w:t>.</w:t>
      </w:r>
    </w:p>
    <w:p>
      <w:pPr>
        <w:pStyle w:val="Heading5"/>
      </w:pPr>
      <w:bookmarkStart w:id="58" w:name="_Toc44995633"/>
      <w:bookmarkStart w:id="59" w:name="_Toc124141908"/>
      <w:bookmarkStart w:id="60" w:name="_Toc233689241"/>
      <w:bookmarkStart w:id="61" w:name="_Toc348893788"/>
      <w:r>
        <w:rPr>
          <w:rStyle w:val="CharSectno"/>
        </w:rPr>
        <w:t>3</w:t>
      </w:r>
      <w:r>
        <w:t>.</w:t>
      </w:r>
      <w:r>
        <w:tab/>
      </w:r>
      <w:del w:id="62" w:author="Master Repository Process" w:date="2021-09-12T13:22:00Z">
        <w:r>
          <w:delText>Meaning of terms</w:delText>
        </w:r>
      </w:del>
      <w:ins w:id="63" w:author="Master Repository Process" w:date="2021-09-12T13:22:00Z">
        <w:r>
          <w:t>Terms</w:t>
        </w:r>
      </w:ins>
      <w:r>
        <w:t xml:space="preserve"> used</w:t>
      </w:r>
      <w:del w:id="64" w:author="Master Repository Process" w:date="2021-09-12T13:22:00Z">
        <w:r>
          <w:delText xml:space="preserve"> in these regulations</w:delText>
        </w:r>
      </w:del>
      <w:bookmarkEnd w:id="58"/>
      <w:bookmarkEnd w:id="59"/>
      <w:bookmarkEnd w:id="60"/>
      <w:bookmarkEnd w:id="61"/>
    </w:p>
    <w:p>
      <w:pPr>
        <w:pStyle w:val="Subsection"/>
      </w:pPr>
      <w:r>
        <w:tab/>
        <w:t>(1)</w:t>
      </w:r>
      <w:r>
        <w:tab/>
        <w:t xml:space="preserve">In these regulations, unless the contrary intention appears — </w:t>
      </w:r>
    </w:p>
    <w:p>
      <w:pPr>
        <w:pStyle w:val="Defstart"/>
      </w:pPr>
      <w:r>
        <w:rPr>
          <w:b/>
        </w:rPr>
        <w:tab/>
      </w:r>
      <w:r>
        <w:rPr>
          <w:rStyle w:val="CharDefText"/>
        </w:rPr>
        <w:t>cash</w:t>
      </w:r>
      <w:r>
        <w:t xml:space="preserve"> means bank notes or coins;</w:t>
      </w:r>
    </w:p>
    <w:p>
      <w:pPr>
        <w:pStyle w:val="Defstart"/>
      </w:pPr>
      <w:r>
        <w:rPr>
          <w:b/>
        </w:rPr>
        <w:tab/>
      </w:r>
      <w:r>
        <w:rPr>
          <w:rStyle w:val="CharDefText"/>
        </w:rPr>
        <w:t>Commission Act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r>
      <w:r>
        <w:rPr>
          <w:rStyle w:val="CharDefText"/>
        </w:rPr>
        <w:t>depositor</w:t>
      </w:r>
      <w:r>
        <w:t xml:space="preserve"> means a person who establishes a wagering account with RWWA for the purpose of wagering with or through RWWA;</w:t>
      </w:r>
    </w:p>
    <w:p>
      <w:pPr>
        <w:pStyle w:val="Defstart"/>
      </w:pPr>
      <w:r>
        <w:rPr>
          <w:b/>
        </w:rPr>
        <w:tab/>
      </w:r>
      <w:r>
        <w:rPr>
          <w:rStyle w:val="CharDefText"/>
        </w:rPr>
        <w:t>director</w:t>
      </w:r>
      <w:r>
        <w:t xml:space="preserve"> includes an alternate director nominated or selected under Schedule 1 clause 4 of the Act;</w:t>
      </w:r>
    </w:p>
    <w:p>
      <w:pPr>
        <w:pStyle w:val="Defstart"/>
      </w:pPr>
      <w:r>
        <w:rPr>
          <w:b/>
        </w:rPr>
        <w:tab/>
      </w:r>
      <w:r>
        <w:rPr>
          <w:rStyle w:val="CharDefText"/>
        </w:rPr>
        <w:t>director’s licence</w:t>
      </w:r>
      <w:r>
        <w:t xml:space="preserve"> means a licence of a director granted under section 14 of the Act;</w:t>
      </w:r>
    </w:p>
    <w:p>
      <w:pPr>
        <w:pStyle w:val="Defstart"/>
      </w:pPr>
      <w:r>
        <w:rPr>
          <w:b/>
        </w:rPr>
        <w:tab/>
      </w:r>
      <w:r>
        <w:rPr>
          <w:rStyle w:val="CharDefText"/>
        </w:rPr>
        <w:t>employ</w:t>
      </w:r>
      <w:r>
        <w:t xml:space="preserve"> includes engage under a contract for services;</w:t>
      </w:r>
    </w:p>
    <w:p>
      <w:pPr>
        <w:pStyle w:val="Defstart"/>
      </w:pPr>
      <w:r>
        <w:rPr>
          <w:b/>
        </w:rPr>
        <w:tab/>
      </w:r>
      <w:r>
        <w:rPr>
          <w:rStyle w:val="CharDefText"/>
        </w:rPr>
        <w:t>employee’s licence</w:t>
      </w:r>
      <w:r>
        <w:t xml:space="preserve"> means a licence of a RWWA key employee granted under regulation 15;</w:t>
      </w:r>
    </w:p>
    <w:p>
      <w:pPr>
        <w:pStyle w:val="Defstart"/>
      </w:pPr>
      <w:r>
        <w:rPr>
          <w:b/>
        </w:rPr>
        <w:tab/>
      </w:r>
      <w:r>
        <w:rPr>
          <w:rStyle w:val="CharDefText"/>
        </w:rPr>
        <w:t>Flexi Bet</w:t>
      </w:r>
      <w:r>
        <w:t xml:space="preserve"> means a method of wagering an amount on one or more combinations of outcomes, where the amount of the investment on each combination covered by the wager can be a percentage, or fraction of the unit of investment;</w:t>
      </w:r>
    </w:p>
    <w:p>
      <w:pPr>
        <w:pStyle w:val="Defstart"/>
      </w:pPr>
      <w:r>
        <w:rPr>
          <w:b/>
        </w:rPr>
        <w:tab/>
      </w:r>
      <w:r>
        <w:rPr>
          <w:rStyle w:val="CharDefText"/>
        </w:rPr>
        <w:t>investor</w:t>
      </w:r>
      <w:r>
        <w:t xml:space="preserve"> means a person who makes or offers to make or attempts to make a wager with or through RWWA and includes a depositor;</w:t>
      </w:r>
    </w:p>
    <w:p>
      <w:pPr>
        <w:pStyle w:val="Defstart"/>
      </w:pPr>
      <w:r>
        <w:rPr>
          <w:b/>
        </w:rPr>
        <w:tab/>
      </w:r>
      <w:r>
        <w:rPr>
          <w:rStyle w:val="CharDefText"/>
        </w:rPr>
        <w:t>licence</w:t>
      </w:r>
      <w:r>
        <w:t xml:space="preserve"> means a director’s licence or an employee’s licence;</w:t>
      </w:r>
    </w:p>
    <w:p>
      <w:pPr>
        <w:pStyle w:val="Defstart"/>
      </w:pPr>
      <w:r>
        <w:rPr>
          <w:b/>
        </w:rPr>
        <w:tab/>
      </w:r>
      <w:r>
        <w:rPr>
          <w:rStyle w:val="CharDefText"/>
        </w:rPr>
        <w:t>multi</w:t>
      </w:r>
      <w:r>
        <w:rPr>
          <w:rStyle w:val="CharDefText"/>
        </w:rPr>
        <w:noBreakHyphen/>
        <w:t>bet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r>
      <w:r>
        <w:rPr>
          <w:rStyle w:val="CharDefText"/>
        </w:rPr>
        <w:t>participant</w:t>
      </w:r>
      <w:r>
        <w:t>, in relation to a sporting event, means an individual or a team contesting the outcome of that sporting event, but does not include a horse or a greyhound;</w:t>
      </w:r>
    </w:p>
    <w:p>
      <w:pPr>
        <w:pStyle w:val="Defstart"/>
      </w:pPr>
      <w:r>
        <w:rPr>
          <w:b/>
        </w:rPr>
        <w:tab/>
      </w:r>
      <w:r>
        <w:rPr>
          <w:rStyle w:val="CharDefText"/>
        </w:rPr>
        <w:t>prescribed commission</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r>
      <w:r>
        <w:rPr>
          <w:rStyle w:val="CharDefText"/>
        </w:rPr>
        <w:t>runner</w:t>
      </w:r>
      <w:r>
        <w:t>, in relation to race, means a horse or greyhound participating in that race;</w:t>
      </w:r>
    </w:p>
    <w:p>
      <w:pPr>
        <w:pStyle w:val="Defstart"/>
      </w:pPr>
      <w:r>
        <w:rPr>
          <w:b/>
        </w:rPr>
        <w:tab/>
      </w:r>
      <w:r>
        <w:rPr>
          <w:rStyle w:val="CharDefText"/>
        </w:rPr>
        <w:t>RWWA key employee</w:t>
      </w:r>
      <w:r>
        <w:t xml:space="preserve"> has the same meaning as in section 24 of the Act;</w:t>
      </w:r>
    </w:p>
    <w:p>
      <w:pPr>
        <w:pStyle w:val="Defstart"/>
      </w:pPr>
      <w:r>
        <w:rPr>
          <w:b/>
        </w:rPr>
        <w:tab/>
      </w:r>
      <w:r>
        <w:rPr>
          <w:rStyle w:val="CharDefText"/>
        </w:rPr>
        <w:t>scheduled starting time</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r>
      <w:r>
        <w:rPr>
          <w:rStyle w:val="CharDefText"/>
        </w:rPr>
        <w:t>sporting event</w:t>
      </w:r>
      <w:r>
        <w:t xml:space="preserve"> means an event set out in paragraph (a) or (b) of the definition of </w:t>
      </w:r>
      <w:del w:id="65" w:author="Master Repository Process" w:date="2021-09-12T13:22:00Z">
        <w:r>
          <w:delText>“</w:delText>
        </w:r>
      </w:del>
      <w:r>
        <w:rPr>
          <w:b/>
          <w:bCs/>
          <w:i/>
          <w:iCs/>
        </w:rPr>
        <w:t>sporting event</w:t>
      </w:r>
      <w:del w:id="66" w:author="Master Repository Process" w:date="2021-09-12T13:22:00Z">
        <w:r>
          <w:delText>”</w:delText>
        </w:r>
      </w:del>
      <w:r>
        <w:t xml:space="preserve"> in section 3 of the Act, or prescribed in these regulations or the rules of wagering for the purposes of paragraph (c) of that definition;</w:t>
      </w:r>
    </w:p>
    <w:p>
      <w:pPr>
        <w:pStyle w:val="Defstart"/>
      </w:pPr>
      <w:r>
        <w:rPr>
          <w:b/>
        </w:rPr>
        <w:tab/>
      </w:r>
      <w:r>
        <w:rPr>
          <w:rStyle w:val="CharDefText"/>
        </w:rPr>
        <w:t>ticket</w:t>
      </w:r>
      <w:r>
        <w:t xml:space="preserve"> means a ticket issued to an investor and on which is recorded details of the wager or wagers made by that investor;</w:t>
      </w:r>
    </w:p>
    <w:p>
      <w:pPr>
        <w:pStyle w:val="Defstart"/>
      </w:pPr>
      <w:r>
        <w:rPr>
          <w:b/>
        </w:rPr>
        <w:tab/>
      </w:r>
      <w:r>
        <w:rPr>
          <w:rStyle w:val="CharDefText"/>
        </w:rPr>
        <w:t>unit</w:t>
      </w:r>
      <w:r>
        <w:t xml:space="preserve"> means a unit of an investment;</w:t>
      </w:r>
    </w:p>
    <w:p>
      <w:pPr>
        <w:pStyle w:val="Defstart"/>
      </w:pPr>
      <w:r>
        <w:rPr>
          <w:b/>
        </w:rPr>
        <w:tab/>
      </w:r>
      <w:r>
        <w:rPr>
          <w:rStyle w:val="CharDefText"/>
        </w:rPr>
        <w:t>wagering account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w:t>
      </w:r>
      <w:r>
        <w:noBreakHyphen/>
        <w:t>70; 18 Sep 2007 p. 4715.]</w:t>
      </w:r>
    </w:p>
    <w:p>
      <w:pPr>
        <w:pStyle w:val="Heading2"/>
      </w:pPr>
      <w:bookmarkStart w:id="67" w:name="_Toc116990469"/>
      <w:bookmarkStart w:id="68" w:name="_Toc117047652"/>
      <w:bookmarkStart w:id="69" w:name="_Toc124141909"/>
      <w:bookmarkStart w:id="70" w:name="_Toc124142035"/>
      <w:bookmarkStart w:id="71" w:name="_Toc134521129"/>
      <w:bookmarkStart w:id="72" w:name="_Toc146505604"/>
      <w:bookmarkStart w:id="73" w:name="_Toc146520660"/>
      <w:bookmarkStart w:id="74" w:name="_Toc148162435"/>
      <w:bookmarkStart w:id="75" w:name="_Toc150229095"/>
      <w:bookmarkStart w:id="76" w:name="_Toc151199767"/>
      <w:bookmarkStart w:id="77" w:name="_Toc151261183"/>
      <w:bookmarkStart w:id="78" w:name="_Toc155067106"/>
      <w:bookmarkStart w:id="79" w:name="_Toc155158294"/>
      <w:bookmarkStart w:id="80" w:name="_Toc177793052"/>
      <w:bookmarkStart w:id="81" w:name="_Toc177878064"/>
      <w:bookmarkStart w:id="82" w:name="_Toc179709097"/>
      <w:bookmarkStart w:id="83" w:name="_Toc184710059"/>
      <w:bookmarkStart w:id="84" w:name="_Toc184719149"/>
      <w:bookmarkStart w:id="85" w:name="_Toc185654701"/>
      <w:bookmarkStart w:id="86" w:name="_Toc212947117"/>
      <w:bookmarkStart w:id="87" w:name="_Toc220898808"/>
      <w:bookmarkStart w:id="88" w:name="_Toc220899416"/>
      <w:bookmarkStart w:id="89" w:name="_Toc220899616"/>
      <w:bookmarkStart w:id="90" w:name="_Toc232309939"/>
      <w:bookmarkStart w:id="91" w:name="_Toc233689242"/>
      <w:bookmarkStart w:id="92" w:name="_Toc348893789"/>
      <w:r>
        <w:rPr>
          <w:rStyle w:val="CharPartNo"/>
        </w:rPr>
        <w:t>Part 2</w:t>
      </w:r>
      <w:r>
        <w:rPr>
          <w:rStyle w:val="CharDivNo"/>
        </w:rPr>
        <w:t> </w:t>
      </w:r>
      <w:r>
        <w:t>—</w:t>
      </w:r>
      <w:r>
        <w:rPr>
          <w:rStyle w:val="CharDivText"/>
        </w:rPr>
        <w:t> </w:t>
      </w:r>
      <w:r>
        <w:rPr>
          <w:rStyle w:val="CharPartText"/>
        </w:rPr>
        <w:t>Licensing of directors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pPr>
        <w:pStyle w:val="Heading5"/>
      </w:pPr>
      <w:bookmarkStart w:id="93" w:name="_Toc44995634"/>
      <w:bookmarkStart w:id="94" w:name="_Toc124141910"/>
      <w:bookmarkStart w:id="95" w:name="_Toc233689243"/>
      <w:bookmarkStart w:id="96" w:name="_Toc348893790"/>
      <w:r>
        <w:rPr>
          <w:rStyle w:val="CharSectno"/>
        </w:rPr>
        <w:t>4</w:t>
      </w:r>
      <w:r>
        <w:t>.</w:t>
      </w:r>
      <w:r>
        <w:tab/>
        <w:t>Notifications by RWWA to Commission</w:t>
      </w:r>
      <w:bookmarkEnd w:id="93"/>
      <w:bookmarkEnd w:id="94"/>
      <w:bookmarkEnd w:id="95"/>
      <w:bookmarkEnd w:id="96"/>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97" w:name="_Hlt44816361"/>
      <w:bookmarkStart w:id="98" w:name="_Toc44995635"/>
      <w:bookmarkStart w:id="99" w:name="_Toc124141911"/>
      <w:bookmarkStart w:id="100" w:name="_Toc233689244"/>
      <w:bookmarkStart w:id="101" w:name="_Toc348893791"/>
      <w:bookmarkEnd w:id="97"/>
      <w:r>
        <w:rPr>
          <w:rStyle w:val="CharSectno"/>
        </w:rPr>
        <w:t>5</w:t>
      </w:r>
      <w:r>
        <w:t>.</w:t>
      </w:r>
      <w:r>
        <w:tab/>
        <w:t>Application for licence</w:t>
      </w:r>
      <w:bookmarkEnd w:id="98"/>
      <w:bookmarkEnd w:id="99"/>
      <w:bookmarkEnd w:id="100"/>
      <w:bookmarkEnd w:id="101"/>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102" w:name="_Toc44995636"/>
      <w:bookmarkStart w:id="103" w:name="_Toc124141912"/>
      <w:bookmarkStart w:id="104" w:name="_Toc233689245"/>
      <w:bookmarkStart w:id="105" w:name="_Toc348893792"/>
      <w:r>
        <w:rPr>
          <w:rStyle w:val="CharSectno"/>
        </w:rPr>
        <w:t>6</w:t>
      </w:r>
      <w:r>
        <w:t>.</w:t>
      </w:r>
      <w:r>
        <w:tab/>
        <w:t>Form of application</w:t>
      </w:r>
      <w:bookmarkEnd w:id="102"/>
      <w:bookmarkEnd w:id="103"/>
      <w:bookmarkEnd w:id="104"/>
      <w:bookmarkEnd w:id="105"/>
    </w:p>
    <w:p>
      <w:pPr>
        <w:pStyle w:val="Subsection"/>
      </w:pPr>
      <w:r>
        <w:tab/>
      </w:r>
      <w:bookmarkStart w:id="106" w:name="_Hlt44815682"/>
      <w:bookmarkEnd w:id="106"/>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107" w:name="_Hlt44815639"/>
      <w:r>
        <w:t>1</w:t>
      </w:r>
      <w:bookmarkEnd w:id="107"/>
      <w:r>
        <w:t>; and</w:t>
      </w:r>
    </w:p>
    <w:p>
      <w:pPr>
        <w:pStyle w:val="Indenti"/>
      </w:pPr>
      <w:r>
        <w:tab/>
        <w:t>(ii)</w:t>
      </w:r>
      <w:r>
        <w:tab/>
        <w:t>any records that the Commission may require either generally or in relation to a specific person or matter.</w:t>
      </w:r>
    </w:p>
    <w:p>
      <w:pPr>
        <w:pStyle w:val="Subsection"/>
      </w:pPr>
      <w:r>
        <w:tab/>
      </w:r>
      <w:bookmarkStart w:id="108" w:name="_Hlt44815686"/>
      <w:bookmarkEnd w:id="108"/>
      <w:r>
        <w:t>(2)</w:t>
      </w:r>
      <w:r>
        <w:tab/>
        <w:t>The Commission may at any time request an applicant to provide further information or further records and the applicant must comply with that request.</w:t>
      </w:r>
    </w:p>
    <w:p>
      <w:pPr>
        <w:pStyle w:val="Heading5"/>
      </w:pPr>
      <w:bookmarkStart w:id="109" w:name="_Toc44995637"/>
      <w:bookmarkStart w:id="110" w:name="_Toc124141913"/>
      <w:bookmarkStart w:id="111" w:name="_Toc233689246"/>
      <w:bookmarkStart w:id="112" w:name="_Toc348893793"/>
      <w:r>
        <w:rPr>
          <w:rStyle w:val="CharSectno"/>
        </w:rPr>
        <w:t>7</w:t>
      </w:r>
      <w:r>
        <w:t>.</w:t>
      </w:r>
      <w:r>
        <w:tab/>
        <w:t>Investigation by police</w:t>
      </w:r>
      <w:bookmarkEnd w:id="109"/>
      <w:bookmarkEnd w:id="110"/>
      <w:bookmarkEnd w:id="111"/>
      <w:bookmarkEnd w:id="112"/>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13" w:name="_Toc44995638"/>
      <w:bookmarkStart w:id="114" w:name="_Toc124141914"/>
      <w:bookmarkStart w:id="115" w:name="_Toc233689247"/>
      <w:bookmarkStart w:id="116" w:name="_Toc348893794"/>
      <w:r>
        <w:rPr>
          <w:rStyle w:val="CharSectno"/>
        </w:rPr>
        <w:t>8</w:t>
      </w:r>
      <w:r>
        <w:t>.</w:t>
      </w:r>
      <w:r>
        <w:tab/>
        <w:t>Commission may licence, or refuse to licence, director</w:t>
      </w:r>
      <w:bookmarkEnd w:id="113"/>
      <w:bookmarkEnd w:id="114"/>
      <w:bookmarkEnd w:id="115"/>
      <w:bookmarkEnd w:id="116"/>
    </w:p>
    <w:p>
      <w:pPr>
        <w:pStyle w:val="Subsection"/>
      </w:pPr>
      <w:r>
        <w:tab/>
        <w:t>(1)</w:t>
      </w:r>
      <w:r>
        <w:tab/>
        <w:t xml:space="preserve">If a director refuses or fails — </w:t>
      </w:r>
    </w:p>
    <w:p>
      <w:pPr>
        <w:pStyle w:val="Indenta"/>
      </w:pPr>
      <w:r>
        <w:tab/>
        <w:t>(a)</w:t>
      </w:r>
      <w:r>
        <w:tab/>
        <w:t>to apply for a licence under regulation </w:t>
      </w:r>
      <w:bookmarkStart w:id="117" w:name="_Hlt44816359"/>
      <w:r>
        <w:t>5</w:t>
      </w:r>
      <w:bookmarkEnd w:id="117"/>
      <w:r>
        <w:t xml:space="preserve"> or for renewal of a licence under regulation </w:t>
      </w:r>
      <w:bookmarkStart w:id="118" w:name="_Hlt44815689"/>
      <w:r>
        <w:t>10</w:t>
      </w:r>
      <w:bookmarkEnd w:id="118"/>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119" w:name="_Toc44995639"/>
      <w:bookmarkStart w:id="120" w:name="_Toc124141915"/>
      <w:bookmarkStart w:id="121" w:name="_Toc233689248"/>
      <w:bookmarkStart w:id="122" w:name="_Toc348893795"/>
      <w:r>
        <w:rPr>
          <w:rStyle w:val="CharSectno"/>
        </w:rPr>
        <w:t>9</w:t>
      </w:r>
      <w:r>
        <w:t>.</w:t>
      </w:r>
      <w:r>
        <w:tab/>
        <w:t>Duration of director’s licence</w:t>
      </w:r>
      <w:bookmarkEnd w:id="119"/>
      <w:bookmarkEnd w:id="120"/>
      <w:bookmarkEnd w:id="121"/>
      <w:bookmarkEnd w:id="122"/>
    </w:p>
    <w:p>
      <w:pPr>
        <w:pStyle w:val="Subsection"/>
      </w:pPr>
      <w:r>
        <w:tab/>
      </w:r>
      <w:r>
        <w:tab/>
        <w:t>Subject to these regulations and section 109K(3) of the Commission Act, a director’s licence remains in force for so long as the director holds office as a director.</w:t>
      </w:r>
    </w:p>
    <w:p>
      <w:pPr>
        <w:pStyle w:val="Heading5"/>
        <w:spacing w:before="180"/>
      </w:pPr>
      <w:bookmarkStart w:id="123" w:name="_Hlt44815691"/>
      <w:bookmarkStart w:id="124" w:name="_Toc44995640"/>
      <w:bookmarkStart w:id="125" w:name="_Toc124141916"/>
      <w:bookmarkStart w:id="126" w:name="_Toc233689249"/>
      <w:bookmarkStart w:id="127" w:name="_Toc348893796"/>
      <w:bookmarkEnd w:id="123"/>
      <w:r>
        <w:rPr>
          <w:rStyle w:val="CharSectno"/>
        </w:rPr>
        <w:t>10</w:t>
      </w:r>
      <w:r>
        <w:t>.</w:t>
      </w:r>
      <w:r>
        <w:tab/>
        <w:t>Renewal of licence</w:t>
      </w:r>
      <w:bookmarkEnd w:id="124"/>
      <w:bookmarkEnd w:id="125"/>
      <w:bookmarkEnd w:id="126"/>
      <w:bookmarkEnd w:id="127"/>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spacing w:before="180"/>
      </w:pPr>
      <w:bookmarkStart w:id="128" w:name="_Toc44995641"/>
      <w:bookmarkStart w:id="129" w:name="_Toc124141917"/>
      <w:bookmarkStart w:id="130" w:name="_Toc233689250"/>
      <w:bookmarkStart w:id="131" w:name="_Toc348893797"/>
      <w:r>
        <w:rPr>
          <w:rStyle w:val="CharSectno"/>
        </w:rPr>
        <w:t>11</w:t>
      </w:r>
      <w:r>
        <w:t>.</w:t>
      </w:r>
      <w:r>
        <w:tab/>
        <w:t>Further investigation</w:t>
      </w:r>
      <w:bookmarkEnd w:id="128"/>
      <w:bookmarkEnd w:id="129"/>
      <w:bookmarkEnd w:id="130"/>
      <w:bookmarkEnd w:id="131"/>
    </w:p>
    <w:p>
      <w:pPr>
        <w:pStyle w:val="Subsection"/>
      </w:pPr>
      <w:r>
        <w:tab/>
        <w:t>(1)</w:t>
      </w:r>
      <w:r>
        <w:tab/>
        <w:t>The Commission may at any time make further inquiries about the holder of a director’s licence.</w:t>
      </w:r>
    </w:p>
    <w:p>
      <w:pPr>
        <w:pStyle w:val="Subsection"/>
        <w:spacing w:before="120"/>
      </w:pPr>
      <w:r>
        <w:tab/>
        <w:t>(2)</w:t>
      </w:r>
      <w:r>
        <w:tab/>
        <w:t>The Commission may at any time request the holder of a director’s licence to provide further information or further records.</w:t>
      </w:r>
    </w:p>
    <w:p>
      <w:pPr>
        <w:pStyle w:val="Heading2"/>
      </w:pPr>
      <w:bookmarkStart w:id="132" w:name="_Toc116990478"/>
      <w:bookmarkStart w:id="133" w:name="_Toc117047661"/>
      <w:bookmarkStart w:id="134" w:name="_Toc124141918"/>
      <w:bookmarkStart w:id="135" w:name="_Toc124142044"/>
      <w:bookmarkStart w:id="136" w:name="_Toc134521138"/>
      <w:bookmarkStart w:id="137" w:name="_Toc146505613"/>
      <w:bookmarkStart w:id="138" w:name="_Toc146520669"/>
      <w:bookmarkStart w:id="139" w:name="_Toc148162444"/>
      <w:bookmarkStart w:id="140" w:name="_Toc150229104"/>
      <w:bookmarkStart w:id="141" w:name="_Toc151199776"/>
      <w:bookmarkStart w:id="142" w:name="_Toc151261192"/>
      <w:bookmarkStart w:id="143" w:name="_Toc155067115"/>
      <w:bookmarkStart w:id="144" w:name="_Toc155158303"/>
      <w:bookmarkStart w:id="145" w:name="_Toc177793061"/>
      <w:bookmarkStart w:id="146" w:name="_Toc177878073"/>
      <w:bookmarkStart w:id="147" w:name="_Toc179709106"/>
      <w:bookmarkStart w:id="148" w:name="_Toc184710068"/>
      <w:bookmarkStart w:id="149" w:name="_Toc184719158"/>
      <w:bookmarkStart w:id="150" w:name="_Toc185654710"/>
      <w:bookmarkStart w:id="151" w:name="_Toc212947126"/>
      <w:bookmarkStart w:id="152" w:name="_Toc220898817"/>
      <w:bookmarkStart w:id="153" w:name="_Toc220899425"/>
      <w:bookmarkStart w:id="154" w:name="_Toc220899625"/>
      <w:bookmarkStart w:id="155" w:name="_Toc232309948"/>
      <w:bookmarkStart w:id="156" w:name="_Toc233689251"/>
      <w:bookmarkStart w:id="157" w:name="_Toc348893798"/>
      <w:r>
        <w:rPr>
          <w:rStyle w:val="CharPartNo"/>
        </w:rPr>
        <w:t>Part 3</w:t>
      </w:r>
      <w:r>
        <w:rPr>
          <w:rStyle w:val="CharDivNo"/>
        </w:rPr>
        <w:t> </w:t>
      </w:r>
      <w:r>
        <w:t>—</w:t>
      </w:r>
      <w:r>
        <w:rPr>
          <w:rStyle w:val="CharDivText"/>
        </w:rPr>
        <w:t> </w:t>
      </w:r>
      <w:r>
        <w:rPr>
          <w:rStyle w:val="CharPartText"/>
        </w:rPr>
        <w:t>Licensing of RWWA key employees</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44995642"/>
      <w:bookmarkStart w:id="159" w:name="_Toc124141919"/>
      <w:bookmarkStart w:id="160" w:name="_Toc233689252"/>
      <w:bookmarkStart w:id="161" w:name="_Toc348893799"/>
      <w:r>
        <w:rPr>
          <w:rStyle w:val="CharSectno"/>
        </w:rPr>
        <w:t>12</w:t>
      </w:r>
      <w:r>
        <w:t>.</w:t>
      </w:r>
      <w:r>
        <w:tab/>
        <w:t>RWWA key employees taken to hold provisional licence</w:t>
      </w:r>
      <w:bookmarkEnd w:id="158"/>
      <w:bookmarkEnd w:id="159"/>
      <w:bookmarkEnd w:id="160"/>
      <w:bookmarkEnd w:id="161"/>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162" w:name="_Toc44995643"/>
      <w:bookmarkStart w:id="163" w:name="_Toc124141920"/>
      <w:bookmarkStart w:id="164" w:name="_Toc233689253"/>
      <w:bookmarkStart w:id="165" w:name="_Toc348893800"/>
      <w:r>
        <w:rPr>
          <w:rStyle w:val="CharSectno"/>
        </w:rPr>
        <w:t>13</w:t>
      </w:r>
      <w:r>
        <w:t>.</w:t>
      </w:r>
      <w:r>
        <w:tab/>
        <w:t>Application for employee’s licence</w:t>
      </w:r>
      <w:bookmarkEnd w:id="162"/>
      <w:bookmarkEnd w:id="163"/>
      <w:bookmarkEnd w:id="164"/>
      <w:bookmarkEnd w:id="165"/>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166" w:name="_Hlt44757577"/>
      <w:bookmarkEnd w:id="166"/>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167" w:name="_Toc44995644"/>
      <w:bookmarkStart w:id="168" w:name="_Toc124141921"/>
      <w:bookmarkStart w:id="169" w:name="_Toc233689254"/>
      <w:bookmarkStart w:id="170" w:name="_Toc348893801"/>
      <w:r>
        <w:rPr>
          <w:rStyle w:val="CharSectno"/>
        </w:rPr>
        <w:t>14</w:t>
      </w:r>
      <w:r>
        <w:t>.</w:t>
      </w:r>
      <w:r>
        <w:tab/>
        <w:t>Investigation by police</w:t>
      </w:r>
      <w:bookmarkEnd w:id="167"/>
      <w:bookmarkEnd w:id="168"/>
      <w:bookmarkEnd w:id="169"/>
      <w:bookmarkEnd w:id="170"/>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171" w:name="_Hlt44816333"/>
      <w:bookmarkStart w:id="172" w:name="_Toc44995645"/>
      <w:bookmarkStart w:id="173" w:name="_Toc124141922"/>
      <w:bookmarkStart w:id="174" w:name="_Toc233689255"/>
      <w:bookmarkStart w:id="175" w:name="_Toc348893802"/>
      <w:bookmarkEnd w:id="171"/>
      <w:r>
        <w:rPr>
          <w:rStyle w:val="CharSectno"/>
        </w:rPr>
        <w:t>15</w:t>
      </w:r>
      <w:r>
        <w:t>.</w:t>
      </w:r>
      <w:r>
        <w:tab/>
        <w:t>Commission may licence, or refuse to licence, employee</w:t>
      </w:r>
      <w:bookmarkEnd w:id="172"/>
      <w:bookmarkEnd w:id="173"/>
      <w:bookmarkEnd w:id="174"/>
      <w:bookmarkEnd w:id="175"/>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keepNext/>
        <w:keepLines/>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176" w:name="_Toc44995646"/>
      <w:bookmarkStart w:id="177" w:name="_Toc124141923"/>
      <w:bookmarkStart w:id="178" w:name="_Toc233689256"/>
      <w:bookmarkStart w:id="179" w:name="_Toc348893803"/>
      <w:r>
        <w:rPr>
          <w:rStyle w:val="CharSectno"/>
        </w:rPr>
        <w:t>16</w:t>
      </w:r>
      <w:r>
        <w:t>.</w:t>
      </w:r>
      <w:r>
        <w:tab/>
        <w:t>Person may reapply for licence</w:t>
      </w:r>
      <w:bookmarkEnd w:id="176"/>
      <w:bookmarkEnd w:id="177"/>
      <w:bookmarkEnd w:id="178"/>
      <w:bookmarkEnd w:id="179"/>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180" w:name="_Toc44995647"/>
      <w:bookmarkStart w:id="181" w:name="_Toc124141924"/>
      <w:bookmarkStart w:id="182" w:name="_Toc233689257"/>
      <w:bookmarkStart w:id="183" w:name="_Toc348893804"/>
      <w:r>
        <w:rPr>
          <w:rStyle w:val="CharSectno"/>
        </w:rPr>
        <w:t>17</w:t>
      </w:r>
      <w:r>
        <w:t>.</w:t>
      </w:r>
      <w:r>
        <w:tab/>
        <w:t>RWWA must not employ person who has been refused an employee’s licence</w:t>
      </w:r>
      <w:bookmarkEnd w:id="180"/>
      <w:bookmarkEnd w:id="181"/>
      <w:bookmarkEnd w:id="182"/>
      <w:bookmarkEnd w:id="183"/>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184" w:name="_Toc44995648"/>
      <w:bookmarkStart w:id="185" w:name="_Toc124141925"/>
      <w:bookmarkStart w:id="186" w:name="_Toc233689258"/>
      <w:bookmarkStart w:id="187" w:name="_Toc348893805"/>
      <w:r>
        <w:rPr>
          <w:rStyle w:val="CharSectno"/>
        </w:rPr>
        <w:t>18</w:t>
      </w:r>
      <w:r>
        <w:t>.</w:t>
      </w:r>
      <w:r>
        <w:tab/>
        <w:t>Duration of employee’s licence</w:t>
      </w:r>
      <w:bookmarkEnd w:id="184"/>
      <w:bookmarkEnd w:id="185"/>
      <w:bookmarkEnd w:id="186"/>
      <w:bookmarkEnd w:id="187"/>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188" w:name="_Toc44995649"/>
      <w:bookmarkStart w:id="189" w:name="_Toc124141926"/>
      <w:bookmarkStart w:id="190" w:name="_Toc233689259"/>
      <w:bookmarkStart w:id="191" w:name="_Toc348893806"/>
      <w:r>
        <w:rPr>
          <w:rStyle w:val="CharSectno"/>
        </w:rPr>
        <w:t>19</w:t>
      </w:r>
      <w:r>
        <w:t>.</w:t>
      </w:r>
      <w:r>
        <w:tab/>
        <w:t>Disciplinary action</w:t>
      </w:r>
      <w:bookmarkEnd w:id="188"/>
      <w:bookmarkEnd w:id="189"/>
      <w:bookmarkEnd w:id="190"/>
      <w:bookmarkEnd w:id="191"/>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keepNext/>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192" w:name="_Toc44995650"/>
      <w:bookmarkStart w:id="193" w:name="_Toc124141927"/>
      <w:bookmarkStart w:id="194" w:name="_Toc233689260"/>
      <w:bookmarkStart w:id="195" w:name="_Toc348893807"/>
      <w:r>
        <w:rPr>
          <w:rStyle w:val="CharSectno"/>
        </w:rPr>
        <w:t>20</w:t>
      </w:r>
      <w:r>
        <w:t>.</w:t>
      </w:r>
      <w:r>
        <w:tab/>
        <w:t>Surrender of licence</w:t>
      </w:r>
      <w:bookmarkEnd w:id="192"/>
      <w:bookmarkEnd w:id="193"/>
      <w:bookmarkEnd w:id="194"/>
      <w:bookmarkEnd w:id="195"/>
    </w:p>
    <w:p>
      <w:pPr>
        <w:pStyle w:val="Subsection"/>
      </w:pPr>
      <w:r>
        <w:tab/>
      </w:r>
      <w:r>
        <w:tab/>
        <w:t>The holder of an employee’s licence may, by written notice given to the Commission, surrender the licence.</w:t>
      </w:r>
    </w:p>
    <w:p>
      <w:pPr>
        <w:pStyle w:val="Heading5"/>
        <w:keepLines w:val="0"/>
      </w:pPr>
      <w:bookmarkStart w:id="196" w:name="_Toc44995651"/>
      <w:bookmarkStart w:id="197" w:name="_Toc124141928"/>
      <w:bookmarkStart w:id="198" w:name="_Toc233689261"/>
      <w:bookmarkStart w:id="199" w:name="_Toc348893808"/>
      <w:r>
        <w:rPr>
          <w:rStyle w:val="CharSectno"/>
        </w:rPr>
        <w:t>21</w:t>
      </w:r>
      <w:r>
        <w:t>.</w:t>
      </w:r>
      <w:r>
        <w:tab/>
        <w:t>Notification of termination of employment</w:t>
      </w:r>
      <w:bookmarkEnd w:id="196"/>
      <w:bookmarkEnd w:id="197"/>
      <w:bookmarkEnd w:id="198"/>
      <w:bookmarkEnd w:id="199"/>
    </w:p>
    <w:p>
      <w:pPr>
        <w:pStyle w:val="Subsection"/>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200" w:name="_Toc44995652"/>
      <w:bookmarkStart w:id="201" w:name="_Toc124141929"/>
      <w:bookmarkStart w:id="202" w:name="_Toc233689262"/>
      <w:bookmarkStart w:id="203" w:name="_Toc348893809"/>
      <w:r>
        <w:rPr>
          <w:rStyle w:val="CharSectno"/>
        </w:rPr>
        <w:t>22</w:t>
      </w:r>
      <w:r>
        <w:t>.</w:t>
      </w:r>
      <w:r>
        <w:tab/>
        <w:t>Further investigation</w:t>
      </w:r>
      <w:bookmarkEnd w:id="200"/>
      <w:bookmarkEnd w:id="201"/>
      <w:bookmarkEnd w:id="202"/>
      <w:bookmarkEnd w:id="203"/>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204" w:name="_Toc116990490"/>
      <w:bookmarkStart w:id="205" w:name="_Toc117047673"/>
      <w:bookmarkStart w:id="206" w:name="_Toc124141930"/>
      <w:bookmarkStart w:id="207" w:name="_Toc124142056"/>
      <w:bookmarkStart w:id="208" w:name="_Toc134521150"/>
      <w:bookmarkStart w:id="209" w:name="_Toc146505625"/>
      <w:bookmarkStart w:id="210" w:name="_Toc146520681"/>
      <w:bookmarkStart w:id="211" w:name="_Toc148162456"/>
      <w:bookmarkStart w:id="212" w:name="_Toc150229116"/>
      <w:bookmarkStart w:id="213" w:name="_Toc151199788"/>
      <w:bookmarkStart w:id="214" w:name="_Toc151261204"/>
      <w:bookmarkStart w:id="215" w:name="_Toc155067127"/>
      <w:bookmarkStart w:id="216" w:name="_Toc155158315"/>
      <w:bookmarkStart w:id="217" w:name="_Toc177793073"/>
      <w:bookmarkStart w:id="218" w:name="_Toc177878085"/>
      <w:bookmarkStart w:id="219" w:name="_Toc179709118"/>
      <w:bookmarkStart w:id="220" w:name="_Toc184710080"/>
      <w:bookmarkStart w:id="221" w:name="_Toc184719170"/>
      <w:bookmarkStart w:id="222" w:name="_Toc185654722"/>
      <w:bookmarkStart w:id="223" w:name="_Toc212947138"/>
      <w:bookmarkStart w:id="224" w:name="_Toc220898829"/>
      <w:bookmarkStart w:id="225" w:name="_Toc220899437"/>
      <w:bookmarkStart w:id="226" w:name="_Toc220899637"/>
      <w:bookmarkStart w:id="227" w:name="_Toc232309960"/>
      <w:bookmarkStart w:id="228" w:name="_Toc233689263"/>
      <w:bookmarkStart w:id="229" w:name="_Toc348893810"/>
      <w:r>
        <w:rPr>
          <w:rStyle w:val="CharPartNo"/>
        </w:rPr>
        <w:t>Part 4</w:t>
      </w:r>
      <w:r>
        <w:rPr>
          <w:rStyle w:val="CharDivNo"/>
        </w:rPr>
        <w:t> </w:t>
      </w:r>
      <w:r>
        <w:t>—</w:t>
      </w:r>
      <w:r>
        <w:rPr>
          <w:rStyle w:val="CharDivText"/>
        </w:rPr>
        <w:t> </w:t>
      </w:r>
      <w:r>
        <w:rPr>
          <w:rStyle w:val="CharPartText"/>
        </w:rPr>
        <w:t>Offences</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Footnoteheading"/>
        <w:tabs>
          <w:tab w:val="left" w:pos="851"/>
        </w:tabs>
      </w:pPr>
      <w:r>
        <w:tab/>
        <w:t>[Heading inserted in Gazette 30 Jan 2004 p. 360.]</w:t>
      </w:r>
    </w:p>
    <w:p>
      <w:pPr>
        <w:pStyle w:val="Heading5"/>
        <w:spacing w:before="180"/>
      </w:pPr>
      <w:bookmarkStart w:id="230" w:name="_Toc44995653"/>
      <w:bookmarkStart w:id="231" w:name="_Toc124141931"/>
      <w:bookmarkStart w:id="232" w:name="_Toc233689264"/>
      <w:bookmarkStart w:id="233" w:name="_Toc348893811"/>
      <w:r>
        <w:rPr>
          <w:rStyle w:val="CharSectno"/>
        </w:rPr>
        <w:t>23</w:t>
      </w:r>
      <w:r>
        <w:t>.</w:t>
      </w:r>
      <w:r>
        <w:tab/>
        <w:t>Offence relating to misleading information</w:t>
      </w:r>
      <w:bookmarkEnd w:id="230"/>
      <w:bookmarkEnd w:id="231"/>
      <w:bookmarkEnd w:id="232"/>
      <w:bookmarkEnd w:id="233"/>
    </w:p>
    <w:p>
      <w:pPr>
        <w:pStyle w:val="Subsection"/>
        <w:spacing w:before="120"/>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spacing w:before="180"/>
      </w:pPr>
      <w:bookmarkStart w:id="234" w:name="_Toc44995654"/>
      <w:bookmarkStart w:id="235" w:name="_Toc124141932"/>
      <w:bookmarkStart w:id="236" w:name="_Toc233689265"/>
      <w:bookmarkStart w:id="237" w:name="_Toc348893812"/>
      <w:r>
        <w:rPr>
          <w:rStyle w:val="CharSectno"/>
        </w:rPr>
        <w:t>24</w:t>
      </w:r>
      <w:r>
        <w:t>.</w:t>
      </w:r>
      <w:r>
        <w:tab/>
        <w:t>Notification of conviction</w:t>
      </w:r>
      <w:bookmarkEnd w:id="234"/>
      <w:bookmarkEnd w:id="235"/>
      <w:bookmarkEnd w:id="236"/>
      <w:bookmarkEnd w:id="237"/>
    </w:p>
    <w:p>
      <w:pPr>
        <w:pStyle w:val="Subsection"/>
        <w:spacing w:before="120"/>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spacing w:before="120"/>
      </w:pPr>
      <w:r>
        <w:tab/>
        <w:t>(2)</w:t>
      </w:r>
      <w:r>
        <w:tab/>
        <w:t>If RWWA becomes aware that the holder of a licence has been convicted of an offence, RWWA must give the Commission written notice of the conviction within 7 days of becoming aware of the conviction.</w:t>
      </w:r>
    </w:p>
    <w:p>
      <w:pPr>
        <w:pStyle w:val="Penstart"/>
        <w:spacing w:before="60"/>
      </w:pPr>
      <w:r>
        <w:tab/>
        <w:t>Penalty: $500.</w:t>
      </w:r>
    </w:p>
    <w:p>
      <w:pPr>
        <w:pStyle w:val="Heading5"/>
      </w:pPr>
      <w:bookmarkStart w:id="238" w:name="_Toc233689266"/>
      <w:bookmarkStart w:id="239" w:name="_Toc348893813"/>
      <w:r>
        <w:rPr>
          <w:rStyle w:val="CharSectno"/>
        </w:rPr>
        <w:t>24A</w:t>
      </w:r>
      <w:r>
        <w:t>.</w:t>
      </w:r>
      <w:r>
        <w:tab/>
        <w:t>Offences relating to making and accepting wagers</w:t>
      </w:r>
      <w:bookmarkEnd w:id="238"/>
      <w:bookmarkEnd w:id="239"/>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240" w:name="_Toc116990493"/>
      <w:bookmarkStart w:id="241" w:name="_Toc117047676"/>
      <w:bookmarkStart w:id="242" w:name="_Toc124141933"/>
      <w:bookmarkStart w:id="243" w:name="_Toc124142059"/>
      <w:bookmarkStart w:id="244" w:name="_Toc134521154"/>
      <w:bookmarkStart w:id="245" w:name="_Toc146505629"/>
      <w:bookmarkStart w:id="246" w:name="_Toc146520685"/>
      <w:bookmarkStart w:id="247" w:name="_Toc148162460"/>
      <w:bookmarkStart w:id="248" w:name="_Toc150229120"/>
      <w:bookmarkStart w:id="249" w:name="_Toc151199792"/>
      <w:bookmarkStart w:id="250" w:name="_Toc151261208"/>
      <w:bookmarkStart w:id="251" w:name="_Toc155067131"/>
      <w:bookmarkStart w:id="252" w:name="_Toc155158319"/>
      <w:bookmarkStart w:id="253" w:name="_Toc177793077"/>
      <w:bookmarkStart w:id="254" w:name="_Toc177878089"/>
      <w:bookmarkStart w:id="255" w:name="_Toc179709122"/>
      <w:bookmarkStart w:id="256" w:name="_Toc184710084"/>
      <w:bookmarkStart w:id="257" w:name="_Toc184719174"/>
      <w:bookmarkStart w:id="258" w:name="_Toc185654726"/>
      <w:bookmarkStart w:id="259" w:name="_Toc212947142"/>
      <w:bookmarkStart w:id="260" w:name="_Toc220898833"/>
      <w:bookmarkStart w:id="261" w:name="_Toc220899441"/>
      <w:bookmarkStart w:id="262" w:name="_Toc220899641"/>
      <w:bookmarkStart w:id="263" w:name="_Toc232309964"/>
      <w:bookmarkStart w:id="264" w:name="_Toc233689267"/>
      <w:bookmarkStart w:id="265" w:name="_Toc348893814"/>
      <w:bookmarkStart w:id="266" w:name="_Toc44995655"/>
      <w:r>
        <w:rPr>
          <w:rStyle w:val="CharPartNo"/>
        </w:rPr>
        <w:t>Part 5</w:t>
      </w:r>
      <w:r>
        <w:rPr>
          <w:rStyle w:val="CharDivNo"/>
        </w:rPr>
        <w:t> </w:t>
      </w:r>
      <w:r>
        <w:t>—</w:t>
      </w:r>
      <w:r>
        <w:rPr>
          <w:rStyle w:val="CharDivText"/>
        </w:rPr>
        <w:t> </w:t>
      </w:r>
      <w:r>
        <w:rPr>
          <w:rStyle w:val="CharPartText"/>
        </w:rPr>
        <w:t>Fees and taxes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Footnoteheading"/>
        <w:tabs>
          <w:tab w:val="left" w:pos="851"/>
        </w:tabs>
      </w:pPr>
      <w:r>
        <w:tab/>
        <w:t>[Heading inserted in Gazette 30 Jan 2004 p. 360.]</w:t>
      </w:r>
    </w:p>
    <w:p>
      <w:pPr>
        <w:pStyle w:val="Heading5"/>
      </w:pPr>
      <w:bookmarkStart w:id="267" w:name="_Toc124141934"/>
      <w:bookmarkStart w:id="268" w:name="_Toc233689268"/>
      <w:bookmarkStart w:id="269" w:name="_Toc348893815"/>
      <w:r>
        <w:rPr>
          <w:rStyle w:val="CharSectno"/>
        </w:rPr>
        <w:t>25</w:t>
      </w:r>
      <w:r>
        <w:t>.</w:t>
      </w:r>
      <w:r>
        <w:tab/>
        <w:t>Section 53 fee</w:t>
      </w:r>
      <w:bookmarkEnd w:id="266"/>
      <w:bookmarkEnd w:id="267"/>
      <w:bookmarkEnd w:id="268"/>
      <w:bookmarkEnd w:id="269"/>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270" w:name="_Toc124141935"/>
      <w:bookmarkStart w:id="271" w:name="_Toc233689269"/>
      <w:bookmarkStart w:id="272" w:name="_Toc348893816"/>
      <w:r>
        <w:rPr>
          <w:rStyle w:val="CharSectno"/>
        </w:rPr>
        <w:t>26</w:t>
      </w:r>
      <w:r>
        <w:t>.</w:t>
      </w:r>
      <w:r>
        <w:tab/>
        <w:t>RWWA wagering tax</w:t>
      </w:r>
      <w:bookmarkEnd w:id="270"/>
      <w:bookmarkEnd w:id="271"/>
      <w:bookmarkEnd w:id="272"/>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273" w:name="_Toc116990496"/>
      <w:bookmarkStart w:id="274" w:name="_Toc117047679"/>
      <w:bookmarkStart w:id="275" w:name="_Toc124141936"/>
      <w:bookmarkStart w:id="276" w:name="_Toc124142062"/>
      <w:bookmarkStart w:id="277" w:name="_Toc134521157"/>
      <w:bookmarkStart w:id="278" w:name="_Toc146505632"/>
      <w:bookmarkStart w:id="279" w:name="_Toc146520688"/>
      <w:bookmarkStart w:id="280" w:name="_Toc148162463"/>
      <w:bookmarkStart w:id="281" w:name="_Toc150229123"/>
      <w:bookmarkStart w:id="282" w:name="_Toc151199795"/>
      <w:bookmarkStart w:id="283" w:name="_Toc151261211"/>
      <w:bookmarkStart w:id="284" w:name="_Toc155067134"/>
      <w:bookmarkStart w:id="285" w:name="_Toc155158322"/>
      <w:bookmarkStart w:id="286" w:name="_Toc177793080"/>
      <w:bookmarkStart w:id="287" w:name="_Toc177878092"/>
      <w:bookmarkStart w:id="288" w:name="_Toc179709125"/>
      <w:bookmarkStart w:id="289" w:name="_Toc184710087"/>
      <w:bookmarkStart w:id="290" w:name="_Toc184719177"/>
      <w:bookmarkStart w:id="291" w:name="_Toc185654729"/>
      <w:bookmarkStart w:id="292" w:name="_Toc212947145"/>
      <w:bookmarkStart w:id="293" w:name="_Toc220898836"/>
      <w:bookmarkStart w:id="294" w:name="_Toc220899444"/>
      <w:bookmarkStart w:id="295" w:name="_Toc220899644"/>
      <w:bookmarkStart w:id="296" w:name="_Toc232309967"/>
      <w:bookmarkStart w:id="297" w:name="_Toc233689270"/>
      <w:bookmarkStart w:id="298" w:name="_Toc348893817"/>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Footnoteheading"/>
        <w:tabs>
          <w:tab w:val="left" w:pos="851"/>
        </w:tabs>
      </w:pPr>
      <w:r>
        <w:tab/>
        <w:t>[Heading inserted in Gazette 30 Jan 2004 p. 361.]</w:t>
      </w:r>
    </w:p>
    <w:p>
      <w:pPr>
        <w:pStyle w:val="Heading5"/>
        <w:spacing w:before="180"/>
      </w:pPr>
      <w:bookmarkStart w:id="299" w:name="_Toc124141937"/>
      <w:bookmarkStart w:id="300" w:name="_Toc233689271"/>
      <w:bookmarkStart w:id="301" w:name="_Toc348893818"/>
      <w:r>
        <w:rPr>
          <w:rStyle w:val="CharSectno"/>
        </w:rPr>
        <w:t>27</w:t>
      </w:r>
      <w:r>
        <w:t>.</w:t>
      </w:r>
      <w:r>
        <w:tab/>
        <w:t>Persons excluded from totalisator agencies</w:t>
      </w:r>
      <w:bookmarkEnd w:id="299"/>
      <w:bookmarkEnd w:id="300"/>
      <w:bookmarkEnd w:id="301"/>
    </w:p>
    <w:p>
      <w:pPr>
        <w:pStyle w:val="Subsection"/>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spacing w:before="120"/>
      </w:pPr>
      <w:r>
        <w:tab/>
        <w:t>(3)</w:t>
      </w:r>
      <w:r>
        <w:tab/>
        <w:t>A person who is in a totalisator agency in contravention of subregulation (1) or (2) may be removed by a member, officer, employee or agent of RWWA or by a member of the police force of the State.</w:t>
      </w:r>
    </w:p>
    <w:p>
      <w:pPr>
        <w:pStyle w:val="Footnotesection"/>
        <w:spacing w:before="80"/>
        <w:ind w:left="890" w:hanging="890"/>
      </w:pPr>
      <w:r>
        <w:tab/>
        <w:t>[Regulation 27 inserted in Gazette 30 Jan 2004 p. 361</w:t>
      </w:r>
      <w:r>
        <w:noBreakHyphen/>
        <w:t>2; amended in Gazette 5 May 2006 p. 1738.]</w:t>
      </w:r>
    </w:p>
    <w:p>
      <w:pPr>
        <w:pStyle w:val="Heading5"/>
      </w:pPr>
      <w:bookmarkStart w:id="302" w:name="_Toc124141938"/>
      <w:bookmarkStart w:id="303" w:name="_Toc233689272"/>
      <w:bookmarkStart w:id="304" w:name="_Toc348893819"/>
      <w:r>
        <w:rPr>
          <w:rStyle w:val="CharSectno"/>
        </w:rPr>
        <w:t>28</w:t>
      </w:r>
      <w:r>
        <w:t>.</w:t>
      </w:r>
      <w:r>
        <w:tab/>
        <w:t>Person making wager bound by these regulations, the rules of wagering and instructions</w:t>
      </w:r>
      <w:bookmarkEnd w:id="302"/>
      <w:bookmarkEnd w:id="303"/>
      <w:bookmarkEnd w:id="304"/>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305" w:name="_Toc124141939"/>
      <w:bookmarkStart w:id="306" w:name="_Toc233689273"/>
      <w:bookmarkStart w:id="307" w:name="_Toc348893820"/>
      <w:r>
        <w:rPr>
          <w:rStyle w:val="CharSectno"/>
        </w:rPr>
        <w:t>29</w:t>
      </w:r>
      <w:r>
        <w:t>.</w:t>
      </w:r>
      <w:r>
        <w:tab/>
        <w:t>Wagers accepted subject to the rules and these regulations</w:t>
      </w:r>
      <w:bookmarkEnd w:id="305"/>
      <w:bookmarkEnd w:id="306"/>
      <w:bookmarkEnd w:id="307"/>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308" w:name="_Toc124141940"/>
      <w:bookmarkStart w:id="309" w:name="_Toc233689274"/>
      <w:bookmarkStart w:id="310" w:name="_Toc348893821"/>
      <w:r>
        <w:rPr>
          <w:rStyle w:val="CharSectno"/>
        </w:rPr>
        <w:t>30</w:t>
      </w:r>
      <w:r>
        <w:t>.</w:t>
      </w:r>
      <w:r>
        <w:tab/>
        <w:t>All wagers to be 50 cents or multiples of 50</w:t>
      </w:r>
      <w:del w:id="311" w:author="Master Repository Process" w:date="2021-09-12T13:22:00Z">
        <w:r>
          <w:delText xml:space="preserve"> </w:delText>
        </w:r>
      </w:del>
      <w:ins w:id="312" w:author="Master Repository Process" w:date="2021-09-12T13:22:00Z">
        <w:r>
          <w:t> </w:t>
        </w:r>
      </w:ins>
      <w:r>
        <w:t>cents</w:t>
      </w:r>
      <w:bookmarkEnd w:id="308"/>
      <w:bookmarkEnd w:id="309"/>
      <w:bookmarkEnd w:id="310"/>
    </w:p>
    <w:p>
      <w:pPr>
        <w:pStyle w:val="Subsection"/>
      </w:pPr>
      <w:r>
        <w:tab/>
        <w:t>(1)</w:t>
      </w:r>
      <w:r>
        <w:tab/>
        <w:t>Subject to subregulation (3), the minimum wager that may be made with or through RWWA is to be a unit of 50 cents and larger wagers are to be made in multiples of 50</w:t>
      </w:r>
      <w:del w:id="313" w:author="Master Repository Process" w:date="2021-09-12T13:22:00Z">
        <w:r>
          <w:delText xml:space="preserve"> </w:delText>
        </w:r>
      </w:del>
      <w:ins w:id="314" w:author="Master Repository Process" w:date="2021-09-12T13:22:00Z">
        <w:r>
          <w:t> </w:t>
        </w:r>
      </w:ins>
      <w:r>
        <w:t>cents.</w:t>
      </w:r>
    </w:p>
    <w:p>
      <w:pPr>
        <w:pStyle w:val="Subsection"/>
      </w:pPr>
      <w:r>
        <w:tab/>
        <w:t>(2)</w:t>
      </w:r>
      <w:r>
        <w:tab/>
        <w:t>Dividends are to be rounded down if the total dividend payable would not be divisible by 5</w:t>
      </w:r>
      <w:del w:id="315" w:author="Master Repository Process" w:date="2021-09-12T13:22:00Z">
        <w:r>
          <w:delText xml:space="preserve"> </w:delText>
        </w:r>
      </w:del>
      <w:ins w:id="316" w:author="Master Repository Process" w:date="2021-09-12T13:22:00Z">
        <w:r>
          <w:t> </w:t>
        </w:r>
      </w:ins>
      <w:r>
        <w:t>cents.</w:t>
      </w:r>
    </w:p>
    <w:p>
      <w:pPr>
        <w:pStyle w:val="Subsection"/>
      </w:pPr>
      <w:r>
        <w:tab/>
        <w:t>(3)</w:t>
      </w:r>
      <w:r>
        <w:tab/>
        <w:t xml:space="preserve">The minimum amount of a Flexi Bet made with or through RWWA is an amount determined by reference to the </w:t>
      </w:r>
      <w:del w:id="317" w:author="Master Repository Process" w:date="2021-09-12T13:22:00Z">
        <w:r>
          <w:delText>Rules</w:delText>
        </w:r>
      </w:del>
      <w:ins w:id="318" w:author="Master Repository Process" w:date="2021-09-12T13:22:00Z">
        <w:r>
          <w:t>rules</w:t>
        </w:r>
      </w:ins>
      <w:r>
        <w:t xml:space="preserve"> of </w:t>
      </w:r>
      <w:del w:id="319" w:author="Master Repository Process" w:date="2021-09-12T13:22:00Z">
        <w:r>
          <w:delText>Wagering</w:delText>
        </w:r>
      </w:del>
      <w:ins w:id="320" w:author="Master Repository Process" w:date="2021-09-12T13:22:00Z">
        <w:r>
          <w:t>wagering</w:t>
        </w:r>
      </w:ins>
      <w:r>
        <w:t>.</w:t>
      </w:r>
    </w:p>
    <w:p>
      <w:pPr>
        <w:pStyle w:val="Footnotesection"/>
      </w:pPr>
      <w:r>
        <w:tab/>
        <w:t>[Regulation 30 inserted in Gazette 30 Jan 2004 p. 363</w:t>
      </w:r>
      <w:r>
        <w:noBreakHyphen/>
        <w:t>4; amended in Gazette 5 May 2006 p. 1738; 18 Sep 2007 p. 4715</w:t>
      </w:r>
      <w:r>
        <w:noBreakHyphen/>
        <w:t>16.]</w:t>
      </w:r>
    </w:p>
    <w:p>
      <w:pPr>
        <w:pStyle w:val="Heading5"/>
      </w:pPr>
      <w:bookmarkStart w:id="321" w:name="_Toc124141941"/>
      <w:bookmarkStart w:id="322" w:name="_Toc233689275"/>
      <w:bookmarkStart w:id="323" w:name="_Toc348893822"/>
      <w:r>
        <w:rPr>
          <w:rStyle w:val="CharSectno"/>
        </w:rPr>
        <w:t>31</w:t>
      </w:r>
      <w:r>
        <w:t>.</w:t>
      </w:r>
      <w:r>
        <w:tab/>
        <w:t>Dividend as declared</w:t>
      </w:r>
      <w:bookmarkEnd w:id="321"/>
      <w:bookmarkEnd w:id="322"/>
      <w:bookmarkEnd w:id="323"/>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spacing w:before="100"/>
      </w:pPr>
      <w:r>
        <w:tab/>
        <w:t>(a)</w:t>
      </w:r>
      <w:r>
        <w:tab/>
        <w:t>after allowing for refunds, deduct the prescribed commission from the sum of the wagers included in the totalisator pool;</w:t>
      </w:r>
    </w:p>
    <w:p>
      <w:pPr>
        <w:pStyle w:val="Indenta"/>
        <w:spacing w:before="100"/>
      </w:pPr>
      <w:r>
        <w:tab/>
        <w:t>(b)</w:t>
      </w:r>
      <w:r>
        <w:tab/>
        <w:t>add any jackpot under these regulations or the rules of wagering, or any supplementary amount set aside for that purpose under section 103 of the Act; and</w:t>
      </w:r>
    </w:p>
    <w:p>
      <w:pPr>
        <w:pStyle w:val="Indenta"/>
        <w:spacing w:before="100"/>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spacing w:before="100"/>
      </w:pPr>
      <w:r>
        <w:tab/>
        <w:t>(a)</w:t>
      </w:r>
      <w:r>
        <w:tab/>
        <w:t>is not to be less than 50 cents; and</w:t>
      </w:r>
    </w:p>
    <w:p>
      <w:pPr>
        <w:pStyle w:val="Indenta"/>
        <w:spacing w:before="100"/>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324" w:name="_Toc124141942"/>
      <w:bookmarkStart w:id="325" w:name="_Toc233689276"/>
      <w:bookmarkStart w:id="326" w:name="_Toc348893823"/>
      <w:r>
        <w:rPr>
          <w:rStyle w:val="CharSectno"/>
        </w:rPr>
        <w:t>32</w:t>
      </w:r>
      <w:r>
        <w:t>.</w:t>
      </w:r>
      <w:r>
        <w:tab/>
        <w:t>Wagers may be refused</w:t>
      </w:r>
      <w:bookmarkEnd w:id="324"/>
      <w:bookmarkEnd w:id="325"/>
      <w:bookmarkEnd w:id="326"/>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327" w:name="_Toc124141943"/>
      <w:bookmarkStart w:id="328" w:name="_Toc233689277"/>
      <w:bookmarkStart w:id="329" w:name="_Toc348893824"/>
      <w:r>
        <w:rPr>
          <w:rStyle w:val="CharSectno"/>
        </w:rPr>
        <w:t>33</w:t>
      </w:r>
      <w:r>
        <w:t>.</w:t>
      </w:r>
      <w:r>
        <w:tab/>
        <w:t>Only authorised wagers to be accepted</w:t>
      </w:r>
      <w:bookmarkEnd w:id="327"/>
      <w:bookmarkEnd w:id="328"/>
      <w:bookmarkEnd w:id="329"/>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330" w:name="_Toc124141944"/>
      <w:bookmarkStart w:id="331" w:name="_Toc233689278"/>
      <w:bookmarkStart w:id="332" w:name="_Toc348893825"/>
      <w:r>
        <w:rPr>
          <w:rStyle w:val="CharSectno"/>
        </w:rPr>
        <w:t>34</w:t>
      </w:r>
      <w:r>
        <w:t>.</w:t>
      </w:r>
      <w:r>
        <w:tab/>
        <w:t>Hours for opening</w:t>
      </w:r>
      <w:bookmarkEnd w:id="330"/>
      <w:bookmarkEnd w:id="331"/>
      <w:bookmarkEnd w:id="332"/>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 wagers or wagers of a particular kind.</w:t>
      </w:r>
    </w:p>
    <w:p>
      <w:pPr>
        <w:pStyle w:val="Footnotesection"/>
      </w:pPr>
      <w:r>
        <w:tab/>
        <w:t>[Regulation 34 inserted in Gazette 30 Jan 2004 p. 365</w:t>
      </w:r>
      <w:r>
        <w:noBreakHyphen/>
        <w:t>6.]</w:t>
      </w:r>
    </w:p>
    <w:p>
      <w:pPr>
        <w:pStyle w:val="Heading5"/>
      </w:pPr>
      <w:bookmarkStart w:id="333" w:name="_Toc124141945"/>
      <w:bookmarkStart w:id="334" w:name="_Toc233689279"/>
      <w:bookmarkStart w:id="335" w:name="_Toc348893826"/>
      <w:r>
        <w:rPr>
          <w:rStyle w:val="CharSectno"/>
        </w:rPr>
        <w:t>35</w:t>
      </w:r>
      <w:r>
        <w:t>.</w:t>
      </w:r>
      <w:r>
        <w:tab/>
        <w:t>Wagers may be made by various methods</w:t>
      </w:r>
      <w:bookmarkEnd w:id="333"/>
      <w:bookmarkEnd w:id="334"/>
      <w:bookmarkEnd w:id="335"/>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keepNext/>
        <w:keepLines/>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336" w:name="_Toc124141946"/>
      <w:bookmarkStart w:id="337" w:name="_Toc233689280"/>
      <w:bookmarkStart w:id="338" w:name="_Toc348893827"/>
      <w:r>
        <w:rPr>
          <w:rStyle w:val="CharSectno"/>
        </w:rPr>
        <w:t>36</w:t>
      </w:r>
      <w:r>
        <w:t>.</w:t>
      </w:r>
      <w:r>
        <w:tab/>
        <w:t>Wagers to be properly marked</w:t>
      </w:r>
      <w:bookmarkEnd w:id="336"/>
      <w:bookmarkEnd w:id="337"/>
      <w:bookmarkEnd w:id="338"/>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339" w:name="_Toc124141947"/>
      <w:bookmarkStart w:id="340" w:name="_Toc233689281"/>
      <w:bookmarkStart w:id="341" w:name="_Toc348893828"/>
      <w:r>
        <w:rPr>
          <w:rStyle w:val="CharSectno"/>
        </w:rPr>
        <w:t>37</w:t>
      </w:r>
      <w:r>
        <w:t>.</w:t>
      </w:r>
      <w:r>
        <w:tab/>
        <w:t>RWWA may decide particulars of wagers</w:t>
      </w:r>
      <w:bookmarkEnd w:id="339"/>
      <w:bookmarkEnd w:id="340"/>
      <w:bookmarkEnd w:id="341"/>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342" w:name="_Toc124141948"/>
      <w:bookmarkStart w:id="343" w:name="_Toc233689282"/>
      <w:bookmarkStart w:id="344" w:name="_Toc348893829"/>
      <w:r>
        <w:rPr>
          <w:rStyle w:val="CharSectno"/>
        </w:rPr>
        <w:t>38</w:t>
      </w:r>
      <w:r>
        <w:t>.</w:t>
      </w:r>
      <w:r>
        <w:tab/>
        <w:t>Tickets to be properly marked</w:t>
      </w:r>
      <w:bookmarkEnd w:id="342"/>
      <w:bookmarkEnd w:id="343"/>
      <w:bookmarkEnd w:id="344"/>
    </w:p>
    <w:p>
      <w:pPr>
        <w:pStyle w:val="Subsection"/>
      </w:pPr>
      <w:r>
        <w:tab/>
        <w:t>(1)</w:t>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w:t>
      </w:r>
    </w:p>
    <w:p>
      <w:pPr>
        <w:pStyle w:val="Subsection"/>
      </w:pPr>
      <w:r>
        <w:tab/>
        <w:t>(2)</w:t>
      </w:r>
      <w:r>
        <w:tab/>
        <w:t xml:space="preserve">A ticket issued by RWWA must show details of the amount of the wager and — </w:t>
      </w:r>
    </w:p>
    <w:p>
      <w:pPr>
        <w:pStyle w:val="Indenta"/>
      </w:pPr>
      <w:r>
        <w:tab/>
        <w:t>(a)</w:t>
      </w:r>
      <w:r>
        <w:tab/>
        <w:t>where the wager is not a Flexi Bet, the amount is to be expressed in units of 50</w:t>
      </w:r>
      <w:del w:id="345" w:author="Master Repository Process" w:date="2021-09-12T13:22:00Z">
        <w:r>
          <w:delText xml:space="preserve"> </w:delText>
        </w:r>
      </w:del>
      <w:ins w:id="346" w:author="Master Repository Process" w:date="2021-09-12T13:22:00Z">
        <w:r>
          <w:t> </w:t>
        </w:r>
      </w:ins>
      <w:r>
        <w:t>cents;</w:t>
      </w:r>
    </w:p>
    <w:p>
      <w:pPr>
        <w:pStyle w:val="Indenta"/>
      </w:pPr>
      <w:r>
        <w:tab/>
        <w:t>(b)</w:t>
      </w:r>
      <w:r>
        <w:tab/>
        <w:t>where the wager is a Flexi Bet, the amount may be expressed in units of 50 cents, percentages of 50 cent units or fractions of units of 50 cents.</w:t>
      </w:r>
    </w:p>
    <w:p>
      <w:pPr>
        <w:pStyle w:val="Footnotesection"/>
      </w:pPr>
      <w:r>
        <w:tab/>
        <w:t>[Regulation 38 inserted in Gazette 30 Jan 2004 p. 368</w:t>
      </w:r>
      <w:r>
        <w:noBreakHyphen/>
        <w:t>9; amended in Gazette 18 Sep 2007 p. 4716.]</w:t>
      </w:r>
    </w:p>
    <w:p>
      <w:pPr>
        <w:pStyle w:val="Heading5"/>
      </w:pPr>
      <w:bookmarkStart w:id="347" w:name="_Toc124141949"/>
      <w:bookmarkStart w:id="348" w:name="_Toc233689283"/>
      <w:bookmarkStart w:id="349" w:name="_Toc348893830"/>
      <w:r>
        <w:rPr>
          <w:rStyle w:val="CharSectno"/>
        </w:rPr>
        <w:t>39</w:t>
      </w:r>
      <w:r>
        <w:t>.</w:t>
      </w:r>
      <w:r>
        <w:tab/>
        <w:t>RWWA to exhibit notices</w:t>
      </w:r>
      <w:bookmarkEnd w:id="347"/>
      <w:bookmarkEnd w:id="348"/>
      <w:bookmarkEnd w:id="349"/>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keepNext/>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350" w:name="_Toc124141950"/>
      <w:bookmarkStart w:id="351" w:name="_Toc233689284"/>
      <w:bookmarkStart w:id="352" w:name="_Toc348893831"/>
      <w:r>
        <w:rPr>
          <w:rStyle w:val="CharSectno"/>
        </w:rPr>
        <w:t>40</w:t>
      </w:r>
      <w:r>
        <w:t>.</w:t>
      </w:r>
      <w:r>
        <w:tab/>
        <w:t>Correction of errors and omissions, and the giving of certain refunds</w:t>
      </w:r>
      <w:bookmarkEnd w:id="350"/>
      <w:bookmarkEnd w:id="351"/>
      <w:bookmarkEnd w:id="352"/>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353" w:name="_Toc124141951"/>
      <w:bookmarkStart w:id="354" w:name="_Toc233689285"/>
      <w:bookmarkStart w:id="355" w:name="_Toc348893832"/>
      <w:r>
        <w:rPr>
          <w:rStyle w:val="CharSectno"/>
        </w:rPr>
        <w:t>41</w:t>
      </w:r>
      <w:r>
        <w:t>.</w:t>
      </w:r>
      <w:r>
        <w:tab/>
        <w:t>Time for payment of dividends or refunds for cash wagers</w:t>
      </w:r>
      <w:bookmarkEnd w:id="353"/>
      <w:bookmarkEnd w:id="354"/>
      <w:bookmarkEnd w:id="355"/>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356" w:name="_Toc124141952"/>
      <w:bookmarkStart w:id="357" w:name="_Toc233689286"/>
      <w:bookmarkStart w:id="358" w:name="_Toc348893833"/>
      <w:r>
        <w:rPr>
          <w:rStyle w:val="CharSectno"/>
        </w:rPr>
        <w:t>42</w:t>
      </w:r>
      <w:r>
        <w:t>.</w:t>
      </w:r>
      <w:r>
        <w:tab/>
        <w:t>Presentation of tickets or claims</w:t>
      </w:r>
      <w:bookmarkEnd w:id="356"/>
      <w:bookmarkEnd w:id="357"/>
      <w:bookmarkEnd w:id="358"/>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keepNext/>
        <w:keepLines/>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359" w:name="_Toc124141953"/>
      <w:bookmarkStart w:id="360" w:name="_Toc233689287"/>
      <w:bookmarkStart w:id="361" w:name="_Toc348893834"/>
      <w:r>
        <w:rPr>
          <w:rStyle w:val="CharSectno"/>
        </w:rPr>
        <w:t>43</w:t>
      </w:r>
      <w:r>
        <w:t>.</w:t>
      </w:r>
      <w:r>
        <w:tab/>
        <w:t>When refunds of wagers are payable</w:t>
      </w:r>
      <w:bookmarkEnd w:id="359"/>
      <w:bookmarkEnd w:id="360"/>
      <w:bookmarkEnd w:id="361"/>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362" w:name="_Toc116990514"/>
      <w:bookmarkStart w:id="363" w:name="_Toc117047697"/>
      <w:bookmarkStart w:id="364" w:name="_Toc124141954"/>
      <w:bookmarkStart w:id="365" w:name="_Toc124142080"/>
      <w:bookmarkStart w:id="366" w:name="_Toc134521175"/>
      <w:bookmarkStart w:id="367" w:name="_Toc146505650"/>
      <w:bookmarkStart w:id="368" w:name="_Toc146520706"/>
      <w:bookmarkStart w:id="369" w:name="_Toc148162481"/>
      <w:bookmarkStart w:id="370" w:name="_Toc150229141"/>
      <w:bookmarkStart w:id="371" w:name="_Toc151199813"/>
      <w:bookmarkStart w:id="372" w:name="_Toc151261229"/>
      <w:bookmarkStart w:id="373" w:name="_Toc155067152"/>
      <w:bookmarkStart w:id="374" w:name="_Toc155158340"/>
      <w:bookmarkStart w:id="375" w:name="_Toc177793098"/>
      <w:bookmarkStart w:id="376" w:name="_Toc177878110"/>
      <w:bookmarkStart w:id="377" w:name="_Toc179709143"/>
      <w:bookmarkStart w:id="378" w:name="_Toc184710105"/>
      <w:bookmarkStart w:id="379" w:name="_Toc184719195"/>
      <w:bookmarkStart w:id="380" w:name="_Toc185654747"/>
      <w:bookmarkStart w:id="381" w:name="_Toc212947163"/>
      <w:bookmarkStart w:id="382" w:name="_Toc220898854"/>
      <w:bookmarkStart w:id="383" w:name="_Toc220899462"/>
      <w:bookmarkStart w:id="384" w:name="_Toc220899662"/>
      <w:bookmarkStart w:id="385" w:name="_Toc232309985"/>
      <w:bookmarkStart w:id="386" w:name="_Toc233689288"/>
      <w:bookmarkStart w:id="387" w:name="_Toc348893835"/>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p>
    <w:p>
      <w:pPr>
        <w:pStyle w:val="Footnoteheading"/>
        <w:tabs>
          <w:tab w:val="left" w:pos="851"/>
        </w:tabs>
      </w:pPr>
      <w:r>
        <w:tab/>
        <w:t>[Heading inserted in Gazette 30 Jan 2004 p. 375.]</w:t>
      </w:r>
    </w:p>
    <w:p>
      <w:pPr>
        <w:pStyle w:val="Heading5"/>
      </w:pPr>
      <w:bookmarkStart w:id="388" w:name="_Toc124141955"/>
      <w:bookmarkStart w:id="389" w:name="_Toc233689289"/>
      <w:bookmarkStart w:id="390" w:name="_Toc348893836"/>
      <w:r>
        <w:rPr>
          <w:rStyle w:val="CharSectno"/>
        </w:rPr>
        <w:t>44</w:t>
      </w:r>
      <w:r>
        <w:t>.</w:t>
      </w:r>
      <w:r>
        <w:tab/>
        <w:t>Authorised racing club may transmit wagers</w:t>
      </w:r>
      <w:bookmarkEnd w:id="388"/>
      <w:bookmarkEnd w:id="389"/>
      <w:bookmarkEnd w:id="390"/>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391" w:name="_Toc124141956"/>
      <w:bookmarkStart w:id="392" w:name="_Toc233689290"/>
      <w:bookmarkStart w:id="393" w:name="_Toc348893837"/>
      <w:r>
        <w:rPr>
          <w:rStyle w:val="CharSectno"/>
        </w:rPr>
        <w:t>45</w:t>
      </w:r>
      <w:r>
        <w:t>.</w:t>
      </w:r>
      <w:r>
        <w:tab/>
        <w:t>Person making wager bound by these regulations and rules of wagering</w:t>
      </w:r>
      <w:bookmarkEnd w:id="391"/>
      <w:bookmarkEnd w:id="392"/>
      <w:bookmarkEnd w:id="393"/>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394" w:name="_Toc124141957"/>
      <w:bookmarkStart w:id="395" w:name="_Toc233689291"/>
      <w:bookmarkStart w:id="396" w:name="_Toc348893838"/>
      <w:r>
        <w:rPr>
          <w:rStyle w:val="CharSectno"/>
        </w:rPr>
        <w:t>46</w:t>
      </w:r>
      <w:r>
        <w:t>.</w:t>
      </w:r>
      <w:r>
        <w:tab/>
        <w:t>Only authorised wagering to be accepted</w:t>
      </w:r>
      <w:bookmarkEnd w:id="394"/>
      <w:bookmarkEnd w:id="395"/>
      <w:bookmarkEnd w:id="396"/>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397" w:name="_Toc124141958"/>
      <w:bookmarkStart w:id="398" w:name="_Toc233689292"/>
      <w:bookmarkStart w:id="399" w:name="_Toc348893839"/>
      <w:r>
        <w:rPr>
          <w:rStyle w:val="CharSectno"/>
        </w:rPr>
        <w:t>47</w:t>
      </w:r>
      <w:r>
        <w:t>.</w:t>
      </w:r>
      <w:r>
        <w:tab/>
        <w:t>Wagers transmitted by racing club to be registered on RWWA’s totalisator</w:t>
      </w:r>
      <w:bookmarkEnd w:id="397"/>
      <w:bookmarkEnd w:id="398"/>
      <w:bookmarkEnd w:id="399"/>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400" w:name="_Toc124141959"/>
      <w:bookmarkStart w:id="401" w:name="_Toc233689293"/>
      <w:bookmarkStart w:id="402" w:name="_Toc348893840"/>
      <w:r>
        <w:rPr>
          <w:rStyle w:val="CharSectno"/>
        </w:rPr>
        <w:t>48</w:t>
      </w:r>
      <w:r>
        <w:t>.</w:t>
      </w:r>
      <w:r>
        <w:tab/>
        <w:t>Apportionment of profit or loss</w:t>
      </w:r>
      <w:bookmarkEnd w:id="400"/>
      <w:bookmarkEnd w:id="401"/>
      <w:bookmarkEnd w:id="402"/>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403" w:name="_Toc124141960"/>
      <w:bookmarkStart w:id="404" w:name="_Toc233689294"/>
      <w:bookmarkStart w:id="405" w:name="_Toc348893841"/>
      <w:r>
        <w:rPr>
          <w:rStyle w:val="CharSectno"/>
        </w:rPr>
        <w:t>49</w:t>
      </w:r>
      <w:r>
        <w:t>.</w:t>
      </w:r>
      <w:r>
        <w:tab/>
        <w:t>References to pool conducted by RWWA</w:t>
      </w:r>
      <w:bookmarkEnd w:id="403"/>
      <w:bookmarkEnd w:id="404"/>
      <w:bookmarkEnd w:id="405"/>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406" w:name="_Toc116990521"/>
      <w:bookmarkStart w:id="407" w:name="_Toc117047704"/>
      <w:bookmarkStart w:id="408" w:name="_Toc124141961"/>
      <w:bookmarkStart w:id="409" w:name="_Toc124142087"/>
      <w:bookmarkStart w:id="410" w:name="_Toc134521182"/>
      <w:bookmarkStart w:id="411" w:name="_Toc146505657"/>
      <w:bookmarkStart w:id="412" w:name="_Toc146520713"/>
      <w:bookmarkStart w:id="413" w:name="_Toc148162488"/>
      <w:bookmarkStart w:id="414" w:name="_Toc150229148"/>
      <w:bookmarkStart w:id="415" w:name="_Toc151199820"/>
      <w:bookmarkStart w:id="416" w:name="_Toc151261236"/>
      <w:bookmarkStart w:id="417" w:name="_Toc155067159"/>
      <w:bookmarkStart w:id="418" w:name="_Toc155158347"/>
      <w:bookmarkStart w:id="419" w:name="_Toc177793105"/>
      <w:bookmarkStart w:id="420" w:name="_Toc177878117"/>
      <w:bookmarkStart w:id="421" w:name="_Toc179709150"/>
      <w:bookmarkStart w:id="422" w:name="_Toc184710112"/>
      <w:bookmarkStart w:id="423" w:name="_Toc184719202"/>
      <w:bookmarkStart w:id="424" w:name="_Toc185654754"/>
      <w:bookmarkStart w:id="425" w:name="_Toc212947170"/>
      <w:bookmarkStart w:id="426" w:name="_Toc220898861"/>
      <w:bookmarkStart w:id="427" w:name="_Toc220899469"/>
      <w:bookmarkStart w:id="428" w:name="_Toc220899669"/>
      <w:bookmarkStart w:id="429" w:name="_Toc232309992"/>
      <w:bookmarkStart w:id="430" w:name="_Toc233689295"/>
      <w:bookmarkStart w:id="431" w:name="_Toc348893842"/>
      <w:r>
        <w:rPr>
          <w:rStyle w:val="CharPartNo"/>
        </w:rPr>
        <w:t>Part 8</w:t>
      </w:r>
      <w:r>
        <w:rPr>
          <w:rStyle w:val="CharDivNo"/>
        </w:rPr>
        <w:t> </w:t>
      </w:r>
      <w:r>
        <w:t>—</w:t>
      </w:r>
      <w:r>
        <w:rPr>
          <w:rStyle w:val="CharDivText"/>
        </w:rPr>
        <w:t> </w:t>
      </w:r>
      <w:r>
        <w:rPr>
          <w:rStyle w:val="CharPartText"/>
        </w:rPr>
        <w:t>Wagering accounts</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p>
    <w:p>
      <w:pPr>
        <w:pStyle w:val="Footnoteheading"/>
        <w:tabs>
          <w:tab w:val="left" w:pos="851"/>
        </w:tabs>
      </w:pPr>
      <w:r>
        <w:tab/>
        <w:t>[Heading inserted in Gazette 30 Jan 2004 p. 377.]</w:t>
      </w:r>
    </w:p>
    <w:p>
      <w:pPr>
        <w:pStyle w:val="Heading5"/>
      </w:pPr>
      <w:bookmarkStart w:id="432" w:name="_Toc124141962"/>
      <w:bookmarkStart w:id="433" w:name="_Toc233689296"/>
      <w:bookmarkStart w:id="434" w:name="_Toc348893843"/>
      <w:r>
        <w:rPr>
          <w:rStyle w:val="CharSectno"/>
        </w:rPr>
        <w:t>50</w:t>
      </w:r>
      <w:r>
        <w:t>.</w:t>
      </w:r>
      <w:r>
        <w:tab/>
        <w:t>Procedure for establishing wagering account</w:t>
      </w:r>
      <w:bookmarkEnd w:id="432"/>
      <w:bookmarkEnd w:id="433"/>
      <w:bookmarkEnd w:id="434"/>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keepLines w:val="0"/>
      </w:pPr>
      <w:bookmarkStart w:id="435" w:name="_Toc124141963"/>
      <w:bookmarkStart w:id="436" w:name="_Toc233689297"/>
      <w:bookmarkStart w:id="437" w:name="_Toc348893844"/>
      <w:r>
        <w:rPr>
          <w:rStyle w:val="CharSectno"/>
        </w:rPr>
        <w:t>51</w:t>
      </w:r>
      <w:r>
        <w:t>.</w:t>
      </w:r>
      <w:r>
        <w:tab/>
        <w:t>Procedure for keeping, maintaining, increasing or renewing a wagering account</w:t>
      </w:r>
      <w:bookmarkEnd w:id="435"/>
      <w:bookmarkEnd w:id="436"/>
      <w:bookmarkEnd w:id="437"/>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438" w:name="_Toc124141964"/>
      <w:bookmarkStart w:id="439" w:name="_Toc233689298"/>
      <w:bookmarkStart w:id="440" w:name="_Toc348893845"/>
      <w:r>
        <w:rPr>
          <w:rStyle w:val="CharSectno"/>
        </w:rPr>
        <w:t>52</w:t>
      </w:r>
      <w:r>
        <w:t>.</w:t>
      </w:r>
      <w:r>
        <w:tab/>
        <w:t>Recording of wagers against a wagering account</w:t>
      </w:r>
      <w:bookmarkEnd w:id="438"/>
      <w:bookmarkEnd w:id="439"/>
      <w:bookmarkEnd w:id="440"/>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441" w:name="_Toc124141965"/>
      <w:bookmarkStart w:id="442" w:name="_Toc233689299"/>
      <w:bookmarkStart w:id="443" w:name="_Toc348893846"/>
      <w:r>
        <w:rPr>
          <w:rStyle w:val="CharSectno"/>
        </w:rPr>
        <w:t>53</w:t>
      </w:r>
      <w:r>
        <w:t>.</w:t>
      </w:r>
      <w:r>
        <w:tab/>
        <w:t>Crediting of dividends against a wagering account</w:t>
      </w:r>
      <w:bookmarkEnd w:id="441"/>
      <w:bookmarkEnd w:id="442"/>
      <w:bookmarkEnd w:id="443"/>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444" w:name="_Toc124141966"/>
      <w:bookmarkStart w:id="445" w:name="_Toc233689300"/>
      <w:bookmarkStart w:id="446" w:name="_Toc348893847"/>
      <w:r>
        <w:rPr>
          <w:rStyle w:val="CharSectno"/>
        </w:rPr>
        <w:t>54</w:t>
      </w:r>
      <w:r>
        <w:t>.</w:t>
      </w:r>
      <w:r>
        <w:tab/>
        <w:t>Wagering accounts to be disposed of in accordance with the instructions</w:t>
      </w:r>
      <w:bookmarkEnd w:id="444"/>
      <w:bookmarkEnd w:id="445"/>
      <w:bookmarkEnd w:id="446"/>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447" w:name="_Toc124141967"/>
      <w:bookmarkStart w:id="448" w:name="_Toc233689301"/>
      <w:bookmarkStart w:id="449" w:name="_Toc348893848"/>
      <w:r>
        <w:rPr>
          <w:rStyle w:val="CharSectno"/>
        </w:rPr>
        <w:t>55</w:t>
      </w:r>
      <w:r>
        <w:t>.</w:t>
      </w:r>
      <w:r>
        <w:tab/>
        <w:t>General conditions applicable to wagering accounts</w:t>
      </w:r>
      <w:bookmarkEnd w:id="447"/>
      <w:bookmarkEnd w:id="448"/>
      <w:bookmarkEnd w:id="449"/>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450" w:name="_Toc124141968"/>
      <w:bookmarkStart w:id="451" w:name="_Toc233689302"/>
      <w:bookmarkStart w:id="452" w:name="_Toc348893849"/>
      <w:r>
        <w:rPr>
          <w:rStyle w:val="CharSectno"/>
        </w:rPr>
        <w:t>56</w:t>
      </w:r>
      <w:r>
        <w:t>.</w:t>
      </w:r>
      <w:r>
        <w:tab/>
        <w:t>General conditions on statements of account</w:t>
      </w:r>
      <w:bookmarkEnd w:id="450"/>
      <w:bookmarkEnd w:id="451"/>
      <w:bookmarkEnd w:id="452"/>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453" w:name="_Toc124141969"/>
      <w:bookmarkStart w:id="454" w:name="_Toc233689303"/>
      <w:bookmarkStart w:id="455" w:name="_Toc348893850"/>
      <w:r>
        <w:rPr>
          <w:rStyle w:val="CharSectno"/>
        </w:rPr>
        <w:t>57</w:t>
      </w:r>
      <w:r>
        <w:t>.</w:t>
      </w:r>
      <w:r>
        <w:tab/>
        <w:t>General provisions relating to wagers made by post</w:t>
      </w:r>
      <w:bookmarkEnd w:id="453"/>
      <w:bookmarkEnd w:id="454"/>
      <w:bookmarkEnd w:id="455"/>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456" w:name="_Toc124141970"/>
      <w:bookmarkStart w:id="457" w:name="_Toc233689304"/>
      <w:bookmarkStart w:id="458" w:name="_Toc348893851"/>
      <w:r>
        <w:rPr>
          <w:rStyle w:val="CharSectno"/>
        </w:rPr>
        <w:t>58</w:t>
      </w:r>
      <w:r>
        <w:t>.</w:t>
      </w:r>
      <w:r>
        <w:tab/>
        <w:t>Crediting and payment of dividends and refunds on wagering accounts and wagers made by post</w:t>
      </w:r>
      <w:bookmarkEnd w:id="456"/>
      <w:bookmarkEnd w:id="457"/>
      <w:bookmarkEnd w:id="458"/>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459" w:name="_Toc233689305"/>
      <w:bookmarkStart w:id="460" w:name="_Toc348893852"/>
      <w:bookmarkStart w:id="461" w:name="_Toc124141971"/>
      <w:r>
        <w:rPr>
          <w:rStyle w:val="CharSectno"/>
        </w:rPr>
        <w:t>58A</w:t>
      </w:r>
      <w:r>
        <w:t>.</w:t>
      </w:r>
      <w:r>
        <w:tab/>
        <w:t>Refunds to wagering accounts following scratchings</w:t>
      </w:r>
      <w:bookmarkEnd w:id="459"/>
      <w:bookmarkEnd w:id="460"/>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using a wagering account is scratched before the start of its race or declared a non</w:t>
      </w:r>
      <w:r>
        <w:noBreakHyphen/>
        <w:t>starter, the investor who placed a wager on (or involving) that runner with RWWA is entitled to have a refund of the wager amount credited to his or her wagering account.</w:t>
      </w:r>
    </w:p>
    <w:p>
      <w:pPr>
        <w:pStyle w:val="Subsection"/>
      </w:pPr>
      <w:r>
        <w:tab/>
        <w:t>(2)</w:t>
      </w:r>
      <w:r>
        <w:tab/>
        <w:t xml:space="preserve">Where a refund is payable under subregulation (1) due to a scratching, and the investor entitled to the refund wishes to obtain that refund prior to the running of the race, the investor may, on request, obtain a refund of — </w:t>
      </w:r>
    </w:p>
    <w:p>
      <w:pPr>
        <w:pStyle w:val="Indenta"/>
      </w:pPr>
      <w:r>
        <w:tab/>
        <w:t>(a)</w:t>
      </w:r>
      <w:r>
        <w:tab/>
        <w:t>the wager; or</w:t>
      </w:r>
    </w:p>
    <w:p>
      <w:pPr>
        <w:pStyle w:val="Indenta"/>
      </w:pPr>
      <w:r>
        <w:tab/>
        <w:t>(b)</w:t>
      </w:r>
      <w:r>
        <w:tab/>
        <w:t>if the wager is on one of 2 or more wagers for which a single ticket number is generated, and none of the wagers have been decided — the total value of the wagers relating to that ticket number,</w:t>
      </w:r>
    </w:p>
    <w:p>
      <w:pPr>
        <w:pStyle w:val="Subsection"/>
      </w:pPr>
      <w:r>
        <w:tab/>
      </w:r>
      <w:r>
        <w:tab/>
        <w:t>prior to the running of the race, if the request is made before the close of wagering for each and every race to which the particular ticket number relates.</w:t>
      </w:r>
    </w:p>
    <w:p>
      <w:pPr>
        <w:pStyle w:val="Footnotesection"/>
      </w:pPr>
      <w:r>
        <w:tab/>
        <w:t>[Regulation</w:t>
      </w:r>
      <w:del w:id="462" w:author="Master Repository Process" w:date="2021-09-12T13:22:00Z">
        <w:r>
          <w:delText xml:space="preserve"> </w:delText>
        </w:r>
      </w:del>
      <w:ins w:id="463" w:author="Master Repository Process" w:date="2021-09-12T13:22:00Z">
        <w:r>
          <w:t> </w:t>
        </w:r>
      </w:ins>
      <w:r>
        <w:t>58A inserted in Gazette 7 Dec 2007 p. 5986.]</w:t>
      </w:r>
    </w:p>
    <w:p>
      <w:pPr>
        <w:pStyle w:val="Heading5"/>
      </w:pPr>
      <w:bookmarkStart w:id="464" w:name="_Toc233689306"/>
      <w:bookmarkStart w:id="465" w:name="_Toc348893853"/>
      <w:r>
        <w:rPr>
          <w:rStyle w:val="CharSectno"/>
        </w:rPr>
        <w:t>59</w:t>
      </w:r>
      <w:r>
        <w:t>.</w:t>
      </w:r>
      <w:r>
        <w:tab/>
        <w:t>Wagers by telephone or other electronic means</w:t>
      </w:r>
      <w:bookmarkEnd w:id="461"/>
      <w:bookmarkEnd w:id="464"/>
      <w:bookmarkEnd w:id="465"/>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keepNext/>
        <w:keepLines/>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keepLines/>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466" w:name="_Toc124141972"/>
      <w:bookmarkStart w:id="467" w:name="_Toc233689307"/>
      <w:bookmarkStart w:id="468" w:name="_Toc348893854"/>
      <w:r>
        <w:rPr>
          <w:rStyle w:val="CharSectno"/>
        </w:rPr>
        <w:t>60</w:t>
      </w:r>
      <w:r>
        <w:t>.</w:t>
      </w:r>
      <w:r>
        <w:tab/>
        <w:t>Errors in wagers by telephone or other electronic means</w:t>
      </w:r>
      <w:bookmarkEnd w:id="466"/>
      <w:bookmarkEnd w:id="467"/>
      <w:bookmarkEnd w:id="468"/>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469" w:name="_Toc116990533"/>
      <w:bookmarkStart w:id="470" w:name="_Toc117047716"/>
      <w:bookmarkStart w:id="471" w:name="_Toc124141973"/>
      <w:bookmarkStart w:id="472" w:name="_Toc124142099"/>
      <w:bookmarkStart w:id="473" w:name="_Toc134521194"/>
      <w:bookmarkStart w:id="474" w:name="_Toc146505669"/>
      <w:bookmarkStart w:id="475" w:name="_Toc146520725"/>
      <w:bookmarkStart w:id="476" w:name="_Toc148162500"/>
      <w:bookmarkStart w:id="477" w:name="_Toc150229160"/>
      <w:bookmarkStart w:id="478" w:name="_Toc151199832"/>
      <w:bookmarkStart w:id="479" w:name="_Toc151261248"/>
      <w:bookmarkStart w:id="480" w:name="_Toc155067171"/>
      <w:bookmarkStart w:id="481" w:name="_Toc155158359"/>
      <w:bookmarkStart w:id="482" w:name="_Toc177793117"/>
      <w:bookmarkStart w:id="483" w:name="_Toc177878129"/>
      <w:bookmarkStart w:id="484" w:name="_Toc179709162"/>
      <w:bookmarkStart w:id="485" w:name="_Toc184710125"/>
      <w:bookmarkStart w:id="486" w:name="_Toc184719215"/>
      <w:bookmarkStart w:id="487" w:name="_Toc185654767"/>
      <w:bookmarkStart w:id="488" w:name="_Toc212947183"/>
      <w:bookmarkStart w:id="489" w:name="_Toc220898874"/>
      <w:bookmarkStart w:id="490" w:name="_Toc220899482"/>
      <w:bookmarkStart w:id="491" w:name="_Toc220899682"/>
      <w:bookmarkStart w:id="492" w:name="_Toc232310005"/>
      <w:bookmarkStart w:id="493" w:name="_Toc233689308"/>
      <w:bookmarkStart w:id="494" w:name="_Toc348893855"/>
      <w:r>
        <w:rPr>
          <w:rStyle w:val="CharPartNo"/>
        </w:rPr>
        <w:t>Part 9</w:t>
      </w:r>
      <w:r>
        <w:rPr>
          <w:rStyle w:val="CharDivNo"/>
        </w:rPr>
        <w:t> </w:t>
      </w:r>
      <w:r>
        <w:t>—</w:t>
      </w:r>
      <w:r>
        <w:rPr>
          <w:rStyle w:val="CharDivText"/>
        </w:rPr>
        <w:t> </w:t>
      </w:r>
      <w:r>
        <w:rPr>
          <w:rStyle w:val="CharPartText"/>
        </w:rPr>
        <w:t>General provisions on wagering</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Footnoteheading"/>
        <w:tabs>
          <w:tab w:val="left" w:pos="851"/>
        </w:tabs>
      </w:pPr>
      <w:r>
        <w:tab/>
        <w:t>[Heading inserted in Gazette 30 Jan 2004 p. 386.]</w:t>
      </w:r>
    </w:p>
    <w:p>
      <w:pPr>
        <w:pStyle w:val="Heading5"/>
        <w:spacing w:before="180"/>
      </w:pPr>
      <w:bookmarkStart w:id="495" w:name="_Toc124141974"/>
      <w:bookmarkStart w:id="496" w:name="_Toc233689309"/>
      <w:bookmarkStart w:id="497" w:name="_Toc348893856"/>
      <w:r>
        <w:rPr>
          <w:rStyle w:val="CharSectno"/>
        </w:rPr>
        <w:t>61</w:t>
      </w:r>
      <w:r>
        <w:t>.</w:t>
      </w:r>
      <w:r>
        <w:tab/>
        <w:t>Closing time for acceptance of wagers</w:t>
      </w:r>
      <w:bookmarkEnd w:id="495"/>
      <w:bookmarkEnd w:id="496"/>
      <w:bookmarkEnd w:id="497"/>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spacing w:before="180"/>
      </w:pPr>
      <w:bookmarkStart w:id="498" w:name="_Toc124141975"/>
      <w:bookmarkStart w:id="499" w:name="_Toc233689310"/>
      <w:bookmarkStart w:id="500" w:name="_Toc348893857"/>
      <w:r>
        <w:rPr>
          <w:rStyle w:val="CharSectno"/>
        </w:rPr>
        <w:t>62</w:t>
      </w:r>
      <w:r>
        <w:t>.</w:t>
      </w:r>
      <w:r>
        <w:tab/>
        <w:t>Totalisator pools — generally</w:t>
      </w:r>
      <w:bookmarkEnd w:id="498"/>
      <w:bookmarkEnd w:id="499"/>
      <w:bookmarkEnd w:id="500"/>
    </w:p>
    <w:p>
      <w:pPr>
        <w:pStyle w:val="Subsection"/>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spacing w:before="180"/>
      </w:pPr>
      <w:bookmarkStart w:id="501" w:name="_Toc124141976"/>
      <w:bookmarkStart w:id="502" w:name="_Toc233689311"/>
      <w:bookmarkStart w:id="503" w:name="_Toc348893858"/>
      <w:r>
        <w:rPr>
          <w:rStyle w:val="CharSectno"/>
        </w:rPr>
        <w:t>63</w:t>
      </w:r>
      <w:r>
        <w:t>.</w:t>
      </w:r>
      <w:r>
        <w:tab/>
        <w:t>Communication failure where a combined totalisator pool scheme is conducted</w:t>
      </w:r>
      <w:bookmarkEnd w:id="501"/>
      <w:bookmarkEnd w:id="502"/>
      <w:bookmarkEnd w:id="503"/>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spacing w:before="80"/>
        <w:ind w:left="890" w:hanging="890"/>
      </w:pPr>
      <w:r>
        <w:tab/>
        <w:t>[Regulation 63 inserted in Gazette 30 Jan 2004 p. 387.]</w:t>
      </w:r>
    </w:p>
    <w:p>
      <w:pPr>
        <w:pStyle w:val="Heading2"/>
      </w:pPr>
      <w:bookmarkStart w:id="504" w:name="_Toc116990537"/>
      <w:bookmarkStart w:id="505" w:name="_Toc117047720"/>
      <w:bookmarkStart w:id="506" w:name="_Toc124141977"/>
      <w:bookmarkStart w:id="507" w:name="_Toc124142103"/>
      <w:bookmarkStart w:id="508" w:name="_Toc134521198"/>
      <w:bookmarkStart w:id="509" w:name="_Toc146505673"/>
      <w:bookmarkStart w:id="510" w:name="_Toc146520729"/>
      <w:bookmarkStart w:id="511" w:name="_Toc148162504"/>
      <w:bookmarkStart w:id="512" w:name="_Toc150229164"/>
      <w:bookmarkStart w:id="513" w:name="_Toc151199836"/>
      <w:bookmarkStart w:id="514" w:name="_Toc151261252"/>
      <w:bookmarkStart w:id="515" w:name="_Toc155067175"/>
      <w:bookmarkStart w:id="516" w:name="_Toc155158363"/>
      <w:bookmarkStart w:id="517" w:name="_Toc177793121"/>
      <w:bookmarkStart w:id="518" w:name="_Toc177878133"/>
      <w:bookmarkStart w:id="519" w:name="_Toc179709166"/>
      <w:bookmarkStart w:id="520" w:name="_Toc184710129"/>
      <w:bookmarkStart w:id="521" w:name="_Toc184719219"/>
      <w:bookmarkStart w:id="522" w:name="_Toc185654771"/>
      <w:bookmarkStart w:id="523" w:name="_Toc212947187"/>
      <w:bookmarkStart w:id="524" w:name="_Toc220898878"/>
      <w:bookmarkStart w:id="525" w:name="_Toc220899486"/>
      <w:bookmarkStart w:id="526" w:name="_Toc220899686"/>
      <w:bookmarkStart w:id="527" w:name="_Toc232310009"/>
      <w:bookmarkStart w:id="528" w:name="_Toc233689312"/>
      <w:bookmarkStart w:id="529" w:name="_Toc348893859"/>
      <w:r>
        <w:rPr>
          <w:rStyle w:val="CharPartNo"/>
        </w:rPr>
        <w:t>Part 10</w:t>
      </w:r>
      <w:r>
        <w:rPr>
          <w:rStyle w:val="CharDivNo"/>
        </w:rPr>
        <w:t> </w:t>
      </w:r>
      <w:r>
        <w:t>—</w:t>
      </w:r>
      <w:r>
        <w:rPr>
          <w:rStyle w:val="CharDivText"/>
        </w:rPr>
        <w:t> </w:t>
      </w:r>
      <w:r>
        <w:rPr>
          <w:rStyle w:val="CharPartText"/>
        </w:rPr>
        <w:t>Sporting events</w:t>
      </w:r>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tabs>
          <w:tab w:val="left" w:pos="851"/>
        </w:tabs>
      </w:pPr>
      <w:r>
        <w:tab/>
        <w:t>[Heading inserted in Gazette 30 Jan 2004 p. 387.]</w:t>
      </w:r>
    </w:p>
    <w:p>
      <w:pPr>
        <w:pStyle w:val="Heading5"/>
      </w:pPr>
      <w:bookmarkStart w:id="530" w:name="_Toc124141978"/>
      <w:bookmarkStart w:id="531" w:name="_Toc233689313"/>
      <w:bookmarkStart w:id="532" w:name="_Toc348893860"/>
      <w:r>
        <w:rPr>
          <w:rStyle w:val="CharSectno"/>
        </w:rPr>
        <w:t>64</w:t>
      </w:r>
      <w:r>
        <w:t>.</w:t>
      </w:r>
      <w:r>
        <w:tab/>
        <w:t>RWWA may specify aspects of sporting events</w:t>
      </w:r>
      <w:bookmarkEnd w:id="530"/>
      <w:bookmarkEnd w:id="531"/>
      <w:bookmarkEnd w:id="532"/>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rStyle w:val="CharDefText"/>
        </w:rPr>
        <w:t>game</w:t>
      </w:r>
      <w:r>
        <w:rPr>
          <w:bCs/>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533" w:name="_Toc124141979"/>
      <w:bookmarkStart w:id="534" w:name="_Toc233689314"/>
      <w:bookmarkStart w:id="535" w:name="_Toc348893861"/>
      <w:r>
        <w:rPr>
          <w:rStyle w:val="CharSectno"/>
        </w:rPr>
        <w:t>65</w:t>
      </w:r>
      <w:r>
        <w:t>.</w:t>
      </w:r>
      <w:r>
        <w:tab/>
        <w:t>General conditions relating to the conduct of totalisator pools</w:t>
      </w:r>
      <w:bookmarkEnd w:id="533"/>
      <w:bookmarkEnd w:id="534"/>
      <w:bookmarkEnd w:id="535"/>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keepNext/>
        <w:keepLines/>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536" w:name="_Toc124141980"/>
      <w:bookmarkStart w:id="537" w:name="_Toc233689315"/>
      <w:bookmarkStart w:id="538" w:name="_Toc348893862"/>
      <w:r>
        <w:rPr>
          <w:rStyle w:val="CharSectno"/>
        </w:rPr>
        <w:t>66</w:t>
      </w:r>
      <w:r>
        <w:t>.</w:t>
      </w:r>
      <w:r>
        <w:tab/>
        <w:t>General conditions relating to wagering on games and pools of games</w:t>
      </w:r>
      <w:bookmarkEnd w:id="536"/>
      <w:bookmarkEnd w:id="537"/>
      <w:bookmarkEnd w:id="538"/>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539" w:name="_Toc116990541"/>
      <w:bookmarkStart w:id="540" w:name="_Toc117047724"/>
      <w:bookmarkStart w:id="541" w:name="_Toc124141981"/>
      <w:bookmarkStart w:id="542" w:name="_Toc124142107"/>
      <w:bookmarkStart w:id="543" w:name="_Toc134521202"/>
      <w:bookmarkStart w:id="544" w:name="_Toc146505677"/>
      <w:bookmarkStart w:id="545" w:name="_Toc146520733"/>
      <w:bookmarkStart w:id="546" w:name="_Toc148162508"/>
      <w:bookmarkStart w:id="547" w:name="_Toc150229168"/>
      <w:bookmarkStart w:id="548" w:name="_Toc151199840"/>
      <w:bookmarkStart w:id="549" w:name="_Toc151261256"/>
      <w:bookmarkStart w:id="550" w:name="_Toc155067179"/>
      <w:bookmarkStart w:id="551" w:name="_Toc155158367"/>
      <w:bookmarkStart w:id="552" w:name="_Toc177793125"/>
      <w:bookmarkStart w:id="553" w:name="_Toc177878137"/>
      <w:bookmarkStart w:id="554" w:name="_Toc179709170"/>
      <w:bookmarkStart w:id="555" w:name="_Toc184710133"/>
      <w:bookmarkStart w:id="556" w:name="_Toc184719223"/>
      <w:bookmarkStart w:id="557" w:name="_Toc185654775"/>
      <w:bookmarkStart w:id="558" w:name="_Toc212947191"/>
      <w:bookmarkStart w:id="559" w:name="_Toc220898882"/>
      <w:bookmarkStart w:id="560" w:name="_Toc220899490"/>
      <w:bookmarkStart w:id="561" w:name="_Toc220899690"/>
      <w:bookmarkStart w:id="562" w:name="_Toc232310013"/>
      <w:bookmarkStart w:id="563" w:name="_Toc233689316"/>
      <w:bookmarkStart w:id="564" w:name="_Toc348893863"/>
      <w:r>
        <w:rPr>
          <w:rStyle w:val="CharPartNo"/>
        </w:rPr>
        <w:t>Part 11</w:t>
      </w:r>
      <w:r>
        <w:rPr>
          <w:rStyle w:val="CharDivNo"/>
        </w:rPr>
        <w:t> </w:t>
      </w:r>
      <w:r>
        <w:t>—</w:t>
      </w:r>
      <w:r>
        <w:rPr>
          <w:rStyle w:val="CharDivText"/>
        </w:rPr>
        <w:t> </w:t>
      </w:r>
      <w:r>
        <w:rPr>
          <w:rStyle w:val="CharPartText"/>
        </w:rPr>
        <w:t>Totalisator agencies</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Footnoteheading"/>
        <w:tabs>
          <w:tab w:val="left" w:pos="851"/>
        </w:tabs>
      </w:pPr>
      <w:r>
        <w:tab/>
        <w:t>[Heading inserted in Gazette 30 Jan 2004 p. 390.]</w:t>
      </w:r>
    </w:p>
    <w:p>
      <w:pPr>
        <w:pStyle w:val="Heading5"/>
      </w:pPr>
      <w:bookmarkStart w:id="565" w:name="_Toc124141982"/>
      <w:bookmarkStart w:id="566" w:name="_Toc233689317"/>
      <w:bookmarkStart w:id="567" w:name="_Toc348893864"/>
      <w:r>
        <w:rPr>
          <w:rStyle w:val="CharSectno"/>
        </w:rPr>
        <w:t>67</w:t>
      </w:r>
      <w:r>
        <w:t>.</w:t>
      </w:r>
      <w:r>
        <w:tab/>
        <w:t>Notice of intention to establish long term totalisator agency (s. 52(2))</w:t>
      </w:r>
      <w:bookmarkEnd w:id="565"/>
      <w:bookmarkEnd w:id="566"/>
      <w:bookmarkEnd w:id="567"/>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568" w:name="_Toc124141983"/>
      <w:bookmarkStart w:id="569" w:name="_Toc233689318"/>
      <w:bookmarkStart w:id="570" w:name="_Toc348893865"/>
      <w:r>
        <w:rPr>
          <w:rStyle w:val="CharSectno"/>
        </w:rPr>
        <w:t>68</w:t>
      </w:r>
      <w:r>
        <w:t>.</w:t>
      </w:r>
      <w:r>
        <w:tab/>
        <w:t>Notice of intention to establish temporary totalisator agency (s. 52(2))</w:t>
      </w:r>
      <w:bookmarkEnd w:id="568"/>
      <w:bookmarkEnd w:id="569"/>
      <w:bookmarkEnd w:id="570"/>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571" w:name="_Toc124141984"/>
      <w:bookmarkStart w:id="572" w:name="_Toc233689319"/>
      <w:bookmarkStart w:id="573" w:name="_Toc348893866"/>
      <w:r>
        <w:rPr>
          <w:rStyle w:val="CharSectno"/>
        </w:rPr>
        <w:t>69</w:t>
      </w:r>
      <w:r>
        <w:t>.</w:t>
      </w:r>
      <w:r>
        <w:tab/>
        <w:t>Information on totalisator agencies</w:t>
      </w:r>
      <w:bookmarkEnd w:id="571"/>
      <w:bookmarkEnd w:id="572"/>
      <w:bookmarkEnd w:id="573"/>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574" w:name="_Toc124141985"/>
      <w:bookmarkStart w:id="575" w:name="_Toc233689320"/>
      <w:bookmarkStart w:id="576" w:name="_Toc348893867"/>
      <w:r>
        <w:rPr>
          <w:rStyle w:val="CharSectno"/>
        </w:rPr>
        <w:t>70</w:t>
      </w:r>
      <w:r>
        <w:t>.</w:t>
      </w:r>
      <w:r>
        <w:tab/>
        <w:t>Direction to close or not to establish totalisator agency (s. 52(3))</w:t>
      </w:r>
      <w:bookmarkEnd w:id="574"/>
      <w:bookmarkEnd w:id="575"/>
      <w:bookmarkEnd w:id="576"/>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pPr>
      <w:bookmarkStart w:id="577" w:name="_Toc116990546"/>
      <w:bookmarkStart w:id="578" w:name="_Toc117047729"/>
      <w:bookmarkStart w:id="579" w:name="_Toc124141986"/>
      <w:bookmarkStart w:id="580" w:name="_Toc124142112"/>
      <w:bookmarkStart w:id="581" w:name="_Toc134521207"/>
      <w:bookmarkStart w:id="582" w:name="_Toc146505682"/>
      <w:bookmarkStart w:id="583" w:name="_Toc146520738"/>
      <w:bookmarkStart w:id="584" w:name="_Toc148162513"/>
      <w:bookmarkStart w:id="585" w:name="_Toc150229173"/>
      <w:bookmarkStart w:id="586" w:name="_Toc151199845"/>
      <w:bookmarkStart w:id="587" w:name="_Toc151261261"/>
      <w:bookmarkStart w:id="588" w:name="_Toc155067184"/>
      <w:bookmarkStart w:id="589" w:name="_Toc155158372"/>
      <w:bookmarkStart w:id="590" w:name="_Toc177793130"/>
      <w:bookmarkStart w:id="591" w:name="_Toc177878142"/>
      <w:bookmarkStart w:id="592" w:name="_Toc179709175"/>
      <w:bookmarkStart w:id="593" w:name="_Toc184710138"/>
      <w:bookmarkStart w:id="594" w:name="_Toc184719228"/>
      <w:bookmarkStart w:id="595" w:name="_Toc185654780"/>
      <w:bookmarkStart w:id="596" w:name="_Toc212947196"/>
      <w:bookmarkStart w:id="597" w:name="_Toc220898887"/>
      <w:bookmarkStart w:id="598" w:name="_Toc220899495"/>
      <w:bookmarkStart w:id="599" w:name="_Toc220899695"/>
      <w:bookmarkStart w:id="600" w:name="_Toc232310018"/>
      <w:bookmarkStart w:id="601" w:name="_Toc233689321"/>
      <w:bookmarkStart w:id="602" w:name="_Toc348893868"/>
      <w:r>
        <w:rPr>
          <w:rStyle w:val="CharPartNo"/>
        </w:rPr>
        <w:t>Part 12</w:t>
      </w:r>
      <w:r>
        <w:rPr>
          <w:b w:val="0"/>
        </w:rPr>
        <w:t> </w:t>
      </w:r>
      <w:r>
        <w:t>—</w:t>
      </w:r>
      <w:r>
        <w:rPr>
          <w:b w:val="0"/>
        </w:rPr>
        <w:t> </w:t>
      </w:r>
      <w:r>
        <w:rPr>
          <w:rStyle w:val="CharPartText"/>
        </w:rPr>
        <w:t>Consultation</w:t>
      </w:r>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Footnoteheading"/>
        <w:tabs>
          <w:tab w:val="left" w:pos="851"/>
        </w:tabs>
      </w:pPr>
      <w:r>
        <w:tab/>
        <w:t>[Heading inserted in Gazette 30 Jan 2004 p. 392.]</w:t>
      </w:r>
    </w:p>
    <w:p>
      <w:pPr>
        <w:pStyle w:val="Heading5"/>
      </w:pPr>
      <w:bookmarkStart w:id="603" w:name="_Toc124141987"/>
      <w:bookmarkStart w:id="604" w:name="_Toc233689322"/>
      <w:bookmarkStart w:id="605" w:name="_Toc348893869"/>
      <w:r>
        <w:rPr>
          <w:rStyle w:val="CharSectno"/>
        </w:rPr>
        <w:t>71</w:t>
      </w:r>
      <w:r>
        <w:t>.</w:t>
      </w:r>
      <w:r>
        <w:tab/>
        <w:t>Consultation (s. 82)</w:t>
      </w:r>
      <w:bookmarkEnd w:id="603"/>
      <w:bookmarkEnd w:id="604"/>
      <w:bookmarkEnd w:id="605"/>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blHeader/>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Pr>
          <w:p>
            <w:pPr>
              <w:pStyle w:val="Table"/>
              <w:keepNext/>
              <w:keepLines/>
            </w:pPr>
            <w:r>
              <w:t>25.</w:t>
            </w:r>
          </w:p>
        </w:tc>
        <w:tc>
          <w:tcPr>
            <w:tcW w:w="2835" w:type="dxa"/>
          </w:tcPr>
          <w:p>
            <w:pPr>
              <w:pStyle w:val="Table"/>
              <w:keepNext/>
              <w:keepLines/>
            </w:pPr>
            <w:r>
              <w:t>WA Racing Media Guild</w:t>
            </w:r>
          </w:p>
        </w:tc>
        <w:tc>
          <w:tcPr>
            <w:tcW w:w="2835" w:type="dxa"/>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606" w:name="_Toc116990548"/>
      <w:bookmarkStart w:id="607" w:name="_Toc117047731"/>
      <w:bookmarkStart w:id="608" w:name="_Toc124141988"/>
      <w:bookmarkStart w:id="609" w:name="_Toc124142114"/>
      <w:bookmarkStart w:id="610" w:name="_Toc134521209"/>
      <w:bookmarkStart w:id="611" w:name="_Toc146505684"/>
      <w:bookmarkStart w:id="612" w:name="_Toc146520740"/>
      <w:bookmarkStart w:id="613" w:name="_Toc148162515"/>
      <w:bookmarkStart w:id="614" w:name="_Toc150229175"/>
      <w:bookmarkStart w:id="615" w:name="_Toc151199847"/>
      <w:bookmarkStart w:id="616" w:name="_Toc151261263"/>
      <w:bookmarkStart w:id="617" w:name="_Toc155067186"/>
      <w:bookmarkStart w:id="618" w:name="_Toc155158374"/>
      <w:bookmarkStart w:id="619" w:name="_Toc177793132"/>
      <w:bookmarkStart w:id="620" w:name="_Toc177878144"/>
      <w:bookmarkStart w:id="621" w:name="_Toc179709177"/>
      <w:bookmarkStart w:id="622" w:name="_Toc184710140"/>
      <w:bookmarkStart w:id="623" w:name="_Toc184719230"/>
      <w:bookmarkStart w:id="624" w:name="_Toc185654782"/>
      <w:bookmarkStart w:id="625" w:name="_Toc212947198"/>
      <w:bookmarkStart w:id="626" w:name="_Toc220898889"/>
      <w:bookmarkStart w:id="627" w:name="_Toc220899497"/>
      <w:bookmarkStart w:id="628" w:name="_Toc220899697"/>
      <w:bookmarkStart w:id="629" w:name="_Toc232310020"/>
      <w:bookmarkStart w:id="630" w:name="_Toc233689323"/>
      <w:bookmarkStart w:id="631" w:name="_Toc348893870"/>
      <w:bookmarkStart w:id="632" w:name="_Toc44995656"/>
      <w:r>
        <w:rPr>
          <w:rStyle w:val="CharPartNo"/>
        </w:rPr>
        <w:t>Part 13</w:t>
      </w:r>
      <w:r>
        <w:rPr>
          <w:b w:val="0"/>
        </w:rPr>
        <w:t> </w:t>
      </w:r>
      <w:r>
        <w:t>—</w:t>
      </w:r>
      <w:r>
        <w:rPr>
          <w:b w:val="0"/>
        </w:rPr>
        <w:t> </w:t>
      </w:r>
      <w:r>
        <w:rPr>
          <w:rStyle w:val="CharPartText"/>
        </w:rPr>
        <w:t>Disciplinary action — Racing</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p>
    <w:p>
      <w:pPr>
        <w:pStyle w:val="Footnoteheading"/>
        <w:tabs>
          <w:tab w:val="left" w:pos="851"/>
        </w:tabs>
      </w:pPr>
      <w:r>
        <w:tab/>
        <w:t>[Heading inserted in Gazette 5 Nov 2004 p. 4984.]</w:t>
      </w:r>
    </w:p>
    <w:p>
      <w:pPr>
        <w:pStyle w:val="Heading5"/>
      </w:pPr>
      <w:bookmarkStart w:id="633" w:name="_Toc124141989"/>
      <w:bookmarkStart w:id="634" w:name="_Toc233689324"/>
      <w:bookmarkStart w:id="635" w:name="_Toc348893871"/>
      <w:r>
        <w:rPr>
          <w:rStyle w:val="CharSectno"/>
        </w:rPr>
        <w:t>72</w:t>
      </w:r>
      <w:r>
        <w:t>.</w:t>
      </w:r>
      <w:r>
        <w:tab/>
        <w:t>Warning off</w:t>
      </w:r>
      <w:bookmarkEnd w:id="633"/>
      <w:bookmarkEnd w:id="634"/>
      <w:bookmarkEnd w:id="635"/>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rStyle w:val="CharDefText"/>
        </w:rPr>
        <w:t>warning off notice</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rStyle w:val="CharDefText"/>
        </w:rPr>
        <w:t>show cause notice</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keepNext/>
        <w:keepLines/>
      </w:pPr>
      <w:r>
        <w:tab/>
        <w:t>(7)</w:t>
      </w:r>
      <w:r>
        <w:tab/>
        <w:t>Nothing in this regulation is to be taken to prevent RWWA delegating any function under this regulation.</w:t>
      </w:r>
    </w:p>
    <w:p>
      <w:pPr>
        <w:pStyle w:val="Footnotesection"/>
      </w:pPr>
      <w:r>
        <w:tab/>
        <w:t>[Regulation 72 inserted in Gazette 5 Nov 2004 p. 4984</w:t>
      </w:r>
      <w:r>
        <w:noBreakHyphen/>
        <w:t>5.]</w:t>
      </w:r>
    </w:p>
    <w:p>
      <w:pPr>
        <w:pStyle w:val="Heading5"/>
      </w:pPr>
      <w:bookmarkStart w:id="636" w:name="_Toc124141990"/>
      <w:bookmarkStart w:id="637" w:name="_Toc233689325"/>
      <w:bookmarkStart w:id="638" w:name="_Toc348893872"/>
      <w:r>
        <w:rPr>
          <w:rStyle w:val="CharSectno"/>
        </w:rPr>
        <w:t>73</w:t>
      </w:r>
      <w:r>
        <w:t>.</w:t>
      </w:r>
      <w:r>
        <w:tab/>
        <w:t>Failure to comply with a warning off</w:t>
      </w:r>
      <w:bookmarkEnd w:id="636"/>
      <w:bookmarkEnd w:id="637"/>
      <w:bookmarkEnd w:id="638"/>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39" w:name="_Toc124141991"/>
      <w:bookmarkStart w:id="640" w:name="_Toc124142117"/>
      <w:bookmarkStart w:id="641" w:name="_Toc134521212"/>
      <w:bookmarkStart w:id="642" w:name="_Toc146505687"/>
      <w:bookmarkStart w:id="643" w:name="_Toc146520743"/>
      <w:bookmarkStart w:id="644" w:name="_Toc148162518"/>
      <w:bookmarkStart w:id="645" w:name="_Toc150229178"/>
      <w:bookmarkStart w:id="646" w:name="_Toc151199850"/>
      <w:bookmarkStart w:id="647" w:name="_Toc151261266"/>
      <w:bookmarkStart w:id="648" w:name="_Toc155067189"/>
      <w:bookmarkStart w:id="649" w:name="_Toc155158377"/>
      <w:bookmarkStart w:id="650" w:name="_Toc177793135"/>
      <w:bookmarkStart w:id="651" w:name="_Toc177878147"/>
      <w:bookmarkStart w:id="652" w:name="_Toc179709180"/>
      <w:bookmarkStart w:id="653" w:name="_Toc184710143"/>
      <w:bookmarkStart w:id="654" w:name="_Toc184719233"/>
      <w:bookmarkStart w:id="655" w:name="_Toc185654785"/>
      <w:bookmarkStart w:id="656" w:name="_Toc212947201"/>
      <w:bookmarkStart w:id="657" w:name="_Toc220898892"/>
      <w:bookmarkStart w:id="658" w:name="_Toc220899500"/>
      <w:bookmarkStart w:id="659" w:name="_Toc220899700"/>
      <w:bookmarkStart w:id="660" w:name="_Toc232310023"/>
      <w:bookmarkStart w:id="661" w:name="_Toc233689326"/>
      <w:bookmarkStart w:id="662" w:name="_Toc348893873"/>
      <w:bookmarkEnd w:id="632"/>
      <w:r>
        <w:rPr>
          <w:rStyle w:val="CharSchNo"/>
        </w:rPr>
        <w:t>Schedule 1</w:t>
      </w:r>
      <w:r>
        <w:t> — </w:t>
      </w:r>
      <w:r>
        <w:rPr>
          <w:rStyle w:val="CharSchText"/>
        </w:rPr>
        <w:t>Fees</w:t>
      </w:r>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p>
    <w:p>
      <w:pPr>
        <w:pStyle w:val="yShoulderClause"/>
      </w:pPr>
      <w:r>
        <w:t>[r. 6(1), 13(4)]</w:t>
      </w:r>
    </w:p>
    <w:p>
      <w:pPr>
        <w:pStyle w:val="yFootnoteheading"/>
        <w:spacing w:after="60"/>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6"/>
        <w:gridCol w:w="4560"/>
        <w:gridCol w:w="881"/>
      </w:tblGrid>
      <w:tr>
        <w:tc>
          <w:tcPr>
            <w:tcW w:w="796" w:type="dxa"/>
            <w:tcBorders>
              <w:left w:val="nil"/>
              <w:bottom w:val="single" w:sz="4" w:space="0" w:color="auto"/>
              <w:right w:val="nil"/>
            </w:tcBorders>
            <w:vAlign w:val="center"/>
          </w:tcPr>
          <w:p>
            <w:pPr>
              <w:pStyle w:val="yTableNAm"/>
              <w:spacing w:before="60" w:after="60"/>
              <w:jc w:val="center"/>
              <w:rPr>
                <w:b/>
                <w:bCs/>
                <w:sz w:val="20"/>
              </w:rPr>
            </w:pPr>
            <w:r>
              <w:rPr>
                <w:b/>
                <w:bCs/>
                <w:sz w:val="20"/>
              </w:rPr>
              <w:t>Item</w:t>
            </w:r>
          </w:p>
        </w:tc>
        <w:tc>
          <w:tcPr>
            <w:tcW w:w="4560" w:type="dxa"/>
            <w:tcBorders>
              <w:left w:val="nil"/>
              <w:bottom w:val="single" w:sz="4" w:space="0" w:color="auto"/>
              <w:right w:val="nil"/>
            </w:tcBorders>
            <w:vAlign w:val="center"/>
          </w:tcPr>
          <w:p>
            <w:pPr>
              <w:pStyle w:val="yTableNAm"/>
              <w:spacing w:before="60" w:after="60"/>
              <w:jc w:val="center"/>
              <w:rPr>
                <w:b/>
                <w:bCs/>
                <w:sz w:val="20"/>
              </w:rPr>
            </w:pPr>
            <w:r>
              <w:rPr>
                <w:b/>
                <w:bCs/>
                <w:sz w:val="20"/>
              </w:rPr>
              <w:t>Subject</w:t>
            </w:r>
          </w:p>
        </w:tc>
        <w:tc>
          <w:tcPr>
            <w:tcW w:w="881" w:type="dxa"/>
            <w:tcBorders>
              <w:left w:val="nil"/>
              <w:bottom w:val="single" w:sz="4" w:space="0" w:color="auto"/>
              <w:right w:val="nil"/>
            </w:tcBorders>
            <w:vAlign w:val="center"/>
          </w:tcPr>
          <w:p>
            <w:pPr>
              <w:pStyle w:val="yTableNAm"/>
              <w:spacing w:before="60" w:after="60"/>
              <w:jc w:val="center"/>
              <w:rPr>
                <w:b/>
                <w:bCs/>
                <w:sz w:val="20"/>
              </w:rPr>
            </w:pPr>
            <w:r>
              <w:rPr>
                <w:b/>
                <w:bCs/>
                <w:sz w:val="20"/>
              </w:rPr>
              <w:t>$</w:t>
            </w:r>
          </w:p>
        </w:tc>
      </w:tr>
      <w:tr>
        <w:tc>
          <w:tcPr>
            <w:tcW w:w="796" w:type="dxa"/>
            <w:tcBorders>
              <w:top w:val="nil"/>
              <w:left w:val="nil"/>
              <w:bottom w:val="nil"/>
              <w:right w:val="nil"/>
            </w:tcBorders>
          </w:tcPr>
          <w:p>
            <w:pPr>
              <w:pStyle w:val="yTableNAm"/>
              <w:jc w:val="center"/>
              <w:rPr>
                <w:sz w:val="20"/>
              </w:rPr>
            </w:pPr>
            <w:r>
              <w:rPr>
                <w:sz w:val="20"/>
              </w:rPr>
              <w:t>1</w:t>
            </w:r>
          </w:p>
        </w:tc>
        <w:tc>
          <w:tcPr>
            <w:tcW w:w="4560" w:type="dxa"/>
            <w:tcBorders>
              <w:top w:val="nil"/>
              <w:left w:val="nil"/>
              <w:bottom w:val="nil"/>
              <w:right w:val="nil"/>
            </w:tcBorders>
          </w:tcPr>
          <w:p>
            <w:pPr>
              <w:pStyle w:val="yTableNAm"/>
              <w:rPr>
                <w:sz w:val="20"/>
              </w:rPr>
            </w:pPr>
            <w:r>
              <w:rPr>
                <w:sz w:val="20"/>
              </w:rPr>
              <w:t>Application fee for licence (r. 6(1)(c)(i); 13(4)(c)(i))</w:t>
            </w:r>
          </w:p>
        </w:tc>
        <w:tc>
          <w:tcPr>
            <w:tcW w:w="881" w:type="dxa"/>
            <w:tcBorders>
              <w:top w:val="nil"/>
              <w:left w:val="nil"/>
              <w:bottom w:val="nil"/>
              <w:right w:val="nil"/>
            </w:tcBorders>
          </w:tcPr>
          <w:p>
            <w:pPr>
              <w:pStyle w:val="yTableNAm"/>
              <w:jc w:val="center"/>
              <w:rPr>
                <w:sz w:val="20"/>
              </w:rPr>
            </w:pPr>
            <w:del w:id="663" w:author="Master Repository Process" w:date="2021-09-12T13:22:00Z">
              <w:r>
                <w:rPr>
                  <w:sz w:val="20"/>
                </w:rPr>
                <w:tab/>
              </w:r>
            </w:del>
            <w:r>
              <w:rPr>
                <w:sz w:val="20"/>
              </w:rPr>
              <w:t>380</w:t>
            </w:r>
          </w:p>
        </w:tc>
      </w:tr>
      <w:tr>
        <w:tc>
          <w:tcPr>
            <w:tcW w:w="796" w:type="dxa"/>
            <w:tcBorders>
              <w:top w:val="nil"/>
              <w:left w:val="nil"/>
              <w:bottom w:val="single" w:sz="4" w:space="0" w:color="auto"/>
              <w:right w:val="nil"/>
            </w:tcBorders>
          </w:tcPr>
          <w:p>
            <w:pPr>
              <w:pStyle w:val="yTableNAm"/>
              <w:jc w:val="center"/>
              <w:rPr>
                <w:sz w:val="20"/>
              </w:rPr>
            </w:pPr>
            <w:r>
              <w:rPr>
                <w:sz w:val="20"/>
              </w:rPr>
              <w:t>2</w:t>
            </w:r>
          </w:p>
        </w:tc>
        <w:tc>
          <w:tcPr>
            <w:tcW w:w="4560" w:type="dxa"/>
            <w:tcBorders>
              <w:top w:val="nil"/>
              <w:left w:val="nil"/>
              <w:bottom w:val="single" w:sz="4" w:space="0" w:color="auto"/>
              <w:right w:val="nil"/>
            </w:tcBorders>
          </w:tcPr>
          <w:p>
            <w:pPr>
              <w:pStyle w:val="yTableNAm"/>
              <w:rPr>
                <w:sz w:val="20"/>
              </w:rPr>
            </w:pPr>
            <w:r>
              <w:rPr>
                <w:sz w:val="20"/>
              </w:rPr>
              <w:t>Application fee for renewal of licence (r. 6(1)(c)(i); 13(4)(c)(i))</w:t>
            </w:r>
          </w:p>
        </w:tc>
        <w:tc>
          <w:tcPr>
            <w:tcW w:w="881" w:type="dxa"/>
            <w:tcBorders>
              <w:top w:val="nil"/>
              <w:left w:val="nil"/>
              <w:bottom w:val="single" w:sz="4" w:space="0" w:color="auto"/>
              <w:right w:val="nil"/>
            </w:tcBorders>
          </w:tcPr>
          <w:p>
            <w:pPr>
              <w:pStyle w:val="yTableNAm"/>
              <w:jc w:val="center"/>
              <w:rPr>
                <w:sz w:val="20"/>
              </w:rPr>
            </w:pPr>
            <w:r>
              <w:rPr>
                <w:sz w:val="20"/>
              </w:rPr>
              <w:br/>
            </w:r>
            <w:del w:id="664" w:author="Master Repository Process" w:date="2021-09-12T13:22:00Z">
              <w:r>
                <w:rPr>
                  <w:sz w:val="20"/>
                </w:rPr>
                <w:tab/>
              </w:r>
            </w:del>
            <w:r>
              <w:rPr>
                <w:sz w:val="20"/>
              </w:rPr>
              <w:t>105</w:t>
            </w:r>
          </w:p>
        </w:tc>
      </w:tr>
    </w:tbl>
    <w:p>
      <w:pPr>
        <w:pStyle w:val="yFootnotesection"/>
      </w:pPr>
      <w:r>
        <w:tab/>
        <w:t>[Schedule 1 inserted in Gazette 14 Oct 2005 p. 4568; amended in Gazette 14 Nov 2006 p. 4737; 9 Oct 2007 p. 5357; 28 Oct 2008 p. 4738.]</w:t>
      </w:r>
    </w:p>
    <w:p>
      <w:pPr>
        <w:pStyle w:val="CentredBaseLine"/>
        <w:jc w:val="center"/>
        <w:rPr>
          <w:ins w:id="665" w:author="Master Repository Process" w:date="2021-09-12T13:22:00Z"/>
        </w:rPr>
      </w:pPr>
      <w:ins w:id="666" w:author="Master Repository Process" w:date="2021-09-12T13:22: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pacing w:before="60" w:after="60"/>
        <w:sectPr>
          <w:headerReference w:type="even" r:id="rId22"/>
          <w:headerReference w:type="default" r:id="rId23"/>
          <w:headerReference w:type="first" r:id="rId24"/>
          <w:endnotePr>
            <w:numFmt w:val="decimal"/>
          </w:endnotePr>
          <w:pgSz w:w="11906" w:h="16838" w:code="9"/>
          <w:pgMar w:top="2376" w:right="2405" w:bottom="3542" w:left="2405" w:header="706" w:footer="3380" w:gutter="0"/>
          <w:cols w:space="720"/>
          <w:noEndnote/>
          <w:docGrid w:linePitch="326"/>
        </w:sectPr>
      </w:pPr>
    </w:p>
    <w:p>
      <w:pPr>
        <w:pStyle w:val="nHeading2"/>
      </w:pPr>
      <w:bookmarkStart w:id="667" w:name="_Toc116990552"/>
      <w:bookmarkStart w:id="668" w:name="_Toc117047735"/>
      <w:bookmarkStart w:id="669" w:name="_Toc124141992"/>
      <w:bookmarkStart w:id="670" w:name="_Toc124142118"/>
      <w:bookmarkStart w:id="671" w:name="_Toc134521213"/>
      <w:bookmarkStart w:id="672" w:name="_Toc146505688"/>
      <w:bookmarkStart w:id="673" w:name="_Toc146520744"/>
      <w:bookmarkStart w:id="674" w:name="_Toc148162519"/>
      <w:bookmarkStart w:id="675" w:name="_Toc150229179"/>
      <w:bookmarkStart w:id="676" w:name="_Toc151199851"/>
      <w:bookmarkStart w:id="677" w:name="_Toc151261267"/>
      <w:bookmarkStart w:id="678" w:name="_Toc155067190"/>
      <w:bookmarkStart w:id="679" w:name="_Toc155158378"/>
      <w:bookmarkStart w:id="680" w:name="_Toc177793136"/>
      <w:bookmarkStart w:id="681" w:name="_Toc177878148"/>
      <w:bookmarkStart w:id="682" w:name="_Toc179709181"/>
      <w:bookmarkStart w:id="683" w:name="_Toc184710144"/>
      <w:bookmarkStart w:id="684" w:name="_Toc184719234"/>
      <w:bookmarkStart w:id="685" w:name="_Toc185654786"/>
      <w:bookmarkStart w:id="686" w:name="_Toc212947202"/>
      <w:bookmarkStart w:id="687" w:name="_Toc220898893"/>
      <w:bookmarkStart w:id="688" w:name="_Toc220899501"/>
      <w:bookmarkStart w:id="689" w:name="_Toc220899701"/>
      <w:bookmarkStart w:id="690" w:name="_Toc232310024"/>
      <w:bookmarkStart w:id="691" w:name="_Toc233689327"/>
      <w:bookmarkStart w:id="692" w:name="_Toc348893874"/>
      <w:r>
        <w:t>Notes</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nSubsection"/>
        <w:rPr>
          <w:snapToGrid w:val="0"/>
        </w:rPr>
      </w:pPr>
      <w:bookmarkStart w:id="693" w:name="_Toc511102520"/>
      <w:bookmarkStart w:id="694" w:name="_Toc513888953"/>
      <w:r>
        <w:rPr>
          <w:snapToGrid w:val="0"/>
          <w:vertAlign w:val="superscript"/>
        </w:rPr>
        <w:t>1</w:t>
      </w:r>
      <w:r>
        <w:rPr>
          <w:snapToGrid w:val="0"/>
        </w:rPr>
        <w:tab/>
        <w:t xml:space="preserve">This </w:t>
      </w:r>
      <w:ins w:id="695" w:author="Master Repository Process" w:date="2021-09-12T13:22:00Z">
        <w:r>
          <w:rPr>
            <w:snapToGrid w:val="0"/>
          </w:rPr>
          <w:t xml:space="preserve">reprint </w:t>
        </w:r>
      </w:ins>
      <w:r>
        <w:rPr>
          <w:snapToGrid w:val="0"/>
        </w:rPr>
        <w:t xml:space="preserve">is a compilation </w:t>
      </w:r>
      <w:ins w:id="696" w:author="Master Repository Process" w:date="2021-09-12T13:22:00Z">
        <w:r>
          <w:rPr>
            <w:snapToGrid w:val="0"/>
          </w:rPr>
          <w:t xml:space="preserve">as at 19 June 2009 </w:t>
        </w:r>
      </w:ins>
      <w:r>
        <w:rPr>
          <w:snapToGrid w:val="0"/>
        </w:rPr>
        <w:t xml:space="preserve">of the </w:t>
      </w:r>
      <w:r>
        <w:rPr>
          <w:i/>
          <w:noProof/>
          <w:snapToGrid w:val="0"/>
        </w:rPr>
        <w:t>Racing and Wagering Western Australia Regulations</w:t>
      </w:r>
      <w:del w:id="697" w:author="Master Repository Process" w:date="2021-09-12T13:22:00Z">
        <w:r>
          <w:rPr>
            <w:i/>
            <w:noProof/>
            <w:snapToGrid w:val="0"/>
          </w:rPr>
          <w:delText> </w:delText>
        </w:r>
      </w:del>
      <w:ins w:id="698" w:author="Master Repository Process" w:date="2021-09-12T13:22:00Z">
        <w:r>
          <w:rPr>
            <w:i/>
            <w:noProof/>
            <w:snapToGrid w:val="0"/>
          </w:rPr>
          <w:t xml:space="preserve"> </w:t>
        </w:r>
      </w:ins>
      <w:r>
        <w:rPr>
          <w:i/>
          <w:noProof/>
          <w:snapToGrid w:val="0"/>
        </w:rPr>
        <w:t>2003</w:t>
      </w:r>
      <w:r>
        <w:rPr>
          <w:snapToGrid w:val="0"/>
        </w:rPr>
        <w:t xml:space="preserve"> and includes the amendments made by the other written laws referred to in the following table.  The table also contains information about any reprint.</w:t>
      </w:r>
    </w:p>
    <w:p>
      <w:pPr>
        <w:pStyle w:val="nHeading3"/>
      </w:pPr>
      <w:bookmarkStart w:id="699" w:name="_Toc233689328"/>
      <w:bookmarkStart w:id="700" w:name="_Toc348893875"/>
      <w:bookmarkEnd w:id="693"/>
      <w:bookmarkEnd w:id="694"/>
      <w:r>
        <w:t>Compilation table</w:t>
      </w:r>
      <w:bookmarkEnd w:id="699"/>
      <w:bookmarkEnd w:id="7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Racing and Wagering Western Australia Regulations 2003</w:t>
            </w:r>
          </w:p>
        </w:tc>
        <w:tc>
          <w:tcPr>
            <w:tcW w:w="1276" w:type="dxa"/>
            <w:tcBorders>
              <w:top w:val="single" w:sz="8" w:space="0" w:color="auto"/>
            </w:tcBorders>
          </w:tcPr>
          <w:p>
            <w:pPr>
              <w:pStyle w:val="nTable"/>
              <w:spacing w:after="40"/>
              <w:rPr>
                <w:sz w:val="19"/>
              </w:rPr>
            </w:pPr>
            <w:r>
              <w:rPr>
                <w:sz w:val="19"/>
              </w:rPr>
              <w:t>29 Jul 2003 p. 3273</w:t>
            </w:r>
            <w:r>
              <w:rPr>
                <w:sz w:val="19"/>
              </w:rPr>
              <w:noBreakHyphen/>
              <w:t>91</w:t>
            </w:r>
          </w:p>
        </w:tc>
        <w:tc>
          <w:tcPr>
            <w:tcW w:w="2693" w:type="dxa"/>
            <w:tcBorders>
              <w:top w:val="single" w:sz="8" w:space="0" w:color="auto"/>
            </w:tcBorders>
          </w:tcPr>
          <w:p>
            <w:pPr>
              <w:pStyle w:val="nTable"/>
              <w:spacing w:after="40"/>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spacing w:after="40"/>
              <w:rPr>
                <w:i/>
                <w:sz w:val="19"/>
              </w:rPr>
            </w:pPr>
            <w:r>
              <w:rPr>
                <w:i/>
                <w:sz w:val="19"/>
              </w:rPr>
              <w:t>Racing and Wagering Western Australia Amendment Regulations 2004</w:t>
            </w:r>
          </w:p>
        </w:tc>
        <w:tc>
          <w:tcPr>
            <w:tcW w:w="1276" w:type="dxa"/>
          </w:tcPr>
          <w:p>
            <w:pPr>
              <w:pStyle w:val="nTable"/>
              <w:spacing w:after="40"/>
              <w:rPr>
                <w:sz w:val="19"/>
              </w:rPr>
            </w:pPr>
            <w:r>
              <w:rPr>
                <w:sz w:val="19"/>
              </w:rPr>
              <w:t>30 Jan 2004 p. 355</w:t>
            </w:r>
            <w:r>
              <w:rPr>
                <w:sz w:val="19"/>
              </w:rPr>
              <w:noBreakHyphen/>
              <w:t>94</w:t>
            </w:r>
          </w:p>
        </w:tc>
        <w:tc>
          <w:tcPr>
            <w:tcW w:w="2693" w:type="dxa"/>
          </w:tcPr>
          <w:p>
            <w:pPr>
              <w:pStyle w:val="nTable"/>
              <w:spacing w:after="40"/>
              <w:rPr>
                <w:sz w:val="19"/>
              </w:rPr>
            </w:pPr>
            <w:r>
              <w:rPr>
                <w:sz w:val="19"/>
              </w:rPr>
              <w:t>30 Jan 2004 (see r. 2)</w:t>
            </w:r>
          </w:p>
        </w:tc>
      </w:tr>
      <w:tr>
        <w:tc>
          <w:tcPr>
            <w:tcW w:w="3119" w:type="dxa"/>
          </w:tcPr>
          <w:p>
            <w:pPr>
              <w:pStyle w:val="nTable"/>
              <w:spacing w:after="40"/>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spacing w:after="40"/>
              <w:rPr>
                <w:sz w:val="19"/>
              </w:rPr>
            </w:pPr>
            <w:r>
              <w:rPr>
                <w:sz w:val="19"/>
              </w:rPr>
              <w:t>5 Nov 2004 p. 4984</w:t>
            </w:r>
            <w:r>
              <w:rPr>
                <w:sz w:val="19"/>
              </w:rPr>
              <w:noBreakHyphen/>
              <w:t>6</w:t>
            </w:r>
          </w:p>
        </w:tc>
        <w:tc>
          <w:tcPr>
            <w:tcW w:w="2693" w:type="dxa"/>
          </w:tcPr>
          <w:p>
            <w:pPr>
              <w:pStyle w:val="nTable"/>
              <w:spacing w:after="40"/>
              <w:rPr>
                <w:sz w:val="19"/>
              </w:rPr>
            </w:pPr>
            <w:r>
              <w:rPr>
                <w:sz w:val="19"/>
              </w:rPr>
              <w:t>5 Nov 2004 (see r. 2)</w:t>
            </w:r>
          </w:p>
        </w:tc>
      </w:tr>
      <w:tr>
        <w:tc>
          <w:tcPr>
            <w:tcW w:w="3119" w:type="dxa"/>
          </w:tcPr>
          <w:p>
            <w:pPr>
              <w:pStyle w:val="nTable"/>
              <w:spacing w:after="40"/>
              <w:rPr>
                <w:i/>
                <w:sz w:val="19"/>
              </w:rPr>
            </w:pPr>
            <w:r>
              <w:rPr>
                <w:i/>
                <w:sz w:val="19"/>
              </w:rPr>
              <w:t>Racing and Wagering Western Australia Amendment Regulations 2005</w:t>
            </w:r>
          </w:p>
        </w:tc>
        <w:tc>
          <w:tcPr>
            <w:tcW w:w="1276" w:type="dxa"/>
          </w:tcPr>
          <w:p>
            <w:pPr>
              <w:pStyle w:val="nTable"/>
              <w:spacing w:after="40"/>
              <w:rPr>
                <w:sz w:val="19"/>
              </w:rPr>
            </w:pPr>
            <w:r>
              <w:rPr>
                <w:sz w:val="19"/>
              </w:rPr>
              <w:t>14 Oct 2005 p. 4567</w:t>
            </w:r>
            <w:r>
              <w:rPr>
                <w:sz w:val="19"/>
              </w:rPr>
              <w:noBreakHyphen/>
              <w:t>8</w:t>
            </w:r>
          </w:p>
        </w:tc>
        <w:tc>
          <w:tcPr>
            <w:tcW w:w="2693" w:type="dxa"/>
          </w:tcPr>
          <w:p>
            <w:pPr>
              <w:pStyle w:val="nTable"/>
              <w:spacing w:after="40"/>
              <w:rPr>
                <w:sz w:val="19"/>
              </w:rPr>
            </w:pPr>
            <w:r>
              <w:rPr>
                <w:sz w:val="19"/>
              </w:rPr>
              <w:t>1 Jan 2006 (see r. 2)</w:t>
            </w:r>
          </w:p>
        </w:tc>
      </w:tr>
      <w:tr>
        <w:tc>
          <w:tcPr>
            <w:tcW w:w="3119" w:type="dxa"/>
          </w:tcPr>
          <w:p>
            <w:pPr>
              <w:pStyle w:val="nTable"/>
              <w:spacing w:after="40"/>
              <w:rPr>
                <w:i/>
                <w:sz w:val="19"/>
              </w:rPr>
            </w:pPr>
            <w:r>
              <w:rPr>
                <w:i/>
                <w:sz w:val="19"/>
              </w:rPr>
              <w:t>Racing and Wagering Western Australia Amendment Regulations 2006</w:t>
            </w:r>
          </w:p>
        </w:tc>
        <w:tc>
          <w:tcPr>
            <w:tcW w:w="1276" w:type="dxa"/>
          </w:tcPr>
          <w:p>
            <w:pPr>
              <w:pStyle w:val="nTable"/>
              <w:spacing w:after="40"/>
              <w:rPr>
                <w:sz w:val="19"/>
              </w:rPr>
            </w:pPr>
            <w:r>
              <w:rPr>
                <w:sz w:val="19"/>
              </w:rPr>
              <w:t>5 May 2006 p. 1737</w:t>
            </w:r>
            <w:r>
              <w:rPr>
                <w:sz w:val="19"/>
              </w:rPr>
              <w:noBreakHyphen/>
              <w:t>40</w:t>
            </w:r>
          </w:p>
        </w:tc>
        <w:tc>
          <w:tcPr>
            <w:tcW w:w="2693" w:type="dxa"/>
          </w:tcPr>
          <w:p>
            <w:pPr>
              <w:pStyle w:val="nTable"/>
              <w:spacing w:after="40"/>
              <w:rPr>
                <w:sz w:val="19"/>
              </w:rPr>
            </w:pPr>
            <w:r>
              <w:rPr>
                <w:sz w:val="19"/>
              </w:rPr>
              <w:t>5 May 2006</w:t>
            </w:r>
          </w:p>
        </w:tc>
      </w:tr>
      <w:tr>
        <w:tc>
          <w:tcPr>
            <w:tcW w:w="3119" w:type="dxa"/>
          </w:tcPr>
          <w:p>
            <w:pPr>
              <w:pStyle w:val="nTable"/>
              <w:spacing w:after="40"/>
              <w:rPr>
                <w:i/>
                <w:sz w:val="19"/>
              </w:rPr>
            </w:pPr>
            <w:r>
              <w:rPr>
                <w:i/>
                <w:sz w:val="19"/>
              </w:rPr>
              <w:t>Racing and Wagering Western Australia Amendment Regulations (No. 2) 2006</w:t>
            </w:r>
          </w:p>
        </w:tc>
        <w:tc>
          <w:tcPr>
            <w:tcW w:w="1276" w:type="dxa"/>
          </w:tcPr>
          <w:p>
            <w:pPr>
              <w:pStyle w:val="nTable"/>
              <w:spacing w:after="40"/>
              <w:rPr>
                <w:sz w:val="19"/>
              </w:rPr>
            </w:pPr>
            <w:r>
              <w:rPr>
                <w:sz w:val="19"/>
              </w:rPr>
              <w:t>14 Jul 2006 p. 2569</w:t>
            </w:r>
            <w:r>
              <w:rPr>
                <w:sz w:val="19"/>
              </w:rPr>
              <w:noBreakHyphen/>
              <w:t>70</w:t>
            </w:r>
          </w:p>
        </w:tc>
        <w:tc>
          <w:tcPr>
            <w:tcW w:w="2693" w:type="dxa"/>
          </w:tcPr>
          <w:p>
            <w:pPr>
              <w:pStyle w:val="nTable"/>
              <w:spacing w:after="40"/>
              <w:rPr>
                <w:sz w:val="19"/>
              </w:rPr>
            </w:pPr>
            <w:r>
              <w:rPr>
                <w:sz w:val="19"/>
              </w:rPr>
              <w:t>14 Jul 2006</w:t>
            </w:r>
          </w:p>
        </w:tc>
      </w:tr>
      <w:tr>
        <w:trPr>
          <w:cantSplit/>
        </w:trPr>
        <w:tc>
          <w:tcPr>
            <w:tcW w:w="7088" w:type="dxa"/>
            <w:gridSpan w:val="3"/>
          </w:tcPr>
          <w:p>
            <w:pPr>
              <w:pStyle w:val="nTable"/>
              <w:spacing w:after="40"/>
              <w:rPr>
                <w:sz w:val="19"/>
              </w:rPr>
            </w:pPr>
            <w:r>
              <w:rPr>
                <w:b/>
                <w:bCs/>
                <w:sz w:val="19"/>
              </w:rPr>
              <w:t xml:space="preserve">Reprint 1: The </w:t>
            </w:r>
            <w:r>
              <w:rPr>
                <w:b/>
                <w:bCs/>
                <w:i/>
                <w:sz w:val="19"/>
              </w:rPr>
              <w:t>Racing and Wagering Western Australia Regulations 2003</w:t>
            </w:r>
            <w:r>
              <w:rPr>
                <w:b/>
                <w:bCs/>
                <w:sz w:val="19"/>
              </w:rPr>
              <w:t xml:space="preserve"> as at 6 Oct 2006</w:t>
            </w:r>
            <w:r>
              <w:rPr>
                <w:sz w:val="19"/>
              </w:rPr>
              <w:t xml:space="preserve"> (includes amendments listed above)</w:t>
            </w:r>
          </w:p>
        </w:tc>
      </w:tr>
      <w:tr>
        <w:tc>
          <w:tcPr>
            <w:tcW w:w="3119" w:type="dxa"/>
          </w:tcPr>
          <w:p>
            <w:pPr>
              <w:pStyle w:val="nTable"/>
              <w:spacing w:after="40"/>
              <w:rPr>
                <w:sz w:val="19"/>
              </w:rPr>
            </w:pPr>
            <w:r>
              <w:rPr>
                <w:i/>
                <w:sz w:val="19"/>
              </w:rPr>
              <w:t>Racing and Wagering Western Australia Amendment Regulations (No. 3) 2006</w:t>
            </w:r>
          </w:p>
        </w:tc>
        <w:tc>
          <w:tcPr>
            <w:tcW w:w="1276" w:type="dxa"/>
          </w:tcPr>
          <w:p>
            <w:pPr>
              <w:pStyle w:val="nTable"/>
              <w:spacing w:after="40"/>
              <w:rPr>
                <w:sz w:val="19"/>
              </w:rPr>
            </w:pPr>
            <w:r>
              <w:rPr>
                <w:sz w:val="19"/>
              </w:rPr>
              <w:t>14 Nov 2006 p. 4736</w:t>
            </w:r>
            <w:r>
              <w:rPr>
                <w:sz w:val="19"/>
              </w:rPr>
              <w:noBreakHyphen/>
              <w:t>7</w:t>
            </w:r>
          </w:p>
        </w:tc>
        <w:tc>
          <w:tcPr>
            <w:tcW w:w="2693" w:type="dxa"/>
          </w:tcPr>
          <w:p>
            <w:pPr>
              <w:pStyle w:val="nTable"/>
              <w:spacing w:after="40"/>
              <w:rPr>
                <w:sz w:val="19"/>
              </w:rPr>
            </w:pPr>
            <w:r>
              <w:rPr>
                <w:snapToGrid w:val="0"/>
                <w:sz w:val="19"/>
                <w:lang w:val="en-US"/>
              </w:rPr>
              <w:t>1 Jan 2007 (see r. 2)</w:t>
            </w:r>
          </w:p>
        </w:tc>
      </w:tr>
      <w:tr>
        <w:tc>
          <w:tcPr>
            <w:tcW w:w="3119" w:type="dxa"/>
          </w:tcPr>
          <w:p>
            <w:pPr>
              <w:pStyle w:val="nTable"/>
              <w:spacing w:after="40"/>
              <w:rPr>
                <w:i/>
                <w:sz w:val="19"/>
              </w:rPr>
            </w:pPr>
            <w:r>
              <w:rPr>
                <w:i/>
                <w:sz w:val="19"/>
              </w:rPr>
              <w:t>Racing and Wagering Western Australia Amendment Regulations 2007</w:t>
            </w:r>
          </w:p>
        </w:tc>
        <w:tc>
          <w:tcPr>
            <w:tcW w:w="1276" w:type="dxa"/>
          </w:tcPr>
          <w:p>
            <w:pPr>
              <w:pStyle w:val="nTable"/>
              <w:spacing w:after="40"/>
              <w:rPr>
                <w:sz w:val="19"/>
              </w:rPr>
            </w:pPr>
            <w:r>
              <w:rPr>
                <w:sz w:val="19"/>
              </w:rPr>
              <w:t>18 Sep 2007 p. 4715</w:t>
            </w:r>
            <w:r>
              <w:rPr>
                <w:sz w:val="19"/>
              </w:rPr>
              <w:noBreakHyphen/>
              <w:t>16</w:t>
            </w:r>
          </w:p>
        </w:tc>
        <w:tc>
          <w:tcPr>
            <w:tcW w:w="2693" w:type="dxa"/>
          </w:tcPr>
          <w:p>
            <w:pPr>
              <w:pStyle w:val="nTable"/>
              <w:spacing w:after="40"/>
              <w:rPr>
                <w:snapToGrid w:val="0"/>
                <w:sz w:val="19"/>
                <w:lang w:val="en-US"/>
              </w:rPr>
            </w:pPr>
            <w:r>
              <w:rPr>
                <w:snapToGrid w:val="0"/>
                <w:sz w:val="19"/>
                <w:lang w:val="en-US"/>
              </w:rPr>
              <w:t>r. 1 and 2: 18 Sep 2007</w:t>
            </w:r>
            <w:del w:id="701" w:author="Master Repository Process" w:date="2021-09-12T13:22:00Z">
              <w:r>
                <w:rPr>
                  <w:snapToGrid w:val="0"/>
                  <w:sz w:val="19"/>
                  <w:lang w:val="en-US"/>
                </w:rPr>
                <w:delText xml:space="preserve"> </w:delText>
              </w:r>
            </w:del>
            <w:ins w:id="702" w:author="Master Repository Process" w:date="2021-09-12T13:22:00Z">
              <w:r>
                <w:rPr>
                  <w:snapToGrid w:val="0"/>
                  <w:sz w:val="19"/>
                  <w:lang w:val="en-US"/>
                </w:rPr>
                <w:br/>
              </w:r>
            </w:ins>
            <w:r>
              <w:rPr>
                <w:snapToGrid w:val="0"/>
                <w:sz w:val="19"/>
                <w:lang w:val="en-US"/>
              </w:rPr>
              <w:t>(see r. 2(a));</w:t>
            </w:r>
            <w:r>
              <w:rPr>
                <w:snapToGrid w:val="0"/>
                <w:sz w:val="19"/>
                <w:lang w:val="en-US"/>
              </w:rPr>
              <w:br/>
              <w:t>Regulations other than r. 1 and 2: 19 Sep 2007 (see r. 2(b))</w:t>
            </w:r>
          </w:p>
        </w:tc>
      </w:tr>
      <w:tr>
        <w:tc>
          <w:tcPr>
            <w:tcW w:w="3119" w:type="dxa"/>
          </w:tcPr>
          <w:p>
            <w:pPr>
              <w:pStyle w:val="nTable"/>
              <w:spacing w:after="40"/>
              <w:rPr>
                <w:i/>
                <w:sz w:val="19"/>
              </w:rPr>
            </w:pPr>
            <w:r>
              <w:rPr>
                <w:i/>
                <w:sz w:val="19"/>
              </w:rPr>
              <w:t>Racing and Wagering Western Australia Amendment Regulations (No. 3) 2007</w:t>
            </w:r>
            <w:del w:id="703" w:author="Master Repository Process" w:date="2021-09-12T13:22:00Z">
              <w:r>
                <w:rPr>
                  <w:i/>
                  <w:sz w:val="19"/>
                </w:rPr>
                <w:delText> </w:delText>
              </w:r>
            </w:del>
          </w:p>
        </w:tc>
        <w:tc>
          <w:tcPr>
            <w:tcW w:w="1276" w:type="dxa"/>
          </w:tcPr>
          <w:p>
            <w:pPr>
              <w:pStyle w:val="nTable"/>
              <w:spacing w:after="40"/>
              <w:rPr>
                <w:sz w:val="19"/>
              </w:rPr>
            </w:pPr>
            <w:r>
              <w:rPr>
                <w:sz w:val="19"/>
              </w:rPr>
              <w:t>9 Oct 2007 p. 5357</w:t>
            </w:r>
          </w:p>
        </w:tc>
        <w:tc>
          <w:tcPr>
            <w:tcW w:w="2693" w:type="dxa"/>
          </w:tcPr>
          <w:p>
            <w:pPr>
              <w:pStyle w:val="nTable"/>
              <w:spacing w:after="40"/>
              <w:rPr>
                <w:snapToGrid w:val="0"/>
                <w:sz w:val="19"/>
                <w:lang w:val="en-US"/>
              </w:rPr>
            </w:pPr>
            <w:r>
              <w:rPr>
                <w:snapToGrid w:val="0"/>
                <w:sz w:val="19"/>
                <w:lang w:val="en-US"/>
              </w:rPr>
              <w:t>r. 1 and 2: 9 Oct 2007 (see r. 2(a</w:t>
            </w:r>
            <w:del w:id="704" w:author="Master Repository Process" w:date="2021-09-12T13:22:00Z">
              <w:r>
                <w:rPr>
                  <w:snapToGrid w:val="0"/>
                  <w:sz w:val="19"/>
                  <w:lang w:val="en-US"/>
                </w:rPr>
                <w:delText>))</w:delText>
              </w:r>
            </w:del>
            <w:ins w:id="705" w:author="Master Repository Process" w:date="2021-09-12T13:22:00Z">
              <w:r>
                <w:rPr>
                  <w:snapToGrid w:val="0"/>
                  <w:sz w:val="19"/>
                  <w:lang w:val="en-US"/>
                </w:rPr>
                <w:t>));</w:t>
              </w:r>
            </w:ins>
            <w:r>
              <w:rPr>
                <w:snapToGrid w:val="0"/>
                <w:sz w:val="19"/>
                <w:lang w:val="en-US"/>
              </w:rPr>
              <w:br/>
              <w:t xml:space="preserve">Regulations other than r. 1 and 2: </w:t>
            </w:r>
            <w:r>
              <w:rPr>
                <w:sz w:val="19"/>
              </w:rPr>
              <w:t>1 Jan 2008 (see r. 2(b))</w:t>
            </w:r>
            <w:r>
              <w:rPr>
                <w:snapToGrid w:val="0"/>
                <w:sz w:val="19"/>
                <w:lang w:val="en-US"/>
              </w:rPr>
              <w:t xml:space="preserve"> </w:t>
            </w:r>
          </w:p>
        </w:tc>
      </w:tr>
      <w:tr>
        <w:trPr>
          <w:cantSplit/>
        </w:trPr>
        <w:tc>
          <w:tcPr>
            <w:tcW w:w="3119" w:type="dxa"/>
          </w:tcPr>
          <w:p>
            <w:pPr>
              <w:pStyle w:val="nTable"/>
              <w:spacing w:after="40"/>
              <w:rPr>
                <w:i/>
                <w:sz w:val="19"/>
              </w:rPr>
            </w:pPr>
            <w:r>
              <w:rPr>
                <w:i/>
                <w:sz w:val="19"/>
              </w:rPr>
              <w:t>Racing and Wagering Western Australia Amendment Regulations (No. 2) 2007</w:t>
            </w:r>
          </w:p>
        </w:tc>
        <w:tc>
          <w:tcPr>
            <w:tcW w:w="1276" w:type="dxa"/>
          </w:tcPr>
          <w:p>
            <w:pPr>
              <w:pStyle w:val="nTable"/>
              <w:spacing w:after="40"/>
              <w:rPr>
                <w:sz w:val="19"/>
              </w:rPr>
            </w:pPr>
            <w:r>
              <w:rPr>
                <w:bCs/>
                <w:sz w:val="19"/>
              </w:rPr>
              <w:t>7 Dec 2007 p. 5985</w:t>
            </w:r>
            <w:del w:id="706" w:author="Master Repository Process" w:date="2021-09-12T13:22:00Z">
              <w:r>
                <w:rPr>
                  <w:bCs/>
                  <w:sz w:val="19"/>
                </w:rPr>
                <w:delText>-</w:delText>
              </w:r>
            </w:del>
            <w:ins w:id="707" w:author="Master Repository Process" w:date="2021-09-12T13:22:00Z">
              <w:r>
                <w:rPr>
                  <w:bCs/>
                  <w:sz w:val="19"/>
                </w:rPr>
                <w:noBreakHyphen/>
              </w:r>
            </w:ins>
            <w:r>
              <w:rPr>
                <w:bCs/>
                <w:sz w:val="19"/>
              </w:rPr>
              <w:t>6</w:t>
            </w:r>
          </w:p>
        </w:tc>
        <w:tc>
          <w:tcPr>
            <w:tcW w:w="2693" w:type="dxa"/>
          </w:tcPr>
          <w:p>
            <w:pPr>
              <w:pStyle w:val="nTable"/>
              <w:spacing w:after="40"/>
              <w:rPr>
                <w:del w:id="708" w:author="Master Repository Process" w:date="2021-09-12T13:22:00Z"/>
                <w:bCs/>
                <w:sz w:val="19"/>
              </w:rPr>
            </w:pPr>
            <w:r>
              <w:rPr>
                <w:bCs/>
                <w:sz w:val="19"/>
              </w:rPr>
              <w:t>r. 1 and 2: 7 Dec 2007 (see r. 2(a));</w:t>
            </w:r>
          </w:p>
          <w:p>
            <w:pPr>
              <w:pStyle w:val="nTable"/>
              <w:spacing w:after="40"/>
              <w:rPr>
                <w:snapToGrid w:val="0"/>
                <w:sz w:val="19"/>
                <w:lang w:val="en-US"/>
              </w:rPr>
            </w:pPr>
            <w:ins w:id="709" w:author="Master Repository Process" w:date="2021-09-12T13:22:00Z">
              <w:r>
                <w:rPr>
                  <w:bCs/>
                  <w:sz w:val="19"/>
                </w:rPr>
                <w:br/>
              </w:r>
            </w:ins>
            <w:r>
              <w:rPr>
                <w:bCs/>
                <w:sz w:val="19"/>
              </w:rPr>
              <w:t>Regulations other than r. 1 and 2: 8 Dec 2007 (see r. 2(b))</w:t>
            </w:r>
          </w:p>
        </w:tc>
      </w:tr>
      <w:tr>
        <w:tc>
          <w:tcPr>
            <w:tcW w:w="3119" w:type="dxa"/>
          </w:tcPr>
          <w:p>
            <w:pPr>
              <w:pStyle w:val="nTable"/>
              <w:spacing w:after="40"/>
              <w:rPr>
                <w:i/>
                <w:sz w:val="19"/>
              </w:rPr>
            </w:pPr>
            <w:r>
              <w:rPr>
                <w:i/>
                <w:sz w:val="19"/>
              </w:rPr>
              <w:t xml:space="preserve">Racing and Wagering Western Australia Amendment Regulations 2008 </w:t>
            </w:r>
          </w:p>
        </w:tc>
        <w:tc>
          <w:tcPr>
            <w:tcW w:w="1276" w:type="dxa"/>
          </w:tcPr>
          <w:p>
            <w:pPr>
              <w:pStyle w:val="nTable"/>
              <w:spacing w:after="40"/>
              <w:rPr>
                <w:bCs/>
                <w:sz w:val="19"/>
              </w:rPr>
            </w:pPr>
            <w:r>
              <w:rPr>
                <w:sz w:val="19"/>
              </w:rPr>
              <w:t>28 Oct 2008 p. 4738</w:t>
            </w:r>
          </w:p>
        </w:tc>
        <w:tc>
          <w:tcPr>
            <w:tcW w:w="2693" w:type="dxa"/>
          </w:tcPr>
          <w:p>
            <w:pPr>
              <w:pStyle w:val="nTable"/>
              <w:spacing w:after="40"/>
              <w:rPr>
                <w:bCs/>
                <w:sz w:val="19"/>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ins w:id="710" w:author="Master Repository Process" w:date="2021-09-12T13:22:00Z"/>
        </w:trPr>
        <w:tc>
          <w:tcPr>
            <w:tcW w:w="7088" w:type="dxa"/>
            <w:gridSpan w:val="3"/>
            <w:tcBorders>
              <w:bottom w:val="single" w:sz="8" w:space="0" w:color="auto"/>
            </w:tcBorders>
          </w:tcPr>
          <w:p>
            <w:pPr>
              <w:pStyle w:val="nTable"/>
              <w:spacing w:after="40"/>
              <w:rPr>
                <w:ins w:id="711" w:author="Master Repository Process" w:date="2021-09-12T13:22:00Z"/>
                <w:snapToGrid w:val="0"/>
                <w:spacing w:val="-2"/>
                <w:sz w:val="19"/>
                <w:lang w:val="en-US"/>
              </w:rPr>
            </w:pPr>
            <w:ins w:id="712" w:author="Master Repository Process" w:date="2021-09-12T13:22:00Z">
              <w:r>
                <w:rPr>
                  <w:b/>
                  <w:bCs/>
                  <w:sz w:val="19"/>
                </w:rPr>
                <w:t xml:space="preserve">Reprint 2: The </w:t>
              </w:r>
              <w:r>
                <w:rPr>
                  <w:b/>
                  <w:bCs/>
                  <w:i/>
                  <w:sz w:val="19"/>
                </w:rPr>
                <w:t>Racing and Wagering Western Australia Regulations 2003</w:t>
              </w:r>
              <w:r>
                <w:rPr>
                  <w:b/>
                  <w:bCs/>
                  <w:sz w:val="19"/>
                </w:rPr>
                <w:t xml:space="preserve"> as at 19 Jun 2009</w:t>
              </w:r>
              <w:r>
                <w:rPr>
                  <w:sz w:val="19"/>
                </w:rPr>
                <w:t xml:space="preserve"> (includes amendments listed above)</w:t>
              </w:r>
            </w:ins>
          </w:p>
        </w:tc>
      </w:tr>
    </w:tbl>
    <w:p>
      <w:pPr>
        <w:pStyle w:val="nSubsection"/>
        <w:rPr>
          <w:iCs/>
        </w:rPr>
      </w:pPr>
      <w:r>
        <w:rPr>
          <w:vertAlign w:val="superscript"/>
        </w:rPr>
        <w:t>2</w:t>
      </w:r>
      <w:r>
        <w:tab/>
        <w:t xml:space="preserve">The </w:t>
      </w:r>
      <w:r>
        <w:rPr>
          <w:i/>
          <w:iCs/>
        </w:rPr>
        <w:t>Racing and Wagering Western Australia Amendment Regulations (No. 2) 2004</w:t>
      </w:r>
      <w:r>
        <w:rPr>
          <w:iCs/>
        </w:rPr>
        <w:t xml:space="preserve"> r. 5 reads as follows:</w:t>
      </w:r>
    </w:p>
    <w:p>
      <w:pPr>
        <w:pStyle w:val="BlankOpen"/>
      </w:pPr>
      <w:del w:id="713" w:author="Master Repository Process" w:date="2021-09-12T13:22:00Z">
        <w:r>
          <w:delText>“</w:delText>
        </w:r>
      </w:del>
    </w:p>
    <w:p>
      <w:pPr>
        <w:pStyle w:val="nzHeading5"/>
        <w:spacing w:before="0"/>
      </w:pPr>
      <w:r>
        <w:rPr>
          <w:rStyle w:val="CharSectno"/>
        </w:rPr>
        <w:t>5</w:t>
      </w:r>
      <w:r>
        <w:t>.</w:t>
      </w:r>
      <w:r>
        <w:tab/>
        <w:t>Transitional provision</w:t>
      </w:r>
    </w:p>
    <w:p>
      <w:pPr>
        <w:pStyle w:val="nzSubsection"/>
        <w:spacing w:before="40"/>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keepNext/>
        <w:keepLines/>
        <w:spacing w:before="40"/>
      </w:pPr>
      <w:r>
        <w:tab/>
        <w:t>(2)</w:t>
      </w:r>
      <w:r>
        <w:tab/>
        <w:t xml:space="preserve">In this regulation — </w:t>
      </w:r>
    </w:p>
    <w:p>
      <w:pPr>
        <w:pStyle w:val="nzDefstart"/>
      </w:pPr>
      <w:r>
        <w:rPr>
          <w:b/>
        </w:rPr>
        <w:tab/>
      </w:r>
      <w:r>
        <w:rPr>
          <w:rStyle w:val="CharDefText"/>
        </w:rPr>
        <w:t>old Greyhound Racing Rules</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w:t>
      </w:r>
      <w:r>
        <w:t xml:space="preserve"> means the </w:t>
      </w:r>
      <w:r>
        <w:rPr>
          <w:iCs/>
        </w:rPr>
        <w:t>old Greyhound Racing Rules, the old Rules of Harness Racing and the old Rules of Racing;</w:t>
      </w:r>
    </w:p>
    <w:p>
      <w:pPr>
        <w:pStyle w:val="nzDefstart"/>
      </w:pPr>
      <w:r>
        <w:rPr>
          <w:b/>
        </w:rPr>
        <w:tab/>
      </w:r>
      <w:r>
        <w:rPr>
          <w:rStyle w:val="CharDefText"/>
        </w:rPr>
        <w:t>old Rules of Harness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Rules of Racing</w:t>
      </w:r>
      <w:r>
        <w:t xml:space="preserve"> has the meaning given to that term in section 4 of the </w:t>
      </w:r>
      <w:r>
        <w:rPr>
          <w:i/>
          <w:iCs/>
        </w:rPr>
        <w:t>Racing and Gambling Legislation Amendment and Repeal Act 2003</w:t>
      </w:r>
      <w:r>
        <w:t>;</w:t>
      </w:r>
    </w:p>
    <w:p>
      <w:pPr>
        <w:pStyle w:val="nzDefstart"/>
      </w:pPr>
      <w:r>
        <w:rPr>
          <w:b/>
        </w:rPr>
        <w:tab/>
      </w:r>
      <w:r>
        <w:rPr>
          <w:rStyle w:val="CharDefText"/>
        </w:rPr>
        <w:t>old warning off notice</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r>
      <w:r>
        <w:rPr>
          <w:rStyle w:val="CharDefText"/>
        </w:rPr>
        <w:t>RWWA</w:t>
      </w:r>
      <w:r>
        <w:t xml:space="preserve"> has the meaning given to that term in section 3(1) of the </w:t>
      </w:r>
      <w:r>
        <w:rPr>
          <w:i/>
          <w:iCs/>
        </w:rPr>
        <w:t>Racing and Wagering Western Australia Act 2003</w:t>
      </w:r>
      <w:r>
        <w:t>.</w:t>
      </w:r>
    </w:p>
    <w:p>
      <w:pPr>
        <w:pStyle w:val="MiscClose"/>
        <w:rPr>
          <w:del w:id="714" w:author="Master Repository Process" w:date="2021-09-12T13:22:00Z"/>
        </w:rPr>
      </w:pPr>
      <w:del w:id="715" w:author="Master Repository Process" w:date="2021-09-12T13:22:00Z">
        <w:r>
          <w:delText>”.</w:delText>
        </w:r>
      </w:del>
    </w:p>
    <w:p>
      <w:pPr>
        <w:pStyle w:val="BlankClose"/>
      </w:pPr>
    </w:p>
    <w:p>
      <w:pPr>
        <w:pStyle w:val="MiscClose"/>
        <w:spacing w:line="0" w:lineRule="atLeast"/>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bookmarkStart w:id="716" w:name="UpToHere"/>
      <w:bookmarkEnd w:id="716"/>
    </w:p>
    <w:sectPr>
      <w:headerReference w:type="even" r:id="rId28"/>
      <w:headerReference w:type="default" r:id="rId29"/>
      <w:headerReference w:type="first" r:id="rId30"/>
      <w:endnotePr>
        <w:numFmt w:val="decimal"/>
      </w:endnotePr>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Racing and Wagering Western Australia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Racing and Wagering Western Australia Regulations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7703BD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2A6782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A8C17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51640E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4803BE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272C66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EA60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9CA32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1470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4DA57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914EE1B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C07A8066"/>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1"/>
  </w:num>
  <w:num w:numId="14">
    <w:abstractNumId w:val="17"/>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7B2F5AB-46DE-4A70-B87B-2F4BE6B59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4"/>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5"/>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13828</Words>
  <Characters>64720</Characters>
  <Application>Microsoft Office Word</Application>
  <DocSecurity>0</DocSecurity>
  <Lines>1749</Lines>
  <Paragraphs>892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Western Australia</vt:lpstr>
      <vt:lpstr>Western Australia</vt:lpstr>
      <vt:lpstr>Racing and Wagering Western Australia Regulations 2003</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lpstr>    Defined Terms</vt:lpstr>
    </vt:vector>
  </TitlesOfParts>
  <Manager/>
  <Company/>
  <LinksUpToDate>false</LinksUpToDate>
  <CharactersWithSpaces>77656</CharactersWithSpaces>
  <SharedDoc>false</SharedDoc>
  <HLinks>
    <vt:vector size="18" baseType="variant">
      <vt:variant>
        <vt:i4>3014716</vt:i4>
      </vt:variant>
      <vt:variant>
        <vt:i4>8184</vt:i4>
      </vt:variant>
      <vt:variant>
        <vt:i4>1025</vt:i4>
      </vt:variant>
      <vt:variant>
        <vt:i4>1</vt:i4>
      </vt:variant>
      <vt:variant>
        <vt:lpwstr>C:\Program Files\PCO DLL\Support\Crest.wpg</vt:lpwstr>
      </vt:variant>
      <vt:variant>
        <vt:lpwstr/>
      </vt:variant>
      <vt:variant>
        <vt:i4>5439608</vt:i4>
      </vt:variant>
      <vt:variant>
        <vt:i4>82773</vt:i4>
      </vt:variant>
      <vt:variant>
        <vt:i4>1026</vt:i4>
      </vt:variant>
      <vt:variant>
        <vt:i4>1</vt:i4>
      </vt:variant>
      <vt:variant>
        <vt:lpwstr>A:\dline.gif</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01-i0-01 - 02-a0-01</dc:title>
  <dc:subject/>
  <dc:creator/>
  <cp:keywords/>
  <dc:description/>
  <cp:lastModifiedBy>Master Repository Process</cp:lastModifiedBy>
  <cp:revision>2</cp:revision>
  <cp:lastPrinted>2009-06-25T02:32:00Z</cp:lastPrinted>
  <dcterms:created xsi:type="dcterms:W3CDTF">2021-09-12T05:22:00Z</dcterms:created>
  <dcterms:modified xsi:type="dcterms:W3CDTF">2021-09-12T05:22:00Z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20090619</vt:lpwstr>
  </property>
  <property fmtid="{D5CDD505-2E9C-101B-9397-08002B2CF9AE}" pid="4" name="DocumentType">
    <vt:lpwstr>Reg</vt:lpwstr>
  </property>
  <property fmtid="{D5CDD505-2E9C-101B-9397-08002B2CF9AE}" pid="5" name="OwlsUID">
    <vt:i4>33853</vt:i4>
  </property>
  <property fmtid="{D5CDD505-2E9C-101B-9397-08002B2CF9AE}" pid="6" name="ReprintNo">
    <vt:lpwstr>2</vt:lpwstr>
  </property>
  <property fmtid="{D5CDD505-2E9C-101B-9397-08002B2CF9AE}" pid="7" name="FromSuffix">
    <vt:lpwstr>01-i0-01</vt:lpwstr>
  </property>
  <property fmtid="{D5CDD505-2E9C-101B-9397-08002B2CF9AE}" pid="8" name="FromAsAtDate">
    <vt:lpwstr>01 Jan 2009</vt:lpwstr>
  </property>
  <property fmtid="{D5CDD505-2E9C-101B-9397-08002B2CF9AE}" pid="9" name="ToSuffix">
    <vt:lpwstr>02-a0-01</vt:lpwstr>
  </property>
  <property fmtid="{D5CDD505-2E9C-101B-9397-08002B2CF9AE}" pid="10" name="ToAsAtDate">
    <vt:lpwstr>19 Jun 2009</vt:lpwstr>
  </property>
</Properties>
</file>