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22 Aug 2009</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0" w:name="_Toc184614925"/>
      <w:bookmarkStart w:id="1" w:name="_Toc184616376"/>
      <w:bookmarkStart w:id="2" w:name="_Toc184633161"/>
      <w:bookmarkStart w:id="3" w:name="_Toc184705659"/>
      <w:bookmarkStart w:id="4" w:name="_Toc184785552"/>
      <w:bookmarkStart w:id="5" w:name="_Toc186856428"/>
      <w:bookmarkStart w:id="6" w:name="_Toc186857114"/>
      <w:bookmarkStart w:id="7" w:name="_Toc186857183"/>
      <w:bookmarkStart w:id="8" w:name="_Toc186872262"/>
      <w:bookmarkStart w:id="9" w:name="_Toc191960475"/>
      <w:bookmarkStart w:id="10" w:name="_Toc191982056"/>
      <w:bookmarkStart w:id="11" w:name="_Toc233692970"/>
      <w:bookmarkStart w:id="12" w:name="_Toc238546321"/>
      <w:bookmarkStart w:id="13" w:name="_Toc238546626"/>
      <w:bookmarkStart w:id="14" w:name="_Toc238547755"/>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6" w:name="_Toc184785553"/>
      <w:bookmarkStart w:id="17" w:name="_Toc238547756"/>
      <w:bookmarkStart w:id="18" w:name="_Toc233692971"/>
      <w:r>
        <w:rPr>
          <w:rStyle w:val="CharSectno"/>
        </w:rPr>
        <w:t>1</w:t>
      </w:r>
      <w:r>
        <w:t>.</w:t>
      </w:r>
      <w:r>
        <w:tab/>
        <w:t>Citation</w:t>
      </w:r>
      <w:bookmarkEnd w:id="16"/>
      <w:bookmarkEnd w:id="17"/>
      <w:bookmarkEnd w:id="18"/>
    </w:p>
    <w:p>
      <w:pPr>
        <w:pStyle w:val="Subsection"/>
        <w:rPr>
          <w:i/>
        </w:rPr>
      </w:pPr>
      <w:r>
        <w:tab/>
      </w:r>
      <w:r>
        <w:tab/>
      </w:r>
      <w:bookmarkStart w:id="19" w:name="Start_Cursor"/>
      <w:bookmarkEnd w:id="19"/>
      <w:r>
        <w:rPr>
          <w:spacing w:val="-2"/>
        </w:rPr>
        <w:t>These</w:t>
      </w:r>
      <w:r>
        <w:t xml:space="preserve"> </w:t>
      </w:r>
      <w:r>
        <w:rPr>
          <w:spacing w:val="-2"/>
        </w:rPr>
        <w:t>regulations</w:t>
      </w:r>
      <w:r>
        <w:t xml:space="preserve"> are the </w:t>
      </w:r>
      <w:r>
        <w:rPr>
          <w:i/>
        </w:rPr>
        <w:t>Dangerous Goods Safety (Explosives) Regulations 2007</w:t>
      </w:r>
      <w:r>
        <w:t>.</w:t>
      </w:r>
    </w:p>
    <w:p>
      <w:pPr>
        <w:pStyle w:val="Heading5"/>
      </w:pPr>
      <w:bookmarkStart w:id="20" w:name="_Toc184785554"/>
      <w:bookmarkStart w:id="21" w:name="_Toc238547757"/>
      <w:bookmarkStart w:id="22" w:name="_Toc233692972"/>
      <w:r>
        <w:rPr>
          <w:rStyle w:val="CharSectno"/>
        </w:rPr>
        <w:t>2</w:t>
      </w:r>
      <w:r>
        <w:t>.</w:t>
      </w:r>
      <w:r>
        <w:tab/>
        <w:t>Commencement</w:t>
      </w:r>
      <w:bookmarkEnd w:id="20"/>
      <w:bookmarkEnd w:id="21"/>
      <w:bookmarkEnd w:id="22"/>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p>
    <w:p>
      <w:pPr>
        <w:pStyle w:val="Heading5"/>
      </w:pPr>
      <w:bookmarkStart w:id="23" w:name="_Toc238547758"/>
      <w:bookmarkStart w:id="24" w:name="_Toc233692973"/>
      <w:r>
        <w:rPr>
          <w:rStyle w:val="CharSectno"/>
        </w:rPr>
        <w:t>3</w:t>
      </w:r>
      <w:r>
        <w:t>.</w:t>
      </w:r>
      <w:r>
        <w:tab/>
        <w:t>Terms used in these regulations</w:t>
      </w:r>
      <w:bookmarkEnd w:id="23"/>
      <w:bookmarkEnd w:id="24"/>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xml:space="preserve">, Seventh edition, 2007, published by the Commonwealth of Australia (ISBN 1 921168 </w:t>
      </w:r>
      <w:r>
        <w:lastRenderedPageBreak/>
        <w:t>57 9) (also called the Australian Dangerous Goods Code) including (for the avoidance of doubt) its appendices;</w:t>
      </w:r>
    </w:p>
    <w:p>
      <w:pPr>
        <w:pStyle w:val="Defstart"/>
      </w:pPr>
      <w:r>
        <w:rPr>
          <w:b/>
        </w:rPr>
        <w:tab/>
      </w:r>
      <w:r>
        <w:rPr>
          <w:rStyle w:val="CharDefText"/>
        </w:rPr>
        <w:t>AE Code</w:t>
      </w:r>
      <w:r>
        <w:t xml:space="preserve"> means the </w:t>
      </w:r>
      <w:r>
        <w:rPr>
          <w:i/>
          <w:iCs/>
        </w:rPr>
        <w:t>Australian Code for the Transport of Explosives by Road and Rail</w:t>
      </w:r>
      <w:r>
        <w:t>, Second Edition 2000, published by the Commonwealth of Australia (ISBN 0 642 41486 6) (also called the Australian Explosives Code) including (for the avoidance of doubt) its technical appendices;</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pPr>
      <w:r>
        <w:rPr>
          <w:b/>
        </w:rPr>
        <w:tab/>
      </w:r>
      <w:r>
        <w:rPr>
          <w:rStyle w:val="CharDefText"/>
        </w:rPr>
        <w:t>fee</w:t>
      </w:r>
      <w:r>
        <w:t xml:space="preserve"> means the relevant fee in Schedule 1;</w:t>
      </w:r>
    </w:p>
    <w:p>
      <w:pPr>
        <w:pStyle w:val="Defstart"/>
      </w:pPr>
      <w:r>
        <w:rPr>
          <w:b/>
        </w:rPr>
        <w:tab/>
      </w:r>
      <w:r>
        <w:rPr>
          <w:rStyle w:val="CharDefText"/>
        </w:rPr>
        <w:t>FESA</w:t>
      </w:r>
      <w:r>
        <w:t xml:space="preserve"> means the Fire and Emergency Services Authority of Western Australia established under the </w:t>
      </w:r>
      <w:r>
        <w:rPr>
          <w:i/>
        </w:rPr>
        <w:t>Fire and Emergency Services Authority of Western Australia Act 1998</w:t>
      </w:r>
      <w:r>
        <w:t>;</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rPr>
          <w:b/>
        </w:rPr>
        <w:tab/>
      </w:r>
      <w:r>
        <w:rPr>
          <w:rStyle w:val="CharDefText"/>
        </w:rPr>
        <w:t>Material Safety Data Sheet</w:t>
      </w:r>
      <w:r>
        <w:t xml:space="preserve"> (or MSDS) for an explosive, means a document in English that contains the information in relation to the explosive that is required by the </w:t>
      </w:r>
      <w:r>
        <w:rPr>
          <w:i/>
          <w:iCs/>
        </w:rPr>
        <w:t>National Code of Practice for the Preparation of Material Safety Data Sheets</w:t>
      </w:r>
      <w:r>
        <w:t>, 2</w:t>
      </w:r>
      <w:r>
        <w:rPr>
          <w:vertAlign w:val="superscript"/>
        </w:rPr>
        <w:t>nd</w:t>
      </w:r>
      <w:r>
        <w:t xml:space="preserve"> Edition</w:t>
      </w:r>
      <w:r>
        <w:rPr>
          <w:i/>
          <w:iCs/>
        </w:rPr>
        <w:t xml:space="preserve"> </w:t>
      </w:r>
      <w:r>
        <w:t>[NOHSC: 2011(2003)] published by the National Occupational Health and Safety Commission, whether or not the document is in the form required by that code of practice;</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 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 or the UNMR;</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rPr>
          <w:b/>
        </w:rPr>
        <w:tab/>
      </w:r>
      <w:r>
        <w:rPr>
          <w:rStyle w:val="CharDefText"/>
        </w:rPr>
        <w:t>secure employee</w:t>
      </w:r>
      <w:r>
        <w:t xml:space="preserve"> of a licence holder, means an individual who — </w:t>
      </w:r>
    </w:p>
    <w:p>
      <w:pPr>
        <w:pStyle w:val="Defpara"/>
      </w:pPr>
      <w:r>
        <w:tab/>
        <w:t>(a)</w:t>
      </w:r>
      <w:r>
        <w:tab/>
        <w:t>is an employee of the licence holder; and</w:t>
      </w:r>
    </w:p>
    <w:p>
      <w:pPr>
        <w:pStyle w:val="Defpara"/>
      </w:pPr>
      <w:r>
        <w:tab/>
        <w:t>(b)</w:t>
      </w:r>
      <w:r>
        <w:tab/>
        <w:t>is authorised by the holder under regulation 23(2) to have unsupervised access to an explosive;</w:t>
      </w:r>
    </w:p>
    <w:p>
      <w:pPr>
        <w:pStyle w:val="Defstart"/>
      </w:pPr>
      <w:r>
        <w:rPr>
          <w:b/>
        </w:rPr>
        <w:tab/>
      </w:r>
      <w:r>
        <w:rPr>
          <w:rStyle w:val="CharDefText"/>
        </w:rPr>
        <w:t>security card</w:t>
      </w:r>
      <w:r>
        <w:t xml:space="preserve"> means a card issued under regulation 17;</w:t>
      </w:r>
    </w:p>
    <w:p>
      <w:pPr>
        <w:pStyle w:val="Defstart"/>
      </w:pPr>
      <w:r>
        <w:rPr>
          <w:b/>
        </w:rPr>
        <w:tab/>
      </w:r>
      <w:r>
        <w:rPr>
          <w:rStyle w:val="CharDefText"/>
        </w:rPr>
        <w:t>security clearance</w:t>
      </w:r>
      <w:r>
        <w:t xml:space="preserve"> for an individual, has the meaning given to that term by regulation 16;</w:t>
      </w:r>
    </w:p>
    <w:p>
      <w:pPr>
        <w:pStyle w:val="Defstart"/>
      </w:pPr>
      <w:r>
        <w:rPr>
          <w:b/>
        </w:rPr>
        <w:tab/>
      </w:r>
      <w:r>
        <w:rPr>
          <w:rStyle w:val="CharDefText"/>
        </w:rPr>
        <w:t>security risk substance</w:t>
      </w:r>
      <w:r>
        <w:t xml:space="preserve"> has the meaning given to that term by the </w:t>
      </w:r>
      <w:r>
        <w:rPr>
          <w:i/>
          <w:iCs/>
        </w:rPr>
        <w:t>Dangerous Goods Safety (Security Risk Substances)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UNMR</w:t>
      </w:r>
      <w:r>
        <w:t xml:space="preserve"> means the </w:t>
      </w:r>
      <w:r>
        <w:rPr>
          <w:i/>
          <w:iCs/>
        </w:rPr>
        <w:t>Recommendations on the Transport of Dangerous Goods, Model Regulations</w:t>
      </w:r>
      <w:r>
        <w:t>, Fourteenth revised edition, published by the United Nations (ISBN 92 1 139106 7);</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published by the United Nations (ISBN 92 1 139087 7);</w:t>
      </w:r>
    </w:p>
    <w:p>
      <w:pPr>
        <w:pStyle w:val="Defstart"/>
      </w:pPr>
      <w:r>
        <w:rPr>
          <w:b/>
        </w:rPr>
        <w:tab/>
      </w:r>
      <w:r>
        <w:rPr>
          <w:rStyle w:val="CharDefText"/>
        </w:rPr>
        <w:t>use</w:t>
      </w:r>
      <w:r>
        <w:t xml:space="preserve"> an explosive, means to initiate or attempt to initiate it.</w:t>
      </w:r>
    </w:p>
    <w:p>
      <w:pPr>
        <w:pStyle w:val="Heading5"/>
      </w:pPr>
      <w:bookmarkStart w:id="25" w:name="_Toc238547759"/>
      <w:bookmarkStart w:id="26" w:name="_Toc233692974"/>
      <w:r>
        <w:rPr>
          <w:rStyle w:val="CharSectno"/>
        </w:rPr>
        <w:t>4</w:t>
      </w:r>
      <w:r>
        <w:t>.</w:t>
      </w:r>
      <w:r>
        <w:tab/>
        <w:t>Examples and notes are not part of the law</w:t>
      </w:r>
      <w:bookmarkEnd w:id="25"/>
      <w:bookmarkEnd w:id="26"/>
    </w:p>
    <w:p>
      <w:pPr>
        <w:pStyle w:val="Subsection"/>
      </w:pPr>
      <w:r>
        <w:tab/>
      </w:r>
      <w:r>
        <w:tab/>
        <w:t>Examples and notes in these regulations do not form part of them and are provided to assist understanding.</w:t>
      </w:r>
    </w:p>
    <w:p>
      <w:pPr>
        <w:pStyle w:val="Heading5"/>
      </w:pPr>
      <w:bookmarkStart w:id="27" w:name="_Toc238547760"/>
      <w:bookmarkStart w:id="28" w:name="_Toc233692975"/>
      <w:r>
        <w:rPr>
          <w:rStyle w:val="CharSectno"/>
        </w:rPr>
        <w:t>5</w:t>
      </w:r>
      <w:r>
        <w:t>.</w:t>
      </w:r>
      <w:r>
        <w:tab/>
        <w:t>AE Code, general provisions about</w:t>
      </w:r>
      <w:bookmarkEnd w:id="27"/>
      <w:bookmarkEnd w:id="28"/>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29" w:name="_Toc238547761"/>
      <w:bookmarkStart w:id="30" w:name="_Toc233692976"/>
      <w:r>
        <w:rPr>
          <w:rStyle w:val="CharSectno"/>
        </w:rPr>
        <w:t>6</w:t>
      </w:r>
      <w:r>
        <w:t>.</w:t>
      </w:r>
      <w:r>
        <w:tab/>
        <w:t>“Alternative safety measures”, meaning of</w:t>
      </w:r>
      <w:bookmarkEnd w:id="29"/>
      <w:bookmarkEnd w:id="30"/>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in relation to the explosive in relation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Heading5"/>
      </w:pPr>
      <w:bookmarkStart w:id="31" w:name="_Toc238547762"/>
      <w:bookmarkStart w:id="32" w:name="_Toc233692977"/>
      <w:r>
        <w:rPr>
          <w:rStyle w:val="CharSectno"/>
        </w:rPr>
        <w:t>7</w:t>
      </w:r>
      <w:r>
        <w:t>.</w:t>
      </w:r>
      <w:r>
        <w:tab/>
        <w:t>“AS 2187”, meaning of and general provisions about</w:t>
      </w:r>
      <w:bookmarkEnd w:id="31"/>
      <w:bookmarkEnd w:id="32"/>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33" w:name="_Toc238547763"/>
      <w:bookmarkStart w:id="34" w:name="_Toc233692978"/>
      <w:r>
        <w:rPr>
          <w:rStyle w:val="CharSectno"/>
        </w:rPr>
        <w:t>8</w:t>
      </w:r>
      <w:r>
        <w:t>.</w:t>
      </w:r>
      <w:r>
        <w:tab/>
        <w:t>“Explosive”, meaning of</w:t>
      </w:r>
      <w:bookmarkEnd w:id="33"/>
      <w:bookmarkEnd w:id="34"/>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keepNext/>
      </w:pPr>
      <w:r>
        <w:tab/>
        <w:t>(a)</w:t>
      </w:r>
      <w:r>
        <w:tab/>
        <w:t>in the AE Code Appendix 2 —</w:t>
      </w:r>
    </w:p>
    <w:p>
      <w:pPr>
        <w:pStyle w:val="Indenti"/>
      </w:pPr>
      <w:r>
        <w:tab/>
        <w:t>(i)</w:t>
      </w:r>
      <w:r>
        <w:tab/>
        <w:t>it is named in an entry in column 2 that is not an entry referred to in the AE Code Appendix 8; and</w:t>
      </w:r>
    </w:p>
    <w:p>
      <w:pPr>
        <w:pStyle w:val="Indenti"/>
      </w:pPr>
      <w:r>
        <w:tab/>
        <w:t>(ii)</w:t>
      </w:r>
      <w:r>
        <w:tab/>
        <w:t>it is classified as Class 1 in column 4; and</w:t>
      </w:r>
    </w:p>
    <w:p>
      <w:pPr>
        <w:pStyle w:val="Indenti"/>
      </w:pPr>
      <w:r>
        <w:tab/>
        <w:t>(iii)</w:t>
      </w:r>
      <w:r>
        <w:tab/>
        <w:t>it satisfies the criteria in any Special Provision in the AE Code Appendix 3 that is applied to it by column 7; and</w:t>
      </w:r>
    </w:p>
    <w:p>
      <w:pPr>
        <w:pStyle w:val="Indenti"/>
      </w:pPr>
      <w:r>
        <w:tab/>
        <w:t>(iv)</w:t>
      </w:r>
      <w:r>
        <w:tab/>
        <w:t>it satisfies any criteria applied to it by column 9;</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Heading5"/>
      </w:pPr>
      <w:bookmarkStart w:id="35" w:name="_Toc238547764"/>
      <w:bookmarkStart w:id="36" w:name="_Toc233692979"/>
      <w:r>
        <w:rPr>
          <w:rStyle w:val="CharSectno"/>
        </w:rPr>
        <w:t>9</w:t>
      </w:r>
      <w:r>
        <w:t>.</w:t>
      </w:r>
      <w:r>
        <w:tab/>
        <w:t>Classification of explosives</w:t>
      </w:r>
      <w:bookmarkEnd w:id="35"/>
      <w:bookmarkEnd w:id="36"/>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UNMR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NotesPerm"/>
        <w:tabs>
          <w:tab w:val="clear" w:pos="879"/>
          <w:tab w:val="left" w:pos="851"/>
        </w:tabs>
        <w:ind w:left="1418" w:hanging="1418"/>
      </w:pPr>
      <w:r>
        <w:tab/>
        <w:t>Examples: 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UNMR, and the classification code assigned to it by the Chief Officer under regulation 15 or 31, the latter is the explosive’s classification code for the purposes of these regulations.</w:t>
      </w:r>
    </w:p>
    <w:p>
      <w:pPr>
        <w:pStyle w:val="Heading5"/>
      </w:pPr>
      <w:bookmarkStart w:id="37" w:name="_Toc238547765"/>
      <w:bookmarkStart w:id="38" w:name="_Toc233692980"/>
      <w:r>
        <w:rPr>
          <w:rStyle w:val="CharSectno"/>
        </w:rPr>
        <w:t>10</w:t>
      </w:r>
      <w:r>
        <w:t>.</w:t>
      </w:r>
      <w:r>
        <w:tab/>
        <w:t>“Supervised” and related terms, meaning of</w:t>
      </w:r>
      <w:bookmarkEnd w:id="37"/>
      <w:bookmarkEnd w:id="38"/>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employee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employee of such a licence holder.</w:t>
      </w:r>
    </w:p>
    <w:p>
      <w:pPr>
        <w:pStyle w:val="Heading5"/>
      </w:pPr>
      <w:bookmarkStart w:id="39" w:name="_Toc238547766"/>
      <w:bookmarkStart w:id="40" w:name="_Toc233692981"/>
      <w:r>
        <w:rPr>
          <w:rStyle w:val="CharSectno"/>
        </w:rPr>
        <w:t>11</w:t>
      </w:r>
      <w:r>
        <w:t>.</w:t>
      </w:r>
      <w:r>
        <w:tab/>
        <w:t>“Supply”, meaning of affected</w:t>
      </w:r>
      <w:bookmarkEnd w:id="39"/>
      <w:bookmarkEnd w:id="40"/>
    </w:p>
    <w:p>
      <w:pPr>
        <w:pStyle w:val="Subsection"/>
      </w:pPr>
      <w:r>
        <w:tab/>
      </w:r>
      <w:r>
        <w:tab/>
        <w:t>For the purposes of these regulations a person (</w:t>
      </w:r>
      <w:r>
        <w:rPr>
          <w:b/>
          <w:bCs/>
        </w:rPr>
        <w:t>“A”</w:t>
      </w:r>
      <w:r>
        <w:t>) does not supply an explosive to another person (</w:t>
      </w:r>
      <w:r>
        <w:rPr>
          <w:b/>
          <w:bCs/>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41" w:name="_Toc238547767"/>
      <w:bookmarkStart w:id="42" w:name="_Toc233692982"/>
      <w:r>
        <w:rPr>
          <w:rStyle w:val="CharSectno"/>
        </w:rPr>
        <w:t>12</w:t>
      </w:r>
      <w:r>
        <w:t>.</w:t>
      </w:r>
      <w:r>
        <w:tab/>
        <w:t>Explosives to which these regulations do not apply</w:t>
      </w:r>
      <w:bookmarkEnd w:id="41"/>
      <w:bookmarkEnd w:id="42"/>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43" w:name="_Toc191960488"/>
      <w:bookmarkStart w:id="44" w:name="_Toc191982069"/>
      <w:bookmarkStart w:id="45" w:name="_Toc233692983"/>
      <w:bookmarkStart w:id="46" w:name="_Toc238546334"/>
      <w:bookmarkStart w:id="47" w:name="_Toc238546639"/>
      <w:bookmarkStart w:id="48" w:name="_Toc238547768"/>
      <w:r>
        <w:rPr>
          <w:rStyle w:val="CharPartNo"/>
        </w:rPr>
        <w:t>Part 2</w:t>
      </w:r>
      <w:r>
        <w:rPr>
          <w:rStyle w:val="CharDivNo"/>
        </w:rPr>
        <w:t> </w:t>
      </w:r>
      <w:r>
        <w:t>—</w:t>
      </w:r>
      <w:r>
        <w:rPr>
          <w:rStyle w:val="CharDivText"/>
        </w:rPr>
        <w:t> </w:t>
      </w:r>
      <w:r>
        <w:rPr>
          <w:rStyle w:val="CharPartText"/>
        </w:rPr>
        <w:t>Administrative matters</w:t>
      </w:r>
      <w:bookmarkEnd w:id="43"/>
      <w:bookmarkEnd w:id="44"/>
      <w:bookmarkEnd w:id="45"/>
      <w:bookmarkEnd w:id="46"/>
      <w:bookmarkEnd w:id="47"/>
      <w:bookmarkEnd w:id="48"/>
    </w:p>
    <w:p>
      <w:pPr>
        <w:pStyle w:val="Heading5"/>
      </w:pPr>
      <w:bookmarkStart w:id="49" w:name="_Toc238547769"/>
      <w:bookmarkStart w:id="50" w:name="_Toc233692984"/>
      <w:r>
        <w:rPr>
          <w:rStyle w:val="CharSectno"/>
        </w:rPr>
        <w:t>13</w:t>
      </w:r>
      <w:r>
        <w:t>.</w:t>
      </w:r>
      <w:r>
        <w:tab/>
        <w:t>Forms may be approved by Chief Officer</w:t>
      </w:r>
      <w:bookmarkEnd w:id="49"/>
      <w:bookmarkEnd w:id="50"/>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51" w:name="_Toc238547770"/>
      <w:bookmarkStart w:id="52" w:name="_Toc233692985"/>
      <w:r>
        <w:rPr>
          <w:rStyle w:val="CharSectno"/>
        </w:rPr>
        <w:t>14</w:t>
      </w:r>
      <w:r>
        <w:t>.</w:t>
      </w:r>
      <w:r>
        <w:tab/>
        <w:t>Courses may be approved by Chief Officer</w:t>
      </w:r>
      <w:bookmarkEnd w:id="51"/>
      <w:bookmarkEnd w:id="52"/>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a person who passes the test, or completes the course, will be competent to engage in the activities that would be authorised by the licence concerned.</w:t>
      </w:r>
    </w:p>
    <w:p>
      <w:pPr>
        <w:pStyle w:val="Heading5"/>
      </w:pPr>
      <w:bookmarkStart w:id="53" w:name="_Toc238547771"/>
      <w:bookmarkStart w:id="54" w:name="_Toc233692986"/>
      <w:r>
        <w:rPr>
          <w:rStyle w:val="CharSectno"/>
        </w:rPr>
        <w:t>15</w:t>
      </w:r>
      <w:r>
        <w:t>.</w:t>
      </w:r>
      <w:r>
        <w:tab/>
        <w:t>Declaring a substance to be an explosive</w:t>
      </w:r>
      <w:bookmarkEnd w:id="53"/>
      <w:bookmarkEnd w:id="54"/>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UNMR,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Heading2"/>
      </w:pPr>
      <w:bookmarkStart w:id="55" w:name="_Toc191960492"/>
      <w:bookmarkStart w:id="56" w:name="_Toc191982073"/>
      <w:bookmarkStart w:id="57" w:name="_Toc233692987"/>
      <w:bookmarkStart w:id="58" w:name="_Toc238546338"/>
      <w:bookmarkStart w:id="59" w:name="_Toc238546643"/>
      <w:bookmarkStart w:id="60" w:name="_Toc238547772"/>
      <w:r>
        <w:rPr>
          <w:rStyle w:val="CharPartNo"/>
        </w:rPr>
        <w:t>Part 3</w:t>
      </w:r>
      <w:r>
        <w:rPr>
          <w:rStyle w:val="CharDivNo"/>
        </w:rPr>
        <w:t> </w:t>
      </w:r>
      <w:r>
        <w:t>—</w:t>
      </w:r>
      <w:r>
        <w:rPr>
          <w:rStyle w:val="CharDivText"/>
        </w:rPr>
        <w:t> </w:t>
      </w:r>
      <w:r>
        <w:rPr>
          <w:rStyle w:val="CharPartText"/>
        </w:rPr>
        <w:t>Security matters</w:t>
      </w:r>
      <w:bookmarkEnd w:id="55"/>
      <w:bookmarkEnd w:id="56"/>
      <w:bookmarkEnd w:id="57"/>
      <w:bookmarkEnd w:id="58"/>
      <w:bookmarkEnd w:id="59"/>
      <w:bookmarkEnd w:id="60"/>
    </w:p>
    <w:p>
      <w:pPr>
        <w:pStyle w:val="Heading5"/>
      </w:pPr>
      <w:bookmarkStart w:id="61" w:name="_Toc238547773"/>
      <w:bookmarkStart w:id="62" w:name="_Toc233692988"/>
      <w:r>
        <w:rPr>
          <w:rStyle w:val="CharSectno"/>
        </w:rPr>
        <w:t>16</w:t>
      </w:r>
      <w:r>
        <w:t>.</w:t>
      </w:r>
      <w:r>
        <w:tab/>
        <w:t>Security clearance, meaning of</w:t>
      </w:r>
      <w:bookmarkEnd w:id="61"/>
      <w:bookmarkEnd w:id="62"/>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A person who has a valid written authorisation, such as a licence or permit, that —</w:t>
      </w:r>
    </w:p>
    <w:p>
      <w:pPr>
        <w:pStyle w:val="Indenta"/>
      </w:pPr>
      <w:r>
        <w:tab/>
        <w:t>(a)</w:t>
      </w:r>
      <w:r>
        <w:tab/>
        <w:t>is issued under the law of another State or a Territory that corresponds to the Act; and</w:t>
      </w:r>
    </w:p>
    <w:p>
      <w:pPr>
        <w:pStyle w:val="Indenta"/>
      </w:pPr>
      <w:r>
        <w:tab/>
        <w:t>(b)</w:t>
      </w:r>
      <w:r>
        <w:tab/>
        <w:t>authorises the individual to have unsupervised access to an explosive or an SRS,</w:t>
      </w:r>
    </w:p>
    <w:p>
      <w:pPr>
        <w:pStyle w:val="Subsection"/>
      </w:pPr>
      <w:r>
        <w:tab/>
      </w:r>
      <w:r>
        <w:tab/>
        <w:t>has a security clearance for the purposes of these regulations unless the person’s usual place of residence is in this State and has been for more than 3 months.</w:t>
      </w:r>
    </w:p>
    <w:p>
      <w:pPr>
        <w:pStyle w:val="Heading5"/>
      </w:pPr>
      <w:bookmarkStart w:id="63" w:name="_Toc238547774"/>
      <w:bookmarkStart w:id="64" w:name="_Toc233692989"/>
      <w:r>
        <w:rPr>
          <w:rStyle w:val="CharSectno"/>
        </w:rPr>
        <w:t>17</w:t>
      </w:r>
      <w:r>
        <w:t>.</w:t>
      </w:r>
      <w:r>
        <w:tab/>
        <w:t>Security card, application for</w:t>
      </w:r>
      <w:bookmarkEnd w:id="63"/>
      <w:bookmarkEnd w:id="64"/>
    </w:p>
    <w:p>
      <w:pPr>
        <w:pStyle w:val="Subsection"/>
      </w:pPr>
      <w:r>
        <w:tab/>
        <w:t>(1)</w:t>
      </w:r>
      <w:r>
        <w:tab/>
        <w:t>A person who wants a security card must apply to the Chief Officer.</w:t>
      </w:r>
    </w:p>
    <w:p>
      <w:pPr>
        <w:pStyle w:val="Subsection"/>
      </w:pPr>
      <w:r>
        <w:tab/>
        <w:t>(2)</w:t>
      </w:r>
      <w:r>
        <w:tab/>
        <w:t>Only a natural person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Heading5"/>
      </w:pPr>
      <w:bookmarkStart w:id="65" w:name="_Toc238547775"/>
      <w:bookmarkStart w:id="66" w:name="_Toc233692990"/>
      <w:r>
        <w:rPr>
          <w:rStyle w:val="CharSectno"/>
        </w:rPr>
        <w:t>18</w:t>
      </w:r>
      <w:r>
        <w:t>.</w:t>
      </w:r>
      <w:r>
        <w:tab/>
        <w:t>Application to be referred to Commissioner of Police</w:t>
      </w:r>
      <w:bookmarkEnd w:id="65"/>
      <w:bookmarkEnd w:id="66"/>
    </w:p>
    <w:p>
      <w:pPr>
        <w:pStyle w:val="Subsection"/>
      </w:pPr>
      <w:r>
        <w:tab/>
      </w:r>
      <w:r>
        <w:tab/>
        <w:t>The Chief Officer must refer an application made under regulation 17 to the Commissioner of Police.</w:t>
      </w:r>
    </w:p>
    <w:p>
      <w:pPr>
        <w:pStyle w:val="Heading5"/>
      </w:pPr>
      <w:bookmarkStart w:id="67" w:name="_Toc238547776"/>
      <w:bookmarkStart w:id="68" w:name="_Toc233692991"/>
      <w:r>
        <w:rPr>
          <w:rStyle w:val="CharSectno"/>
        </w:rPr>
        <w:t>19</w:t>
      </w:r>
      <w:r>
        <w:t>.</w:t>
      </w:r>
      <w:r>
        <w:tab/>
        <w:t>Commissioner of Police may object to person having a security card</w:t>
      </w:r>
      <w:bookmarkEnd w:id="67"/>
      <w:bookmarkEnd w:id="68"/>
    </w:p>
    <w:p>
      <w:pPr>
        <w:pStyle w:val="Subsection"/>
        <w:keepNext/>
      </w:pPr>
      <w:r>
        <w:tab/>
        <w:t>(1)</w:t>
      </w:r>
      <w:r>
        <w:tab/>
        <w:t>In this regulation —</w:t>
      </w:r>
    </w:p>
    <w:p>
      <w:pPr>
        <w:pStyle w:val="Defstart"/>
        <w:rPr>
          <w:del w:id="69" w:author="Master Repository Process" w:date="2021-08-01T03:00:00Z"/>
        </w:rPr>
      </w:pPr>
      <w:del w:id="70" w:author="Master Repository Process" w:date="2021-08-01T03:00:00Z">
        <w:r>
          <w:rPr>
            <w:b/>
          </w:rPr>
          <w:tab/>
        </w:r>
        <w:r>
          <w:rPr>
            <w:rStyle w:val="CharDefText"/>
          </w:rPr>
          <w:delText>close associate</w:delText>
        </w:r>
        <w:r>
          <w:delText xml:space="preserve"> has the meaning given to that term by subregulation (2);</w:delText>
        </w:r>
      </w:del>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Subsection"/>
        <w:rPr>
          <w:del w:id="71" w:author="Master Repository Process" w:date="2021-08-01T03:00:00Z"/>
        </w:rPr>
      </w:pPr>
      <w:del w:id="72" w:author="Master Repository Process" w:date="2021-08-01T03:00:00Z">
        <w:r>
          <w:tab/>
          <w:delText>(2)</w:delText>
        </w:r>
        <w:r>
          <w:tab/>
          <w:delText>For the purposes of this regulation, 2 persons are close associates if —</w:delText>
        </w:r>
      </w:del>
    </w:p>
    <w:p>
      <w:pPr>
        <w:pStyle w:val="Indenta"/>
        <w:rPr>
          <w:del w:id="73" w:author="Master Repository Process" w:date="2021-08-01T03:00:00Z"/>
        </w:rPr>
      </w:pPr>
      <w:del w:id="74" w:author="Master Repository Process" w:date="2021-08-01T03:00:00Z">
        <w:r>
          <w:tab/>
          <w:delText>(a)</w:delText>
        </w:r>
        <w:r>
          <w:tab/>
          <w:delText>one is the spouse or a de facto partner of the other; or</w:delText>
        </w:r>
      </w:del>
    </w:p>
    <w:p>
      <w:pPr>
        <w:pStyle w:val="Indenta"/>
        <w:rPr>
          <w:del w:id="75" w:author="Master Repository Process" w:date="2021-08-01T03:00:00Z"/>
        </w:rPr>
      </w:pPr>
      <w:del w:id="76" w:author="Master Repository Process" w:date="2021-08-01T03:00:00Z">
        <w:r>
          <w:tab/>
          <w:delText>(b)</w:delText>
        </w:r>
        <w:r>
          <w:tab/>
          <w:delText>one is a parent, brother, sister or child of the other; or</w:delText>
        </w:r>
      </w:del>
    </w:p>
    <w:p>
      <w:pPr>
        <w:pStyle w:val="Indenta"/>
        <w:rPr>
          <w:del w:id="77" w:author="Master Repository Process" w:date="2021-08-01T03:00:00Z"/>
        </w:rPr>
      </w:pPr>
      <w:del w:id="78" w:author="Master Repository Process" w:date="2021-08-01T03:00:00Z">
        <w:r>
          <w:tab/>
          <w:delText>(c)</w:delText>
        </w:r>
        <w:r>
          <w:tab/>
          <w:delText>they are in partnership; or</w:delText>
        </w:r>
      </w:del>
    </w:p>
    <w:p>
      <w:pPr>
        <w:pStyle w:val="Indenta"/>
        <w:rPr>
          <w:del w:id="79" w:author="Master Repository Process" w:date="2021-08-01T03:00:00Z"/>
        </w:rPr>
      </w:pPr>
      <w:del w:id="80" w:author="Master Repository Process" w:date="2021-08-01T03:00:00Z">
        <w:r>
          <w:tab/>
          <w:delText>(d)</w:delText>
        </w:r>
        <w:r>
          <w:tab/>
          <w:delText>they are both involved in the control or management of the same body corporate; or</w:delText>
        </w:r>
      </w:del>
    </w:p>
    <w:p>
      <w:pPr>
        <w:pStyle w:val="Indenta"/>
        <w:rPr>
          <w:del w:id="81" w:author="Master Repository Process" w:date="2021-08-01T03:00:00Z"/>
        </w:rPr>
      </w:pPr>
      <w:del w:id="82" w:author="Master Repository Process" w:date="2021-08-01T03:00:00Z">
        <w:r>
          <w:tab/>
          <w:delText>(e)</w:delText>
        </w:r>
        <w:r>
          <w:tab/>
          <w:delText>one is or may be the beneficiary of the other under a trust; or</w:delText>
        </w:r>
      </w:del>
    </w:p>
    <w:p>
      <w:pPr>
        <w:pStyle w:val="Indenta"/>
        <w:rPr>
          <w:del w:id="83" w:author="Master Repository Process" w:date="2021-08-01T03:00:00Z"/>
        </w:rPr>
      </w:pPr>
      <w:del w:id="84" w:author="Master Repository Process" w:date="2021-08-01T03:00:00Z">
        <w:r>
          <w:tab/>
          <w:delText>(f)</w:delText>
        </w:r>
        <w:r>
          <w:tab/>
          <w:delText>one does, or has a right to, participate (other than as the shareholder in a body corporate) in income or profits derived from a business conducted by the other.</w:delText>
        </w:r>
      </w:del>
    </w:p>
    <w:p>
      <w:pPr>
        <w:pStyle w:val="Ednotesubsection"/>
        <w:rPr>
          <w:ins w:id="85" w:author="Master Repository Process" w:date="2021-08-01T03:00:00Z"/>
        </w:rPr>
      </w:pPr>
      <w:ins w:id="86" w:author="Master Repository Process" w:date="2021-08-01T03:00:00Z">
        <w:r>
          <w:tab/>
          <w:t>[(2)</w:t>
        </w:r>
        <w:r>
          <w:tab/>
          <w:t>deleted]</w:t>
        </w:r>
      </w:ins>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SRS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 xml:space="preserve">any conviction </w:t>
      </w:r>
      <w:ins w:id="87" w:author="Master Repository Process" w:date="2021-08-01T03:00:00Z">
        <w:r>
          <w:t xml:space="preserve">that </w:t>
        </w:r>
      </w:ins>
      <w:r>
        <w:t>the relevant person</w:t>
      </w:r>
      <w:del w:id="88" w:author="Master Repository Process" w:date="2021-08-01T03:00:00Z">
        <w:r>
          <w:delText>, or a close associate of the person,</w:delText>
        </w:r>
      </w:del>
      <w:r>
        <w:t xml:space="preserve"> has in this State or elsewhere</w:t>
      </w:r>
      <w:del w:id="89" w:author="Master Repository Process" w:date="2021-08-01T03:00:00Z">
        <w:r>
          <w:delText xml:space="preserve"> for an offence involving —</w:delText>
        </w:r>
      </w:del>
      <w:ins w:id="90" w:author="Master Repository Process" w:date="2021-08-01T03:00:00Z">
        <w:r>
          <w:t>;</w:t>
        </w:r>
      </w:ins>
    </w:p>
    <w:p>
      <w:pPr>
        <w:pStyle w:val="Indenti"/>
        <w:rPr>
          <w:del w:id="91" w:author="Master Repository Process" w:date="2021-08-01T03:00:00Z"/>
        </w:rPr>
      </w:pPr>
      <w:del w:id="92" w:author="Master Repository Process" w:date="2021-08-01T03:00:00Z">
        <w:r>
          <w:tab/>
          <w:delText>(i)</w:delText>
        </w:r>
        <w:r>
          <w:tab/>
          <w:delText>violence;</w:delText>
        </w:r>
      </w:del>
    </w:p>
    <w:p>
      <w:pPr>
        <w:pStyle w:val="Indenti"/>
        <w:rPr>
          <w:del w:id="93" w:author="Master Repository Process" w:date="2021-08-01T03:00:00Z"/>
        </w:rPr>
      </w:pPr>
      <w:del w:id="94" w:author="Master Repository Process" w:date="2021-08-01T03:00:00Z">
        <w:r>
          <w:tab/>
          <w:delText>(ii)</w:delText>
        </w:r>
        <w:r>
          <w:tab/>
          <w:delText>damage to property;</w:delText>
        </w:r>
      </w:del>
    </w:p>
    <w:p>
      <w:pPr>
        <w:pStyle w:val="Indenti"/>
        <w:rPr>
          <w:del w:id="95" w:author="Master Repository Process" w:date="2021-08-01T03:00:00Z"/>
        </w:rPr>
      </w:pPr>
      <w:del w:id="96" w:author="Master Repository Process" w:date="2021-08-01T03:00:00Z">
        <w:r>
          <w:tab/>
          <w:delText>(iii)</w:delText>
        </w:r>
        <w:r>
          <w:tab/>
          <w:delText>the use or possession of a dangerous or offensive weapon or instrument or of an explosive or SRS;</w:delText>
        </w:r>
      </w:del>
    </w:p>
    <w:p>
      <w:pPr>
        <w:pStyle w:val="Indenti"/>
        <w:rPr>
          <w:del w:id="97" w:author="Master Repository Process" w:date="2021-08-01T03:00:00Z"/>
        </w:rPr>
      </w:pPr>
      <w:del w:id="98" w:author="Master Repository Process" w:date="2021-08-01T03:00:00Z">
        <w:r>
          <w:tab/>
          <w:delText>(iv)</w:delText>
        </w:r>
        <w:r>
          <w:tab/>
          <w:delText xml:space="preserve">a terrorist act within the meaning given to that term by the </w:delText>
        </w:r>
        <w:r>
          <w:rPr>
            <w:i/>
          </w:rPr>
          <w:delText>Terrorism (Extraordinary Powers) Act 2005</w:delText>
        </w:r>
        <w:r>
          <w:delText xml:space="preserve"> section 5;</w:delText>
        </w:r>
      </w:del>
    </w:p>
    <w:p>
      <w:pPr>
        <w:pStyle w:val="Indenti"/>
        <w:rPr>
          <w:del w:id="99" w:author="Master Repository Process" w:date="2021-08-01T03:00:00Z"/>
        </w:rPr>
      </w:pPr>
      <w:del w:id="100" w:author="Master Repository Process" w:date="2021-08-01T03:00:00Z">
        <w:r>
          <w:tab/>
          <w:delText>(v)</w:delText>
        </w:r>
        <w:r>
          <w:tab/>
          <w:delText>a drug or plant that it is illegal to possess;</w:delText>
        </w:r>
      </w:del>
    </w:p>
    <w:p>
      <w:pPr>
        <w:pStyle w:val="Indenti"/>
        <w:rPr>
          <w:del w:id="101" w:author="Master Repository Process" w:date="2021-08-01T03:00:00Z"/>
        </w:rPr>
      </w:pPr>
      <w:del w:id="102" w:author="Master Repository Process" w:date="2021-08-01T03:00:00Z">
        <w:r>
          <w:tab/>
          <w:delText>(vi)</w:delText>
        </w:r>
        <w:r>
          <w:tab/>
          <w:delText>threatening or obstructing a person exercising a statutory power;</w:delText>
        </w:r>
      </w:del>
    </w:p>
    <w:p>
      <w:pPr>
        <w:pStyle w:val="Indenti"/>
        <w:rPr>
          <w:del w:id="103" w:author="Master Repository Process" w:date="2021-08-01T03:00:00Z"/>
        </w:rPr>
      </w:pPr>
      <w:del w:id="104" w:author="Master Repository Process" w:date="2021-08-01T03:00:00Z">
        <w:r>
          <w:tab/>
          <w:delText>(vii)</w:delText>
        </w:r>
        <w:r>
          <w:tab/>
          <w:delText>dishonesty;</w:delText>
        </w:r>
      </w:del>
    </w:p>
    <w:p>
      <w:pPr>
        <w:pStyle w:val="Indenti"/>
        <w:rPr>
          <w:del w:id="105" w:author="Master Repository Process" w:date="2021-08-01T03:00:00Z"/>
        </w:rPr>
      </w:pPr>
      <w:del w:id="106" w:author="Master Repository Process" w:date="2021-08-01T03:00:00Z">
        <w:r>
          <w:tab/>
          <w:delText>(viii)</w:delText>
        </w:r>
        <w:r>
          <w:tab/>
          <w:delText>the hijacking of an aircraft or vessel;</w:delText>
        </w:r>
      </w:del>
    </w:p>
    <w:p>
      <w:pPr>
        <w:pStyle w:val="Indenti"/>
        <w:rPr>
          <w:del w:id="107" w:author="Master Repository Process" w:date="2021-08-01T03:00:00Z"/>
        </w:rPr>
      </w:pPr>
      <w:del w:id="108" w:author="Master Repository Process" w:date="2021-08-01T03:00:00Z">
        <w:r>
          <w:tab/>
          <w:delText>(ix)</w:delText>
        </w:r>
        <w:r>
          <w:tab/>
          <w:delText>money or property derived or realised, directly or indirectly, by any person from the commission of an offence;</w:delText>
        </w:r>
      </w:del>
    </w:p>
    <w:p>
      <w:pPr>
        <w:pStyle w:val="Indenta"/>
        <w:rPr>
          <w:del w:id="109" w:author="Master Repository Process" w:date="2021-08-01T03:00:00Z"/>
        </w:rPr>
      </w:pPr>
      <w:r>
        <w:tab/>
        <w:t>(b)</w:t>
      </w:r>
      <w:r>
        <w:tab/>
        <w:t xml:space="preserve">any conviction </w:t>
      </w:r>
      <w:ins w:id="110" w:author="Master Repository Process" w:date="2021-08-01T03:00:00Z">
        <w:r>
          <w:t xml:space="preserve">that a person with whom </w:t>
        </w:r>
      </w:ins>
      <w:r>
        <w:t>the relevant person</w:t>
      </w:r>
      <w:del w:id="111" w:author="Master Repository Process" w:date="2021-08-01T03:00:00Z">
        <w:r>
          <w:delText>, or a close associate of the person, has for an offence under any of these enactments —</w:delText>
        </w:r>
      </w:del>
    </w:p>
    <w:p>
      <w:pPr>
        <w:pStyle w:val="Indenti"/>
        <w:rPr>
          <w:del w:id="112" w:author="Master Repository Process" w:date="2021-08-01T03:00:00Z"/>
        </w:rPr>
      </w:pPr>
      <w:del w:id="113" w:author="Master Repository Process" w:date="2021-08-01T03:00:00Z">
        <w:r>
          <w:tab/>
          <w:delText>(i)</w:delText>
        </w:r>
        <w:r>
          <w:tab/>
        </w:r>
        <w:r>
          <w:rPr>
            <w:i/>
          </w:rPr>
          <w:delText>The Criminal Code</w:delText>
        </w:r>
        <w:r>
          <w:delText xml:space="preserve"> Chapter VII;</w:delText>
        </w:r>
      </w:del>
    </w:p>
    <w:p>
      <w:pPr>
        <w:pStyle w:val="Indenti"/>
        <w:rPr>
          <w:del w:id="114" w:author="Master Repository Process" w:date="2021-08-01T03:00:00Z"/>
        </w:rPr>
      </w:pPr>
      <w:del w:id="115" w:author="Master Repository Process" w:date="2021-08-01T03:00:00Z">
        <w:r>
          <w:tab/>
          <w:delText>(ii)</w:delText>
        </w:r>
        <w:r>
          <w:tab/>
          <w:delText xml:space="preserve">the </w:delText>
        </w:r>
        <w:r>
          <w:rPr>
            <w:i/>
            <w:iCs/>
          </w:rPr>
          <w:delText xml:space="preserve">Criminal Code </w:delText>
        </w:r>
        <w:r>
          <w:delText>(Commonwealth) Chapter 5;</w:delText>
        </w:r>
      </w:del>
    </w:p>
    <w:p>
      <w:pPr>
        <w:pStyle w:val="Indenti"/>
        <w:rPr>
          <w:del w:id="116" w:author="Master Repository Process" w:date="2021-08-01T03:00:00Z"/>
        </w:rPr>
      </w:pPr>
      <w:del w:id="117" w:author="Master Repository Process" w:date="2021-08-01T03:00:00Z">
        <w:r>
          <w:tab/>
          <w:delText>(iii)</w:delText>
        </w:r>
        <w:r>
          <w:tab/>
          <w:delText xml:space="preserve">the </w:delText>
        </w:r>
        <w:r>
          <w:rPr>
            <w:i/>
            <w:iCs/>
          </w:rPr>
          <w:delText>Crimes Act 1914</w:delText>
        </w:r>
        <w:r>
          <w:delText xml:space="preserve"> (Commonwealth) Part II,</w:delText>
        </w:r>
      </w:del>
    </w:p>
    <w:p>
      <w:pPr>
        <w:pStyle w:val="Indenta"/>
      </w:pPr>
      <w:del w:id="118" w:author="Master Repository Process" w:date="2021-08-01T03:00:00Z">
        <w:r>
          <w:tab/>
        </w:r>
        <w:r>
          <w:tab/>
          <w:delText>or for an offence under a law of another State that corresponds with any of those enactments</w:delText>
        </w:r>
      </w:del>
      <w:ins w:id="119" w:author="Master Repository Process" w:date="2021-08-01T03:00:00Z">
        <w:r>
          <w:t xml:space="preserve"> associates has in this State or elsewhere</w:t>
        </w:r>
      </w:ins>
      <w:r>
        <w:t>;</w:t>
      </w:r>
    </w:p>
    <w:p>
      <w:pPr>
        <w:pStyle w:val="Indenta"/>
      </w:pPr>
      <w:r>
        <w:tab/>
        <w:t>(c)</w:t>
      </w:r>
      <w:r>
        <w:tab/>
        <w:t xml:space="preserve">any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Indenta"/>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w:t>
      </w:r>
      <w:del w:id="120" w:author="Master Repository Process" w:date="2021-08-01T03:00:00Z">
        <w:r>
          <w:delText xml:space="preserve">a close associate </w:delText>
        </w:r>
      </w:del>
      <w:r>
        <w:t xml:space="preserve">of </w:t>
      </w:r>
      <w:del w:id="121" w:author="Master Repository Process" w:date="2021-08-01T03:00:00Z">
        <w:r>
          <w:delText>the</w:delText>
        </w:r>
      </w:del>
      <w:ins w:id="122" w:author="Master Repository Process" w:date="2021-08-01T03:00:00Z">
        <w:r>
          <w:t>a</w:t>
        </w:r>
      </w:ins>
      <w:r>
        <w:t xml:space="preserve"> person</w:t>
      </w:r>
      <w:ins w:id="123" w:author="Master Repository Process" w:date="2021-08-01T03:00:00Z">
        <w:r>
          <w:t xml:space="preserve"> with whom the relevant person associates</w:t>
        </w:r>
      </w:ins>
      <w:r>
        <w:t>, that is adverse;</w:t>
      </w:r>
    </w:p>
    <w:p>
      <w:pPr>
        <w:pStyle w:val="Indenta"/>
      </w:pPr>
      <w:r>
        <w:tab/>
        <w:t>(f)</w:t>
      </w:r>
      <w:r>
        <w:tab/>
        <w:t>any false or misleading information given by the relevant person in or in respect of his or her application for a security card</w:t>
      </w:r>
      <w:del w:id="124" w:author="Master Repository Process" w:date="2021-08-01T03:00:00Z">
        <w:r>
          <w:delText>.</w:delText>
        </w:r>
      </w:del>
      <w:ins w:id="125" w:author="Master Repository Process" w:date="2021-08-01T03:00:00Z">
        <w:r>
          <w:t>;</w:t>
        </w:r>
      </w:ins>
    </w:p>
    <w:p>
      <w:pPr>
        <w:pStyle w:val="Indenta"/>
        <w:rPr>
          <w:ins w:id="126" w:author="Master Repository Process" w:date="2021-08-01T03:00:00Z"/>
        </w:rPr>
      </w:pPr>
      <w:ins w:id="127" w:author="Master Repository Process" w:date="2021-08-01T03:00:00Z">
        <w:r>
          <w:tab/>
          <w:t>(g)</w:t>
        </w:r>
        <w:r>
          <w:tab/>
          <w:t xml:space="preserve">any other matter the Commissioner considers relevant. </w:t>
        </w:r>
      </w:ins>
    </w:p>
    <w:p>
      <w:pPr>
        <w:pStyle w:val="Subsection"/>
      </w:pPr>
      <w:r>
        <w:tab/>
        <w:t>(6)</w:t>
      </w:r>
      <w:r>
        <w:tab/>
        <w:t>Any objection made by the Commissioner under this regulation must be in writing, include reasons for the objection and be given to the Chief Officer.</w:t>
      </w:r>
    </w:p>
    <w:p>
      <w:pPr>
        <w:pStyle w:val="Footnotesection"/>
        <w:rPr>
          <w:ins w:id="128" w:author="Master Repository Process" w:date="2021-08-01T03:00:00Z"/>
        </w:rPr>
      </w:pPr>
      <w:ins w:id="129" w:author="Master Repository Process" w:date="2021-08-01T03:00:00Z">
        <w:r>
          <w:tab/>
          <w:t>[Regulation 19 amended in Gazette 21 Aug 2009 p. 3271-2.]</w:t>
        </w:r>
      </w:ins>
    </w:p>
    <w:p>
      <w:pPr>
        <w:pStyle w:val="Heading5"/>
      </w:pPr>
      <w:bookmarkStart w:id="130" w:name="_Toc238547777"/>
      <w:bookmarkStart w:id="131" w:name="_Toc233692992"/>
      <w:r>
        <w:rPr>
          <w:rStyle w:val="CharSectno"/>
        </w:rPr>
        <w:t>20</w:t>
      </w:r>
      <w:r>
        <w:t>.</w:t>
      </w:r>
      <w:r>
        <w:tab/>
        <w:t>Security card, issue of</w:t>
      </w:r>
      <w:bookmarkEnd w:id="130"/>
      <w:bookmarkEnd w:id="131"/>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unless sooner cancelled by the Chief Officer.</w:t>
      </w:r>
    </w:p>
    <w:p>
      <w:pPr>
        <w:pStyle w:val="Subsection"/>
      </w:pPr>
      <w:r>
        <w:tab/>
        <w:t>(7)</w:t>
      </w:r>
      <w:r>
        <w:tab/>
        <w:t>An applicant whose application is refused is not entitled to a refund of the fee.</w:t>
      </w:r>
    </w:p>
    <w:p>
      <w:pPr>
        <w:pStyle w:val="Heading5"/>
      </w:pPr>
      <w:bookmarkStart w:id="132" w:name="_Toc238547778"/>
      <w:bookmarkStart w:id="133" w:name="_Toc233692993"/>
      <w:r>
        <w:rPr>
          <w:rStyle w:val="CharSectno"/>
        </w:rPr>
        <w:t>21</w:t>
      </w:r>
      <w:r>
        <w:t>.</w:t>
      </w:r>
      <w:r>
        <w:tab/>
        <w:t>Security card, cancelling</w:t>
      </w:r>
      <w:bookmarkEnd w:id="132"/>
      <w:bookmarkEnd w:id="133"/>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Dangerous Goods Safety (Security Risk Substances) Regulations 2007</w:t>
      </w:r>
      <w:r>
        <w:t>, issued to him or her to the Chief Officer.</w:t>
      </w:r>
    </w:p>
    <w:p>
      <w:pPr>
        <w:pStyle w:val="Penstart"/>
      </w:pPr>
      <w:r>
        <w:tab/>
        <w:t>Penalty: a level 3 fine.</w:t>
      </w:r>
    </w:p>
    <w:p>
      <w:pPr>
        <w:pStyle w:val="Subsection"/>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Heading5"/>
      </w:pPr>
      <w:bookmarkStart w:id="134" w:name="_Toc238547779"/>
      <w:bookmarkStart w:id="135" w:name="_Toc233692994"/>
      <w:r>
        <w:rPr>
          <w:rStyle w:val="CharSectno"/>
        </w:rPr>
        <w:t>22</w:t>
      </w:r>
      <w:r>
        <w:t>.</w:t>
      </w:r>
      <w:r>
        <w:tab/>
        <w:t>Security documents to be carried and produced</w:t>
      </w:r>
      <w:bookmarkEnd w:id="134"/>
      <w:bookmarkEnd w:id="135"/>
    </w:p>
    <w:p>
      <w:pPr>
        <w:pStyle w:val="Subsection"/>
        <w:keepNext/>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pPr>
      <w:r>
        <w:tab/>
        <w:t>(2)</w:t>
      </w:r>
      <w:r>
        <w:tab/>
        <w:t>A person who has a security document and who is in possession of an explosive or an SRS must carry the document or have it in the vehicle in which he or she is travelling or at the place where he or she is in possession of the explosive or SRS.</w:t>
      </w:r>
    </w:p>
    <w:p>
      <w:pPr>
        <w:pStyle w:val="Penstart"/>
      </w:pPr>
      <w:r>
        <w:tab/>
        <w:t>Penalty: a level 3 fine.</w:t>
      </w:r>
    </w:p>
    <w:p>
      <w:pPr>
        <w:pStyle w:val="Subsection"/>
      </w:pPr>
      <w:r>
        <w:tab/>
        <w:t>(3)</w:t>
      </w:r>
      <w:r>
        <w:tab/>
        <w:t>A person who has a security document and who is in possession of an explosive or an SRS must, if asked to so so by a DGO, immediately produce it to the DGO for inspection.</w:t>
      </w:r>
    </w:p>
    <w:p>
      <w:pPr>
        <w:pStyle w:val="Penstart"/>
      </w:pPr>
      <w:r>
        <w:tab/>
        <w:t>Penalty: a level 3 fine.</w:t>
      </w:r>
    </w:p>
    <w:p>
      <w:pPr>
        <w:pStyle w:val="Heading5"/>
      </w:pPr>
      <w:bookmarkStart w:id="136" w:name="_Toc238547780"/>
      <w:bookmarkStart w:id="137" w:name="_Toc233692995"/>
      <w:r>
        <w:rPr>
          <w:rStyle w:val="CharSectno"/>
        </w:rPr>
        <w:t>23</w:t>
      </w:r>
      <w:r>
        <w:t>.</w:t>
      </w:r>
      <w:r>
        <w:tab/>
        <w:t>Licence holders may authorise employees to have access to explosives</w:t>
      </w:r>
      <w:bookmarkEnd w:id="136"/>
      <w:bookmarkEnd w:id="137"/>
    </w:p>
    <w:p>
      <w:pPr>
        <w:pStyle w:val="Subsection"/>
      </w:pPr>
      <w:r>
        <w:tab/>
        <w:t>(1)</w:t>
      </w:r>
      <w:r>
        <w:tab/>
        <w:t>A licence holder may authorise an employee of the licence holder to have, in the course of the employee’s duties, access to an explosive in the licence holder’s possession and may cancel such an authorisation at any time.</w:t>
      </w:r>
    </w:p>
    <w:p>
      <w:pPr>
        <w:pStyle w:val="Subsection"/>
      </w:pPr>
      <w:r>
        <w:tab/>
        <w:t>(2)</w:t>
      </w:r>
      <w:r>
        <w:tab/>
        <w:t>A licence holder must not authorise an employee of the holder to have unsupervised access to an explosive in the course of the employee’s duties unless —</w:t>
      </w:r>
    </w:p>
    <w:p>
      <w:pPr>
        <w:pStyle w:val="Indenta"/>
      </w:pPr>
      <w:r>
        <w:tab/>
        <w:t>(a)</w:t>
      </w:r>
      <w:r>
        <w:tab/>
        <w:t>the employee has a security clearance; and</w:t>
      </w:r>
    </w:p>
    <w:p>
      <w:pPr>
        <w:pStyle w:val="Indenta"/>
      </w:pPr>
      <w:r>
        <w:tab/>
        <w:t>(b)</w:t>
      </w:r>
      <w:r>
        <w:tab/>
        <w:t>the licence holder is satisfied that the employee is suitably trained to safely handle any explosive to which the employee will have unsupervised access.</w:t>
      </w:r>
    </w:p>
    <w:p>
      <w:pPr>
        <w:pStyle w:val="Penstart"/>
      </w:pPr>
      <w:r>
        <w:tab/>
        <w:t>Penalty: a level 2 fine.</w:t>
      </w:r>
    </w:p>
    <w:p>
      <w:pPr>
        <w:pStyle w:val="Subsection"/>
      </w:pPr>
      <w:r>
        <w:tab/>
        <w:t>(3)</w:t>
      </w:r>
      <w:r>
        <w:tab/>
        <w:t>A licence holder must not authorise an employee of the holder who is not a secure employee of the holder to have access to an explosive in the course of the employee’s duties unless the employee is supervised while having access to the explosive by —</w:t>
      </w:r>
    </w:p>
    <w:p>
      <w:pPr>
        <w:pStyle w:val="Indenta"/>
      </w:pPr>
      <w:r>
        <w:tab/>
        <w:t>(a)</w:t>
      </w:r>
      <w:r>
        <w:tab/>
        <w:t>the licence holder; or</w:t>
      </w:r>
    </w:p>
    <w:p>
      <w:pPr>
        <w:pStyle w:val="Indenta"/>
      </w:pPr>
      <w:r>
        <w:tab/>
        <w:t>(b)</w:t>
      </w:r>
      <w:r>
        <w:tab/>
        <w:t>a secure employee of the licence holder acting in the course of the employee’s duties.</w:t>
      </w:r>
    </w:p>
    <w:p>
      <w:pPr>
        <w:pStyle w:val="Penstart"/>
      </w:pPr>
      <w:r>
        <w:tab/>
        <w:t>Penalty: a level 2 fine.</w:t>
      </w:r>
    </w:p>
    <w:p>
      <w:pPr>
        <w:pStyle w:val="Subsection"/>
      </w:pPr>
      <w:r>
        <w:tab/>
        <w:t>(4)</w:t>
      </w:r>
      <w:r>
        <w:tab/>
        <w:t>An employee of a licence holder who, under an authorisation given under this regulation, has access to an explosive in the course of his or her duties may have possession of the explosive in the course of those duties.</w:t>
      </w:r>
    </w:p>
    <w:p>
      <w:pPr>
        <w:pStyle w:val="Subsection"/>
      </w:pPr>
      <w:r>
        <w:tab/>
        <w:t>(5)</w:t>
      </w:r>
      <w:r>
        <w:tab/>
        <w:t>An employee authorised under subregulation (3) is not authorised by subregulation (4) to have possession unless the employee is supervised as required by subregulation (3).</w:t>
      </w:r>
    </w:p>
    <w:p>
      <w:pPr>
        <w:pStyle w:val="Heading5"/>
      </w:pPr>
      <w:bookmarkStart w:id="138" w:name="_Toc238547781"/>
      <w:bookmarkStart w:id="139" w:name="_Toc233692996"/>
      <w:r>
        <w:rPr>
          <w:rStyle w:val="CharSectno"/>
        </w:rPr>
        <w:t>24</w:t>
      </w:r>
      <w:r>
        <w:t>.</w:t>
      </w:r>
      <w:r>
        <w:tab/>
        <w:t>Licence holders to keep record of secure employees</w:t>
      </w:r>
      <w:bookmarkEnd w:id="138"/>
      <w:bookmarkEnd w:id="139"/>
    </w:p>
    <w:p>
      <w:pPr>
        <w:pStyle w:val="Subsection"/>
      </w:pPr>
      <w:r>
        <w:tab/>
        <w:t>(1)</w:t>
      </w:r>
      <w:r>
        <w:tab/>
        <w:t>A licence holder must keep a proper record of each of the licence holder’s secure employees.</w:t>
      </w:r>
    </w:p>
    <w:p>
      <w:pPr>
        <w:pStyle w:val="Penstart"/>
      </w:pPr>
      <w:r>
        <w:tab/>
        <w:t>Penalty: a level 2 fine.</w:t>
      </w:r>
    </w:p>
    <w:p>
      <w:pPr>
        <w:pStyle w:val="Subsection"/>
      </w:pPr>
      <w:r>
        <w:tab/>
        <w:t>(2)</w:t>
      </w:r>
      <w:r>
        <w:tab/>
        <w:t xml:space="preserve">For the purpose of subregulation (1), a proper record is not kept of a secure employee unless a written record is made of this information — </w:t>
      </w:r>
    </w:p>
    <w:p>
      <w:pPr>
        <w:pStyle w:val="Indenta"/>
      </w:pPr>
      <w:r>
        <w:tab/>
        <w:t>(a)</w:t>
      </w:r>
      <w:r>
        <w:tab/>
        <w:t>the name and residential address of the secure employee;</w:t>
      </w:r>
    </w:p>
    <w:p>
      <w:pPr>
        <w:pStyle w:val="Indenta"/>
      </w:pPr>
      <w:r>
        <w:tab/>
        <w:t>(b)</w:t>
      </w:r>
      <w:r>
        <w:tab/>
        <w:t>the details of every security card the employee is issued;</w:t>
      </w:r>
    </w:p>
    <w:p>
      <w:pPr>
        <w:pStyle w:val="Indenta"/>
      </w:pPr>
      <w:r>
        <w:tab/>
        <w:t>(c)</w:t>
      </w:r>
      <w:r>
        <w:tab/>
        <w:t xml:space="preserve">if the employee does not have a security card but is a person referred to in regulation 16(3) — </w:t>
      </w:r>
    </w:p>
    <w:p>
      <w:pPr>
        <w:pStyle w:val="Indenti"/>
      </w:pPr>
      <w:r>
        <w:tab/>
        <w:t>(i)</w:t>
      </w:r>
      <w:r>
        <w:tab/>
        <w:t>the details of the written authorisation referred to in regulation 16(3) that the person holds; and</w:t>
      </w:r>
    </w:p>
    <w:p>
      <w:pPr>
        <w:pStyle w:val="Indenti"/>
      </w:pPr>
      <w:r>
        <w:tab/>
        <w:t>(ii)</w:t>
      </w:r>
      <w:r>
        <w:tab/>
        <w:t>if the employee’s usual place of residence is in the State, the date on which the employee took up such residence in the State;</w:t>
      </w:r>
    </w:p>
    <w:p>
      <w:pPr>
        <w:pStyle w:val="Indenta"/>
      </w:pPr>
      <w:r>
        <w:tab/>
        <w:t>(d)</w:t>
      </w:r>
      <w:r>
        <w:tab/>
        <w:t>the date on which the holder, under regulation 23(2), authorised the employee to have unsupervised access to an explosive in the holder’s possession;</w:t>
      </w:r>
    </w:p>
    <w:p>
      <w:pPr>
        <w:pStyle w:val="Indenta"/>
      </w:pPr>
      <w:r>
        <w:tab/>
        <w:t>(e)</w:t>
      </w:r>
      <w:r>
        <w:tab/>
        <w:t>if the authorisation given under regulation 23(2) is cancelled, the date on which it is cancelled,</w:t>
      </w:r>
    </w:p>
    <w:p>
      <w:pPr>
        <w:pStyle w:val="Subsection"/>
      </w:pPr>
      <w:r>
        <w:tab/>
      </w:r>
      <w:r>
        <w:tab/>
        <w:t>and is kept for 2 years after the date on which the employee ceases to be a secure employee of the licence holder.</w:t>
      </w:r>
    </w:p>
    <w:p>
      <w:pPr>
        <w:pStyle w:val="Heading5"/>
      </w:pPr>
      <w:bookmarkStart w:id="140" w:name="_Toc238547782"/>
      <w:bookmarkStart w:id="141" w:name="_Toc233692997"/>
      <w:r>
        <w:rPr>
          <w:rStyle w:val="CharSectno"/>
        </w:rPr>
        <w:t>25</w:t>
      </w:r>
      <w:r>
        <w:t>.</w:t>
      </w:r>
      <w:r>
        <w:tab/>
        <w:t>Secure employee to disclose employer’s details if asked</w:t>
      </w:r>
      <w:bookmarkEnd w:id="140"/>
      <w:bookmarkEnd w:id="141"/>
    </w:p>
    <w:p>
      <w:pPr>
        <w:pStyle w:val="Subsection"/>
      </w:pPr>
      <w:r>
        <w:tab/>
      </w:r>
      <w:r>
        <w:tab/>
        <w:t>A secure employee who is in possession of an explosive must, if asked by a DGO to do so, give the DGO the name and address of the employee’s employer who authorised the employee to have access to the explosive.</w:t>
      </w:r>
    </w:p>
    <w:p>
      <w:pPr>
        <w:pStyle w:val="Penstart"/>
      </w:pPr>
      <w:r>
        <w:tab/>
        <w:t>Penalty: a level 3 fine.</w:t>
      </w:r>
    </w:p>
    <w:p>
      <w:pPr>
        <w:pStyle w:val="Heading2"/>
      </w:pPr>
      <w:bookmarkStart w:id="142" w:name="_Toc191960503"/>
      <w:bookmarkStart w:id="143" w:name="_Toc191982084"/>
      <w:bookmarkStart w:id="144" w:name="_Toc233692998"/>
      <w:bookmarkStart w:id="145" w:name="_Toc238546349"/>
      <w:bookmarkStart w:id="146" w:name="_Toc238546654"/>
      <w:bookmarkStart w:id="147" w:name="_Toc238547783"/>
      <w:r>
        <w:rPr>
          <w:rStyle w:val="CharPartNo"/>
        </w:rPr>
        <w:t>Part 4</w:t>
      </w:r>
      <w:r>
        <w:t> — </w:t>
      </w:r>
      <w:r>
        <w:rPr>
          <w:rStyle w:val="CharPartText"/>
        </w:rPr>
        <w:t>Authorisation of explosives</w:t>
      </w:r>
      <w:bookmarkEnd w:id="142"/>
      <w:bookmarkEnd w:id="143"/>
      <w:bookmarkEnd w:id="144"/>
      <w:bookmarkEnd w:id="145"/>
      <w:bookmarkEnd w:id="146"/>
      <w:bookmarkEnd w:id="147"/>
    </w:p>
    <w:p>
      <w:pPr>
        <w:pStyle w:val="Heading3"/>
      </w:pPr>
      <w:bookmarkStart w:id="148" w:name="_Toc191960504"/>
      <w:bookmarkStart w:id="149" w:name="_Toc191982085"/>
      <w:bookmarkStart w:id="150" w:name="_Toc233692999"/>
      <w:bookmarkStart w:id="151" w:name="_Toc238546350"/>
      <w:bookmarkStart w:id="152" w:name="_Toc238546655"/>
      <w:bookmarkStart w:id="153" w:name="_Toc238547784"/>
      <w:r>
        <w:rPr>
          <w:rStyle w:val="CharDivNo"/>
        </w:rPr>
        <w:t>Division 1</w:t>
      </w:r>
      <w:r>
        <w:t> — </w:t>
      </w:r>
      <w:r>
        <w:rPr>
          <w:rStyle w:val="CharDivText"/>
        </w:rPr>
        <w:t>Testing unauthorised explosives</w:t>
      </w:r>
      <w:bookmarkEnd w:id="148"/>
      <w:bookmarkEnd w:id="149"/>
      <w:bookmarkEnd w:id="150"/>
      <w:bookmarkEnd w:id="151"/>
      <w:bookmarkEnd w:id="152"/>
      <w:bookmarkEnd w:id="153"/>
    </w:p>
    <w:p>
      <w:pPr>
        <w:pStyle w:val="Heading5"/>
      </w:pPr>
      <w:bookmarkStart w:id="154" w:name="_Toc238547785"/>
      <w:bookmarkStart w:id="155" w:name="_Toc233693000"/>
      <w:r>
        <w:rPr>
          <w:rStyle w:val="CharSectno"/>
        </w:rPr>
        <w:t>26</w:t>
      </w:r>
      <w:r>
        <w:t>.</w:t>
      </w:r>
      <w:r>
        <w:tab/>
        <w:t>Terms used in this Division</w:t>
      </w:r>
      <w:bookmarkEnd w:id="154"/>
      <w:bookmarkEnd w:id="155"/>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pPr>
      <w:bookmarkStart w:id="156" w:name="_Toc238547786"/>
      <w:bookmarkStart w:id="157" w:name="_Toc233693001"/>
      <w:r>
        <w:rPr>
          <w:rStyle w:val="CharSectno"/>
        </w:rPr>
        <w:t>27</w:t>
      </w:r>
      <w:r>
        <w:t>.</w:t>
      </w:r>
      <w:r>
        <w:tab/>
        <w:t>Applying for test permit</w:t>
      </w:r>
      <w:bookmarkEnd w:id="156"/>
      <w:bookmarkEnd w:id="157"/>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158" w:name="_Toc238547787"/>
      <w:bookmarkStart w:id="159" w:name="_Toc233693002"/>
      <w:r>
        <w:rPr>
          <w:rStyle w:val="CharSectno"/>
        </w:rPr>
        <w:t>28</w:t>
      </w:r>
      <w:r>
        <w:t>.</w:t>
      </w:r>
      <w:r>
        <w:tab/>
        <w:t>Dealing with applications for test permits</w:t>
      </w:r>
      <w:bookmarkEnd w:id="158"/>
      <w:bookmarkEnd w:id="159"/>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160" w:name="_Toc238547788"/>
      <w:bookmarkStart w:id="161" w:name="_Toc233693003"/>
      <w:r>
        <w:rPr>
          <w:rStyle w:val="CharSectno"/>
        </w:rPr>
        <w:t>29</w:t>
      </w:r>
      <w:r>
        <w:t>.</w:t>
      </w:r>
      <w:r>
        <w:tab/>
        <w:t>Test permit, effect of</w:t>
      </w:r>
      <w:bookmarkEnd w:id="160"/>
      <w:bookmarkEnd w:id="161"/>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employee of the holder in the course of his or her duties as such.</w:t>
      </w:r>
    </w:p>
    <w:p>
      <w:pPr>
        <w:pStyle w:val="Heading3"/>
      </w:pPr>
      <w:bookmarkStart w:id="162" w:name="_Toc191960509"/>
      <w:bookmarkStart w:id="163" w:name="_Toc191982090"/>
      <w:bookmarkStart w:id="164" w:name="_Toc233693004"/>
      <w:bookmarkStart w:id="165" w:name="_Toc238546355"/>
      <w:bookmarkStart w:id="166" w:name="_Toc238546660"/>
      <w:bookmarkStart w:id="167" w:name="_Toc238547789"/>
      <w:r>
        <w:rPr>
          <w:rStyle w:val="CharDivNo"/>
        </w:rPr>
        <w:t>Division 2</w:t>
      </w:r>
      <w:r>
        <w:t> — </w:t>
      </w:r>
      <w:r>
        <w:rPr>
          <w:rStyle w:val="CharDivText"/>
        </w:rPr>
        <w:t>Authorisation procedure</w:t>
      </w:r>
      <w:bookmarkEnd w:id="162"/>
      <w:bookmarkEnd w:id="163"/>
      <w:bookmarkEnd w:id="164"/>
      <w:bookmarkEnd w:id="165"/>
      <w:bookmarkEnd w:id="166"/>
      <w:bookmarkEnd w:id="167"/>
    </w:p>
    <w:p>
      <w:pPr>
        <w:pStyle w:val="Heading5"/>
      </w:pPr>
      <w:bookmarkStart w:id="168" w:name="_Toc238547790"/>
      <w:bookmarkStart w:id="169" w:name="_Toc233693005"/>
      <w:r>
        <w:rPr>
          <w:rStyle w:val="CharSectno"/>
        </w:rPr>
        <w:t>30</w:t>
      </w:r>
      <w:r>
        <w:t>.</w:t>
      </w:r>
      <w:r>
        <w:tab/>
        <w:t>Applying to have explosive authorised</w:t>
      </w:r>
      <w:bookmarkEnd w:id="168"/>
      <w:bookmarkEnd w:id="169"/>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pPr>
      <w:r>
        <w:tab/>
        <w:t>(vii)</w:t>
      </w:r>
      <w:r>
        <w:tab/>
        <w:t>be accompanied by an MSDS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keepNext/>
      </w:pPr>
      <w:r>
        <w:tab/>
      </w:r>
      <w:r>
        <w:tab/>
        <w:t>and</w:t>
      </w:r>
    </w:p>
    <w:p>
      <w:pPr>
        <w:pStyle w:val="Indenta"/>
        <w:keepNext/>
      </w:pPr>
      <w:r>
        <w:tab/>
        <w:t>(f)</w:t>
      </w:r>
      <w:r>
        <w:tab/>
        <w:t xml:space="preserve">as to authorising the explosive, state — </w:t>
      </w:r>
    </w:p>
    <w:p>
      <w:pPr>
        <w:pStyle w:val="Indenti"/>
      </w:pPr>
      <w:r>
        <w:tab/>
        <w:t>(i)</w:t>
      </w:r>
      <w:r>
        <w:tab/>
        <w:t>the UN number of the explosive in the UNMR;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UNMR and under the law of the Commonwealth, another State or a Territory;</w:t>
      </w:r>
    </w:p>
    <w:p>
      <w:pPr>
        <w:pStyle w:val="Indenta"/>
      </w:pPr>
      <w:r>
        <w:tab/>
      </w:r>
      <w:r>
        <w:tab/>
        <w:t>and</w:t>
      </w:r>
    </w:p>
    <w:p>
      <w:pPr>
        <w:pStyle w:val="Indenta"/>
      </w:pPr>
      <w:r>
        <w:tab/>
        <w:t>(g)</w:t>
      </w:r>
      <w:r>
        <w:tab/>
        <w:t>set out the history of the explosive’s use (including any adverse experiences) in Australia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Heading5"/>
      </w:pPr>
      <w:bookmarkStart w:id="170" w:name="_Toc238547791"/>
      <w:bookmarkStart w:id="171" w:name="_Toc233693006"/>
      <w:r>
        <w:rPr>
          <w:rStyle w:val="CharSectno"/>
        </w:rPr>
        <w:t>31</w:t>
      </w:r>
      <w:r>
        <w:t>.</w:t>
      </w:r>
      <w:r>
        <w:tab/>
        <w:t>Authorising explosives</w:t>
      </w:r>
      <w:bookmarkEnd w:id="170"/>
      <w:bookmarkEnd w:id="171"/>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UNMR.</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Heading5"/>
      </w:pPr>
      <w:bookmarkStart w:id="172" w:name="_Toc238547792"/>
      <w:bookmarkStart w:id="173" w:name="_Toc233693007"/>
      <w:r>
        <w:rPr>
          <w:rStyle w:val="CharSectno"/>
        </w:rPr>
        <w:t>32</w:t>
      </w:r>
      <w:r>
        <w:t>.</w:t>
      </w:r>
      <w:r>
        <w:tab/>
        <w:t>Register of authorised explosives</w:t>
      </w:r>
      <w:bookmarkEnd w:id="172"/>
      <w:bookmarkEnd w:id="173"/>
    </w:p>
    <w:p>
      <w:pPr>
        <w:pStyle w:val="Subsection"/>
      </w:pPr>
      <w:r>
        <w:tab/>
        <w:t>(1)</w:t>
      </w:r>
      <w:r>
        <w:tab/>
        <w:t>The Chief Officer must keep a record in a register of —</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Heading2"/>
      </w:pPr>
      <w:bookmarkStart w:id="174" w:name="_Toc191960513"/>
      <w:bookmarkStart w:id="175" w:name="_Toc191982094"/>
      <w:bookmarkStart w:id="176" w:name="_Toc233693008"/>
      <w:bookmarkStart w:id="177" w:name="_Toc238546359"/>
      <w:bookmarkStart w:id="178" w:name="_Toc238546664"/>
      <w:bookmarkStart w:id="179" w:name="_Toc238547793"/>
      <w:r>
        <w:rPr>
          <w:rStyle w:val="CharPartNo"/>
        </w:rPr>
        <w:t>Part 5</w:t>
      </w:r>
      <w:r>
        <w:rPr>
          <w:rStyle w:val="CharDivNo"/>
        </w:rPr>
        <w:t> </w:t>
      </w:r>
      <w:r>
        <w:t>—</w:t>
      </w:r>
      <w:r>
        <w:rPr>
          <w:rStyle w:val="CharDivText"/>
        </w:rPr>
        <w:t> </w:t>
      </w:r>
      <w:r>
        <w:rPr>
          <w:rStyle w:val="CharPartText"/>
        </w:rPr>
        <w:t>General provisions about explosives</w:t>
      </w:r>
      <w:bookmarkEnd w:id="174"/>
      <w:bookmarkEnd w:id="175"/>
      <w:bookmarkEnd w:id="176"/>
      <w:bookmarkEnd w:id="177"/>
      <w:bookmarkEnd w:id="178"/>
      <w:bookmarkEnd w:id="179"/>
    </w:p>
    <w:p>
      <w:pPr>
        <w:pStyle w:val="Heading5"/>
      </w:pPr>
      <w:bookmarkStart w:id="180" w:name="_Toc238547794"/>
      <w:bookmarkStart w:id="181" w:name="_Toc233693009"/>
      <w:r>
        <w:rPr>
          <w:rStyle w:val="CharSectno"/>
        </w:rPr>
        <w:t>33</w:t>
      </w:r>
      <w:r>
        <w:t>.</w:t>
      </w:r>
      <w:r>
        <w:tab/>
        <w:t>Terms used in this Part</w:t>
      </w:r>
      <w:bookmarkEnd w:id="180"/>
      <w:bookmarkEnd w:id="181"/>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182" w:name="_Toc238547795"/>
      <w:bookmarkStart w:id="183" w:name="_Toc233693010"/>
      <w:r>
        <w:rPr>
          <w:rStyle w:val="CharSectno"/>
        </w:rPr>
        <w:t>34</w:t>
      </w:r>
      <w:r>
        <w:t>.</w:t>
      </w:r>
      <w:r>
        <w:tab/>
        <w:t>Signage at certain explosives facilities</w:t>
      </w:r>
      <w:bookmarkEnd w:id="182"/>
      <w:bookmarkEnd w:id="183"/>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1 —</w:t>
      </w:r>
    </w:p>
    <w:p>
      <w:pPr>
        <w:pStyle w:val="Indenti"/>
      </w:pPr>
      <w:r>
        <w:tab/>
        <w:t>(i)</w:t>
      </w:r>
      <w:r>
        <w:tab/>
        <w:t>at every entrance to the place on its perimeter; or</w:t>
      </w:r>
    </w:p>
    <w:p>
      <w:pPr>
        <w:pStyle w:val="Indenti"/>
      </w:pPr>
      <w:r>
        <w:tab/>
        <w:t>(ii)</w:t>
      </w:r>
      <w:r>
        <w:tab/>
        <w:t>at a position or positions approved in writing by FESA;</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Heading5"/>
      </w:pPr>
      <w:bookmarkStart w:id="184" w:name="_Toc238547796"/>
      <w:bookmarkStart w:id="185" w:name="_Toc233693011"/>
      <w:r>
        <w:rPr>
          <w:rStyle w:val="CharSectno"/>
        </w:rPr>
        <w:t>35</w:t>
      </w:r>
      <w:r>
        <w:t>.</w:t>
      </w:r>
      <w:r>
        <w:tab/>
        <w:t>Guns in explosives facilities</w:t>
      </w:r>
      <w:bookmarkEnd w:id="184"/>
      <w:bookmarkEnd w:id="185"/>
    </w:p>
    <w:p>
      <w:pPr>
        <w:pStyle w:val="Subsection"/>
      </w:pPr>
      <w:r>
        <w:tab/>
        <w:t>(1)</w:t>
      </w:r>
      <w:r>
        <w:tab/>
        <w:t>A person must not carry a gun in an explosives facility unless the person —</w:t>
      </w:r>
    </w:p>
    <w:p>
      <w:pPr>
        <w:pStyle w:val="Indenta"/>
      </w:pPr>
      <w:r>
        <w:tab/>
        <w:t>(a)</w:t>
      </w:r>
      <w:r>
        <w:tab/>
        <w:t>is a police officer acting in the course of duty; or</w:t>
      </w:r>
    </w:p>
    <w:p>
      <w:pPr>
        <w:pStyle w:val="Indenta"/>
      </w:pPr>
      <w:r>
        <w:tab/>
        <w:t>(b)</w:t>
      </w:r>
      <w:r>
        <w:tab/>
        <w:t xml:space="preserve">has a security officer’s licence under the </w:t>
      </w:r>
      <w:r>
        <w:rPr>
          <w:i/>
          <w:iCs/>
        </w:rPr>
        <w:t>Security and Related Activities (Control) Act 1996</w:t>
      </w:r>
      <w:r>
        <w:t>, is authorised under that Act to possess the gun, and is acting under a contract between a security agent (as that term is defined in that Act) and the person who occupies the facility; or</w:t>
      </w:r>
    </w:p>
    <w:p>
      <w:pPr>
        <w:pStyle w:val="Indenta"/>
      </w:pPr>
      <w:r>
        <w:tab/>
        <w:t>(c)</w:t>
      </w:r>
      <w:r>
        <w:tab/>
        <w:t>controls and manages the facility and the facility is not, or is not situated in, a State explosives facility.</w:t>
      </w:r>
    </w:p>
    <w:p>
      <w:pPr>
        <w:pStyle w:val="Penstart"/>
      </w:pPr>
      <w:r>
        <w:tab/>
        <w:t>Penalty: a level 1 fine and imprisonment for 10 months.</w:t>
      </w:r>
    </w:p>
    <w:p>
      <w:pPr>
        <w:pStyle w:val="Subsection"/>
      </w:pPr>
      <w:r>
        <w:tab/>
        <w:t>(2)</w:t>
      </w:r>
      <w:r>
        <w:tab/>
        <w:t>A DGO, the occupier of an explosives facility, or a person referred to in subregulation (1)(a) or (b), who reasonably suspects a person is contravening subregulation (1) may use reasonable force to remove the person from the facility.</w:t>
      </w:r>
    </w:p>
    <w:p>
      <w:pPr>
        <w:pStyle w:val="Heading5"/>
      </w:pPr>
      <w:bookmarkStart w:id="186" w:name="_Toc238547797"/>
      <w:bookmarkStart w:id="187" w:name="_Toc233693012"/>
      <w:r>
        <w:rPr>
          <w:rStyle w:val="CharSectno"/>
        </w:rPr>
        <w:t>36</w:t>
      </w:r>
      <w:r>
        <w:t>.</w:t>
      </w:r>
      <w:r>
        <w:tab/>
        <w:t>Explosives sites, duties of people at</w:t>
      </w:r>
      <w:bookmarkEnd w:id="186"/>
      <w:bookmarkEnd w:id="187"/>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Dangerous Goods Safety (Security Risk Substances) Regulations 2007</w:t>
      </w:r>
      <w:r>
        <w:t>, that relates to a place in the facility —</w:t>
      </w:r>
    </w:p>
    <w:p>
      <w:pPr>
        <w:pStyle w:val="Indenti"/>
      </w:pPr>
      <w:r>
        <w:tab/>
        <w:t>(i)</w:t>
      </w:r>
      <w:r>
        <w:tab/>
        <w:t>an SRS manufacture licence;</w:t>
      </w:r>
    </w:p>
    <w:p>
      <w:pPr>
        <w:pStyle w:val="Indenti"/>
      </w:pPr>
      <w:r>
        <w:tab/>
        <w:t>(ii)</w:t>
      </w:r>
      <w:r>
        <w:tab/>
        <w:t>an SRS storage licence;</w:t>
      </w:r>
    </w:p>
    <w:p>
      <w:pPr>
        <w:pStyle w:val="Indenta"/>
      </w:pPr>
      <w:r>
        <w:tab/>
      </w:r>
      <w:r>
        <w:tab/>
        <w:t>or</w:t>
      </w:r>
    </w:p>
    <w:p>
      <w:pPr>
        <w:pStyle w:val="Indenta"/>
      </w:pPr>
      <w:r>
        <w:tab/>
        <w:t>(c)</w:t>
      </w:r>
      <w:r>
        <w:tab/>
        <w:t>is a secure employee of the holder of such a licence acting in the course of his or her duties as such;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in the course of his or her duties as a secure employee of a person who holds a licence that authorises that person to do so; or</w:t>
      </w:r>
    </w:p>
    <w:p>
      <w:pPr>
        <w:pStyle w:val="Indenta"/>
      </w:pPr>
      <w:r>
        <w:tab/>
        <w:t>(c)</w:t>
      </w:r>
      <w:r>
        <w:tab/>
        <w:t>does so while supervised by a person referred to in paragraph (a) or (b).</w:t>
      </w:r>
    </w:p>
    <w:p>
      <w:pPr>
        <w:pStyle w:val="Penstart"/>
      </w:pPr>
      <w:r>
        <w:tab/>
        <w:t>Penalty: a level 1 fine and imprisonment for 10 months.</w:t>
      </w:r>
    </w:p>
    <w:p>
      <w:pPr>
        <w:pStyle w:val="Heading5"/>
      </w:pPr>
      <w:bookmarkStart w:id="188" w:name="_Toc238547798"/>
      <w:bookmarkStart w:id="189" w:name="_Toc233693013"/>
      <w:r>
        <w:rPr>
          <w:rStyle w:val="CharSectno"/>
        </w:rPr>
        <w:t>37</w:t>
      </w:r>
      <w:r>
        <w:t>.</w:t>
      </w:r>
      <w:r>
        <w:tab/>
        <w:t>Ignition sources near explosives</w:t>
      </w:r>
      <w:bookmarkEnd w:id="188"/>
      <w:bookmarkEnd w:id="189"/>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190" w:name="_Toc238547799"/>
      <w:bookmarkStart w:id="191" w:name="_Toc233693014"/>
      <w:r>
        <w:rPr>
          <w:rStyle w:val="CharSectno"/>
        </w:rPr>
        <w:t>38</w:t>
      </w:r>
      <w:r>
        <w:t>.</w:t>
      </w:r>
      <w:r>
        <w:tab/>
        <w:t>Fire risk substances near explosives</w:t>
      </w:r>
      <w:bookmarkEnd w:id="190"/>
      <w:bookmarkEnd w:id="191"/>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192" w:name="_Toc238547800"/>
      <w:bookmarkStart w:id="193" w:name="_Toc233693015"/>
      <w:r>
        <w:rPr>
          <w:rStyle w:val="CharSectno"/>
        </w:rPr>
        <w:t>39</w:t>
      </w:r>
      <w:r>
        <w:t>.</w:t>
      </w:r>
      <w:r>
        <w:tab/>
        <w:t>People affected by alcohol etc. near explosives</w:t>
      </w:r>
      <w:bookmarkEnd w:id="192"/>
      <w:bookmarkEnd w:id="193"/>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194" w:name="_Toc238547801"/>
      <w:bookmarkStart w:id="195" w:name="_Toc233693016"/>
      <w:r>
        <w:rPr>
          <w:rStyle w:val="CharSectno"/>
        </w:rPr>
        <w:t>40</w:t>
      </w:r>
      <w:r>
        <w:t>.</w:t>
      </w:r>
      <w:r>
        <w:tab/>
        <w:t>Packaging requirements for explosives</w:t>
      </w:r>
      <w:bookmarkEnd w:id="194"/>
      <w:bookmarkEnd w:id="195"/>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196" w:name="_Toc238547802"/>
      <w:bookmarkStart w:id="197" w:name="_Toc233693017"/>
      <w:r>
        <w:rPr>
          <w:rStyle w:val="CharSectno"/>
        </w:rPr>
        <w:t>41</w:t>
      </w:r>
      <w:r>
        <w:t>.</w:t>
      </w:r>
      <w:r>
        <w:tab/>
        <w:t>Defective explosives not to be exported or supplied</w:t>
      </w:r>
      <w:bookmarkEnd w:id="196"/>
      <w:bookmarkEnd w:id="197"/>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198" w:name="_Toc238547803"/>
      <w:bookmarkStart w:id="199" w:name="_Toc233693018"/>
      <w:r>
        <w:rPr>
          <w:rStyle w:val="CharSectno"/>
        </w:rPr>
        <w:t>42</w:t>
      </w:r>
      <w:r>
        <w:t>.</w:t>
      </w:r>
      <w:r>
        <w:tab/>
        <w:t>MPUs, use of</w:t>
      </w:r>
      <w:bookmarkEnd w:id="198"/>
      <w:bookmarkEnd w:id="199"/>
    </w:p>
    <w:p>
      <w:pPr>
        <w:pStyle w:val="Subsection"/>
      </w:pPr>
      <w:r>
        <w:tab/>
        <w:t>(1)</w:t>
      </w:r>
      <w:r>
        <w:tab/>
        <w:t>A person must not use an MPU to transport the constituents of, or to manufacture, an explosive unless it is a complying MPU.</w:t>
      </w:r>
    </w:p>
    <w:p>
      <w:pPr>
        <w:pStyle w:val="Penstart"/>
      </w:pPr>
      <w:r>
        <w:tab/>
        <w:t>Penalty: a level 1 fine and imprisonment for 10 months.</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MSDS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1 fine and imprisonment for 10 months.</w:t>
      </w:r>
    </w:p>
    <w:p>
      <w:pPr>
        <w:pStyle w:val="Heading5"/>
      </w:pPr>
      <w:bookmarkStart w:id="200" w:name="_Toc238547804"/>
      <w:bookmarkStart w:id="201" w:name="_Toc233693019"/>
      <w:r>
        <w:rPr>
          <w:rStyle w:val="CharSectno"/>
        </w:rPr>
        <w:t>43</w:t>
      </w:r>
      <w:r>
        <w:t>.</w:t>
      </w:r>
      <w:r>
        <w:tab/>
        <w:t>Falsely representing an explosive is authorised</w:t>
      </w:r>
      <w:bookmarkEnd w:id="200"/>
      <w:bookmarkEnd w:id="201"/>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202" w:name="_Toc238547805"/>
      <w:bookmarkStart w:id="203" w:name="_Toc233693020"/>
      <w:r>
        <w:rPr>
          <w:rStyle w:val="CharSectno"/>
        </w:rPr>
        <w:t>44</w:t>
      </w:r>
      <w:r>
        <w:t>.</w:t>
      </w:r>
      <w:r>
        <w:tab/>
        <w:t>“Reportable situations” prescribed (Act s. 9)</w:t>
      </w:r>
      <w:bookmarkEnd w:id="202"/>
      <w:bookmarkEnd w:id="203"/>
    </w:p>
    <w:p>
      <w:pPr>
        <w:pStyle w:val="Subsection"/>
        <w:keepNext/>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pPr>
      <w:r>
        <w:tab/>
        <w:t>(2)</w:t>
      </w:r>
      <w:r>
        <w:tab/>
        <w:t>Each of the following is prescribed to be a reportable situation for the purposes of the definition of “reportable situation”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Heading2"/>
      </w:pPr>
      <w:bookmarkStart w:id="204" w:name="_Toc191960526"/>
      <w:bookmarkStart w:id="205" w:name="_Toc191982107"/>
      <w:bookmarkStart w:id="206" w:name="_Toc233693021"/>
      <w:bookmarkStart w:id="207" w:name="_Toc238546372"/>
      <w:bookmarkStart w:id="208" w:name="_Toc238546677"/>
      <w:bookmarkStart w:id="209" w:name="_Toc238547806"/>
      <w:r>
        <w:rPr>
          <w:rStyle w:val="CharPartNo"/>
        </w:rPr>
        <w:t>Part 6</w:t>
      </w:r>
      <w:r>
        <w:t> — </w:t>
      </w:r>
      <w:r>
        <w:rPr>
          <w:rStyle w:val="CharPartText"/>
        </w:rPr>
        <w:t>Possession of explosives</w:t>
      </w:r>
      <w:bookmarkEnd w:id="204"/>
      <w:bookmarkEnd w:id="205"/>
      <w:bookmarkEnd w:id="206"/>
      <w:bookmarkEnd w:id="207"/>
      <w:bookmarkEnd w:id="208"/>
      <w:bookmarkEnd w:id="209"/>
    </w:p>
    <w:p>
      <w:pPr>
        <w:pStyle w:val="Heading3"/>
      </w:pPr>
      <w:bookmarkStart w:id="210" w:name="_Toc191960527"/>
      <w:bookmarkStart w:id="211" w:name="_Toc191982108"/>
      <w:bookmarkStart w:id="212" w:name="_Toc233693022"/>
      <w:bookmarkStart w:id="213" w:name="_Toc238546373"/>
      <w:bookmarkStart w:id="214" w:name="_Toc238546678"/>
      <w:bookmarkStart w:id="215" w:name="_Toc238547807"/>
      <w:r>
        <w:rPr>
          <w:rStyle w:val="CharDivNo"/>
        </w:rPr>
        <w:t>Division 1</w:t>
      </w:r>
      <w:r>
        <w:t> — </w:t>
      </w:r>
      <w:r>
        <w:rPr>
          <w:rStyle w:val="CharDivText"/>
        </w:rPr>
        <w:t>Licensing requirements</w:t>
      </w:r>
      <w:bookmarkEnd w:id="210"/>
      <w:bookmarkEnd w:id="211"/>
      <w:bookmarkEnd w:id="212"/>
      <w:bookmarkEnd w:id="213"/>
      <w:bookmarkEnd w:id="214"/>
      <w:bookmarkEnd w:id="215"/>
    </w:p>
    <w:p>
      <w:pPr>
        <w:pStyle w:val="Heading5"/>
      </w:pPr>
      <w:bookmarkStart w:id="216" w:name="_Toc238547808"/>
      <w:bookmarkStart w:id="217" w:name="_Toc233693023"/>
      <w:r>
        <w:rPr>
          <w:rStyle w:val="CharSectno"/>
        </w:rPr>
        <w:t>45</w:t>
      </w:r>
      <w:r>
        <w:t>.</w:t>
      </w:r>
      <w:r>
        <w:tab/>
        <w:t>Unauthorised explosives</w:t>
      </w:r>
      <w:bookmarkEnd w:id="216"/>
      <w:bookmarkEnd w:id="217"/>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acting in the course of his or her duties as a secure employee of the holder of such a permit; or</w:t>
      </w:r>
    </w:p>
    <w:p>
      <w:pPr>
        <w:pStyle w:val="Indenta"/>
      </w:pPr>
      <w:r>
        <w:tab/>
        <w:t>(c)</w:t>
      </w:r>
      <w:r>
        <w:tab/>
        <w:t>be being supervised by the holder of such a permit, or a secure employee of such a holder acting in the course of the employee’s duties.</w:t>
      </w:r>
    </w:p>
    <w:p>
      <w:pPr>
        <w:pStyle w:val="NotesPerm"/>
      </w:pPr>
      <w:r>
        <w:tab/>
        <w:t>Note: the Act s. 12 (Unlicensed possession of dangerous goods).</w:t>
      </w:r>
    </w:p>
    <w:p>
      <w:pPr>
        <w:pStyle w:val="Heading5"/>
      </w:pPr>
      <w:bookmarkStart w:id="218" w:name="_Toc238547809"/>
      <w:bookmarkStart w:id="219" w:name="_Toc233693024"/>
      <w:r>
        <w:rPr>
          <w:rStyle w:val="CharSectno"/>
        </w:rPr>
        <w:t>46</w:t>
      </w:r>
      <w:r>
        <w:t>.</w:t>
      </w:r>
      <w:r>
        <w:tab/>
        <w:t>Possession for which no licence is required (Sch. 4)</w:t>
      </w:r>
      <w:bookmarkEnd w:id="218"/>
      <w:bookmarkEnd w:id="219"/>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possesses it in the course of his or her duties as a secure employee of the holder of a licence that authorises the holder to possess the explosive in the circumstances; or</w:t>
      </w:r>
    </w:p>
    <w:p>
      <w:pPr>
        <w:pStyle w:val="Indenta"/>
      </w:pPr>
      <w:r>
        <w:tab/>
        <w:t>(c)</w:t>
      </w:r>
      <w:r>
        <w:tab/>
        <w:t>the person possesses the explosive while being supervised by the holder of a licence that authorises the holder to possess the explosive in the circumstances, or by a secure employee of such a holder acting in the course of the employee’s duties.</w:t>
      </w:r>
    </w:p>
    <w:p>
      <w:pPr>
        <w:pStyle w:val="Heading5"/>
      </w:pPr>
      <w:bookmarkStart w:id="220" w:name="_Toc238547810"/>
      <w:bookmarkStart w:id="221" w:name="_Toc233693025"/>
      <w:r>
        <w:rPr>
          <w:rStyle w:val="CharSectno"/>
        </w:rPr>
        <w:t>47</w:t>
      </w:r>
      <w:r>
        <w:t>.</w:t>
      </w:r>
      <w:r>
        <w:tab/>
        <w:t>Authorised explosives, licences and permits entitling possession of</w:t>
      </w:r>
      <w:bookmarkEnd w:id="220"/>
      <w:bookmarkEnd w:id="221"/>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NotesPerm"/>
      </w:pPr>
      <w:r>
        <w:tab/>
        <w:t>Note: the Act s. 12 (Unlicensed possession of dangerous goods).</w:t>
      </w:r>
    </w:p>
    <w:p>
      <w:pPr>
        <w:pStyle w:val="Heading3"/>
      </w:pPr>
      <w:bookmarkStart w:id="222" w:name="_Toc191960531"/>
      <w:bookmarkStart w:id="223" w:name="_Toc191982112"/>
      <w:bookmarkStart w:id="224" w:name="_Toc233693026"/>
      <w:bookmarkStart w:id="225" w:name="_Toc238546377"/>
      <w:bookmarkStart w:id="226" w:name="_Toc238546682"/>
      <w:bookmarkStart w:id="227" w:name="_Toc238547811"/>
      <w:r>
        <w:rPr>
          <w:rStyle w:val="CharDivNo"/>
        </w:rPr>
        <w:t>Division 2</w:t>
      </w:r>
      <w:r>
        <w:t> — </w:t>
      </w:r>
      <w:r>
        <w:rPr>
          <w:rStyle w:val="CharDivText"/>
        </w:rPr>
        <w:t>Other requirements</w:t>
      </w:r>
      <w:bookmarkEnd w:id="222"/>
      <w:bookmarkEnd w:id="223"/>
      <w:bookmarkEnd w:id="224"/>
      <w:bookmarkEnd w:id="225"/>
      <w:bookmarkEnd w:id="226"/>
      <w:bookmarkEnd w:id="227"/>
    </w:p>
    <w:p>
      <w:pPr>
        <w:pStyle w:val="Heading5"/>
      </w:pPr>
      <w:bookmarkStart w:id="228" w:name="_Toc238547812"/>
      <w:bookmarkStart w:id="229" w:name="_Toc233693027"/>
      <w:r>
        <w:rPr>
          <w:rStyle w:val="CharSectno"/>
        </w:rPr>
        <w:t>48</w:t>
      </w:r>
      <w:r>
        <w:t>.</w:t>
      </w:r>
      <w:r>
        <w:tab/>
        <w:t>Prohibited explosives, possession of illegal</w:t>
      </w:r>
      <w:bookmarkEnd w:id="228"/>
      <w:bookmarkEnd w:id="229"/>
    </w:p>
    <w:p>
      <w:pPr>
        <w:pStyle w:val="Subsection"/>
      </w:pPr>
      <w:r>
        <w:tab/>
      </w:r>
      <w:r>
        <w:tab/>
        <w:t>A person must not be in possession of a prohibited explosive.</w:t>
      </w:r>
    </w:p>
    <w:p>
      <w:pPr>
        <w:pStyle w:val="Penstart"/>
      </w:pPr>
      <w:r>
        <w:tab/>
        <w:t>Penalty: a level 2 fine.</w:t>
      </w:r>
    </w:p>
    <w:p>
      <w:pPr>
        <w:pStyle w:val="Heading5"/>
      </w:pPr>
      <w:bookmarkStart w:id="230" w:name="_Toc238547813"/>
      <w:bookmarkStart w:id="231" w:name="_Toc233693028"/>
      <w:r>
        <w:rPr>
          <w:rStyle w:val="CharSectno"/>
        </w:rPr>
        <w:t>49</w:t>
      </w:r>
      <w:r>
        <w:t>.</w:t>
      </w:r>
      <w:r>
        <w:tab/>
        <w:t>Children in possession of explosives</w:t>
      </w:r>
      <w:bookmarkEnd w:id="230"/>
      <w:bookmarkEnd w:id="231"/>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232" w:name="_Toc238547814"/>
      <w:bookmarkStart w:id="233" w:name="_Toc233693029"/>
      <w:r>
        <w:rPr>
          <w:rStyle w:val="CharSectno"/>
        </w:rPr>
        <w:t>50</w:t>
      </w:r>
      <w:r>
        <w:t>.</w:t>
      </w:r>
      <w:r>
        <w:tab/>
        <w:t>Public places, possession in</w:t>
      </w:r>
      <w:bookmarkEnd w:id="232"/>
      <w:bookmarkEnd w:id="233"/>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234" w:name="_Toc238547815"/>
      <w:bookmarkStart w:id="235" w:name="_Toc233693030"/>
      <w:r>
        <w:rPr>
          <w:rStyle w:val="CharSectno"/>
        </w:rPr>
        <w:t>51</w:t>
      </w:r>
      <w:r>
        <w:t>.</w:t>
      </w:r>
      <w:r>
        <w:tab/>
        <w:t>Licences etc. to be carried</w:t>
      </w:r>
      <w:bookmarkEnd w:id="234"/>
      <w:bookmarkEnd w:id="235"/>
    </w:p>
    <w:p>
      <w:pPr>
        <w:pStyle w:val="Subsection"/>
      </w:pPr>
      <w:r>
        <w:tab/>
        <w:t>(1)</w:t>
      </w:r>
      <w:r>
        <w:tab/>
        <w:t>A person who holds a licence that authorises the person to possess an explosive and who is in possession of the explosive must carry —</w:t>
      </w:r>
    </w:p>
    <w:p>
      <w:pPr>
        <w:pStyle w:val="Indenta"/>
      </w:pPr>
      <w:r>
        <w:tab/>
        <w:t>(a)</w:t>
      </w:r>
      <w:r>
        <w:tab/>
        <w:t>the licence; or</w:t>
      </w:r>
    </w:p>
    <w:p>
      <w:pPr>
        <w:pStyle w:val="Indenta"/>
      </w:pPr>
      <w:r>
        <w:tab/>
        <w:t>(b)</w:t>
      </w:r>
      <w:r>
        <w:tab/>
        <w:t>if a card has been issued to the holder under regulation 168(2) in relation to the licence, the card,</w:t>
      </w:r>
    </w:p>
    <w:p>
      <w:pPr>
        <w:pStyle w:val="Subsection"/>
      </w:pPr>
      <w:r>
        <w:tab/>
      </w:r>
      <w:r>
        <w:tab/>
        <w:t>or have it in the vehicle in which he or she is travelling or at the place where he or she is in possession of the explosive.</w:t>
      </w:r>
    </w:p>
    <w:p>
      <w:pPr>
        <w:pStyle w:val="Penstart"/>
      </w:pPr>
      <w:r>
        <w:tab/>
        <w:t>Penalty: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a level 3 fine.</w:t>
      </w:r>
    </w:p>
    <w:p>
      <w:pPr>
        <w:pStyle w:val="Heading5"/>
      </w:pPr>
      <w:bookmarkStart w:id="236" w:name="_Toc238547816"/>
      <w:bookmarkStart w:id="237" w:name="_Toc233693031"/>
      <w:r>
        <w:rPr>
          <w:rStyle w:val="CharSectno"/>
        </w:rPr>
        <w:t>52</w:t>
      </w:r>
      <w:r>
        <w:t>.</w:t>
      </w:r>
      <w:r>
        <w:tab/>
        <w:t>Duties to keep explosives secure</w:t>
      </w:r>
      <w:bookmarkEnd w:id="236"/>
      <w:bookmarkEnd w:id="237"/>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238" w:name="_Toc191960537"/>
      <w:bookmarkStart w:id="239" w:name="_Toc191982118"/>
      <w:bookmarkStart w:id="240" w:name="_Toc233693032"/>
      <w:bookmarkStart w:id="241" w:name="_Toc238546383"/>
      <w:bookmarkStart w:id="242" w:name="_Toc238546688"/>
      <w:bookmarkStart w:id="243" w:name="_Toc238547817"/>
      <w:r>
        <w:rPr>
          <w:rStyle w:val="CharPartNo"/>
        </w:rPr>
        <w:t>Part 7</w:t>
      </w:r>
      <w:r>
        <w:t> — </w:t>
      </w:r>
      <w:r>
        <w:rPr>
          <w:rStyle w:val="CharPartText"/>
        </w:rPr>
        <w:t>Import and export of explosives</w:t>
      </w:r>
      <w:bookmarkEnd w:id="238"/>
      <w:bookmarkEnd w:id="239"/>
      <w:bookmarkEnd w:id="240"/>
      <w:bookmarkEnd w:id="241"/>
      <w:bookmarkEnd w:id="242"/>
      <w:bookmarkEnd w:id="243"/>
    </w:p>
    <w:p>
      <w:pPr>
        <w:pStyle w:val="Heading3"/>
      </w:pPr>
      <w:bookmarkStart w:id="244" w:name="_Toc191960538"/>
      <w:bookmarkStart w:id="245" w:name="_Toc191982119"/>
      <w:bookmarkStart w:id="246" w:name="_Toc233693033"/>
      <w:bookmarkStart w:id="247" w:name="_Toc238546384"/>
      <w:bookmarkStart w:id="248" w:name="_Toc238546689"/>
      <w:bookmarkStart w:id="249" w:name="_Toc238547818"/>
      <w:r>
        <w:rPr>
          <w:rStyle w:val="CharDivNo"/>
        </w:rPr>
        <w:t>Division 1</w:t>
      </w:r>
      <w:r>
        <w:t> — </w:t>
      </w:r>
      <w:r>
        <w:rPr>
          <w:rStyle w:val="CharDivText"/>
        </w:rPr>
        <w:t>All imports and exports</w:t>
      </w:r>
      <w:bookmarkEnd w:id="244"/>
      <w:bookmarkEnd w:id="245"/>
      <w:bookmarkEnd w:id="246"/>
      <w:bookmarkEnd w:id="247"/>
      <w:bookmarkEnd w:id="248"/>
      <w:bookmarkEnd w:id="249"/>
    </w:p>
    <w:p>
      <w:pPr>
        <w:pStyle w:val="Heading5"/>
      </w:pPr>
      <w:bookmarkStart w:id="250" w:name="_Toc238547819"/>
      <w:bookmarkStart w:id="251" w:name="_Toc233693034"/>
      <w:r>
        <w:rPr>
          <w:rStyle w:val="CharSectno"/>
        </w:rPr>
        <w:t>53</w:t>
      </w:r>
      <w:r>
        <w:t>.</w:t>
      </w:r>
      <w:r>
        <w:tab/>
        <w:t>Unauthorised explosives</w:t>
      </w:r>
      <w:bookmarkEnd w:id="250"/>
      <w:bookmarkEnd w:id="251"/>
    </w:p>
    <w:p>
      <w:pPr>
        <w:pStyle w:val="Subsection"/>
      </w:pPr>
      <w:r>
        <w:tab/>
      </w:r>
      <w:r>
        <w:tab/>
        <w:t>A person who imports to the State an unauthorised explosive must hold a test permit that authorises the person to import it.</w:t>
      </w:r>
    </w:p>
    <w:p>
      <w:pPr>
        <w:pStyle w:val="Heading3"/>
        <w:rPr>
          <w:rStyle w:val="CharDivText"/>
        </w:rPr>
      </w:pPr>
      <w:bookmarkStart w:id="252" w:name="_Toc191960540"/>
      <w:bookmarkStart w:id="253" w:name="_Toc191982121"/>
      <w:bookmarkStart w:id="254" w:name="_Toc233693035"/>
      <w:bookmarkStart w:id="255" w:name="_Toc238546386"/>
      <w:bookmarkStart w:id="256" w:name="_Toc238546691"/>
      <w:bookmarkStart w:id="257" w:name="_Toc238547820"/>
      <w:r>
        <w:rPr>
          <w:rStyle w:val="CharDivNo"/>
        </w:rPr>
        <w:t>Division 2</w:t>
      </w:r>
      <w:r>
        <w:t> — </w:t>
      </w:r>
      <w:r>
        <w:rPr>
          <w:rStyle w:val="CharDivText"/>
        </w:rPr>
        <w:t>Interstate imports</w:t>
      </w:r>
      <w:bookmarkEnd w:id="252"/>
      <w:bookmarkEnd w:id="253"/>
      <w:bookmarkEnd w:id="254"/>
      <w:bookmarkEnd w:id="255"/>
      <w:bookmarkEnd w:id="256"/>
      <w:bookmarkEnd w:id="257"/>
    </w:p>
    <w:p>
      <w:pPr>
        <w:pStyle w:val="Heading5"/>
      </w:pPr>
      <w:bookmarkStart w:id="258" w:name="_Toc238547821"/>
      <w:bookmarkStart w:id="259" w:name="_Toc233693036"/>
      <w:r>
        <w:rPr>
          <w:rStyle w:val="CharSectno"/>
        </w:rPr>
        <w:t>54</w:t>
      </w:r>
      <w:r>
        <w:t>.</w:t>
      </w:r>
      <w:r>
        <w:tab/>
        <w:t>Terms used in this Division</w:t>
      </w:r>
      <w:bookmarkEnd w:id="258"/>
      <w:bookmarkEnd w:id="259"/>
    </w:p>
    <w:p>
      <w:pPr>
        <w:pStyle w:val="Subsection"/>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pPr>
      <w:bookmarkStart w:id="260" w:name="_Toc238547822"/>
      <w:bookmarkStart w:id="261" w:name="_Toc233693037"/>
      <w:r>
        <w:rPr>
          <w:rStyle w:val="CharSectno"/>
        </w:rPr>
        <w:t>55</w:t>
      </w:r>
      <w:r>
        <w:t>.</w:t>
      </w:r>
      <w:r>
        <w:tab/>
        <w:t>Interstate import of fireworks</w:t>
      </w:r>
      <w:bookmarkEnd w:id="260"/>
      <w:bookmarkEnd w:id="261"/>
    </w:p>
    <w:p>
      <w:pPr>
        <w:pStyle w:val="Subsection"/>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262" w:name="_Toc191960543"/>
      <w:bookmarkStart w:id="263" w:name="_Toc191982124"/>
      <w:bookmarkStart w:id="264" w:name="_Toc233693038"/>
      <w:bookmarkStart w:id="265" w:name="_Toc238546389"/>
      <w:bookmarkStart w:id="266" w:name="_Toc238546694"/>
      <w:bookmarkStart w:id="267" w:name="_Toc238547823"/>
      <w:r>
        <w:rPr>
          <w:rStyle w:val="CharDivNo"/>
        </w:rPr>
        <w:t>Division 3</w:t>
      </w:r>
      <w:r>
        <w:t> — </w:t>
      </w:r>
      <w:r>
        <w:rPr>
          <w:rStyle w:val="CharDivText"/>
        </w:rPr>
        <w:t>International imports and exports</w:t>
      </w:r>
      <w:bookmarkEnd w:id="262"/>
      <w:bookmarkEnd w:id="263"/>
      <w:bookmarkEnd w:id="264"/>
      <w:bookmarkEnd w:id="265"/>
      <w:bookmarkEnd w:id="266"/>
      <w:bookmarkEnd w:id="267"/>
    </w:p>
    <w:p>
      <w:pPr>
        <w:pStyle w:val="Heading5"/>
      </w:pPr>
      <w:bookmarkStart w:id="268" w:name="_Toc238547824"/>
      <w:bookmarkStart w:id="269" w:name="_Toc233693039"/>
      <w:r>
        <w:rPr>
          <w:rStyle w:val="CharSectno"/>
        </w:rPr>
        <w:t>56</w:t>
      </w:r>
      <w:r>
        <w:t>.</w:t>
      </w:r>
      <w:r>
        <w:tab/>
        <w:t>Terms used in this Division</w:t>
      </w:r>
      <w:bookmarkEnd w:id="268"/>
      <w:bookmarkEnd w:id="269"/>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Australia;</w:t>
      </w:r>
    </w:p>
    <w:p>
      <w:pPr>
        <w:pStyle w:val="Defstart"/>
      </w:pPr>
      <w:r>
        <w:rPr>
          <w:b/>
        </w:rPr>
        <w:tab/>
      </w:r>
      <w:r>
        <w:rPr>
          <w:rStyle w:val="CharDefText"/>
        </w:rPr>
        <w:t>import</w:t>
      </w:r>
      <w:r>
        <w:t xml:space="preserve"> means to import to the State from a country outside Australia;</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270" w:name="_Toc238547825"/>
      <w:bookmarkStart w:id="271" w:name="_Toc233693040"/>
      <w:r>
        <w:rPr>
          <w:rStyle w:val="CharSectno"/>
        </w:rPr>
        <w:t>57</w:t>
      </w:r>
      <w:r>
        <w:t>.</w:t>
      </w:r>
      <w:r>
        <w:tab/>
        <w:t>Authorised explosives, licence entitling import or export</w:t>
      </w:r>
      <w:bookmarkEnd w:id="270"/>
      <w:bookmarkEnd w:id="271"/>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Heading5"/>
      </w:pPr>
      <w:bookmarkStart w:id="272" w:name="_Toc238547826"/>
      <w:bookmarkStart w:id="273" w:name="_Toc233693041"/>
      <w:r>
        <w:rPr>
          <w:rStyle w:val="CharSectno"/>
        </w:rPr>
        <w:t>58</w:t>
      </w:r>
      <w:r>
        <w:t>.</w:t>
      </w:r>
      <w:r>
        <w:tab/>
        <w:t>International import and export, procedure for</w:t>
      </w:r>
      <w:bookmarkEnd w:id="272"/>
      <w:bookmarkEnd w:id="273"/>
    </w:p>
    <w:p>
      <w:pPr>
        <w:pStyle w:val="Subsection"/>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pPr>
      <w:r>
        <w:tab/>
        <w:t>(a)</w:t>
      </w:r>
      <w:r>
        <w:tab/>
        <w:t>if the explosive is being imported — an explosives import notice under regulation 59 in respect of the explosive at least 7 days before the date when the explosive is expected to arrive in the State;</w:t>
      </w:r>
    </w:p>
    <w:p>
      <w:pPr>
        <w:pStyle w:val="Indenta"/>
      </w:pPr>
      <w:r>
        <w:tab/>
        <w:t>(b)</w:t>
      </w:r>
      <w:r>
        <w:tab/>
        <w:t>if the explosive is being exported — an explosives export notice under regulation 59 in respect of the explosive at least 7 days before the date when the explosive is expected to leave the State;</w:t>
      </w:r>
    </w:p>
    <w:p>
      <w:pPr>
        <w:pStyle w:val="Indenta"/>
      </w:pPr>
      <w:r>
        <w:tab/>
        <w:t>(c)</w:t>
      </w:r>
      <w:r>
        <w:tab/>
        <w:t>an MSDS for the explosive.</w:t>
      </w:r>
    </w:p>
    <w:p>
      <w:pPr>
        <w:pStyle w:val="Penstart"/>
      </w:pPr>
      <w:r>
        <w:tab/>
        <w:t>Penalty: a level 2 fine.</w:t>
      </w:r>
    </w:p>
    <w:p>
      <w:pPr>
        <w:pStyle w:val="Heading5"/>
      </w:pPr>
      <w:bookmarkStart w:id="274" w:name="_Toc238547827"/>
      <w:bookmarkStart w:id="275" w:name="_Toc233693042"/>
      <w:r>
        <w:rPr>
          <w:rStyle w:val="CharSectno"/>
        </w:rPr>
        <w:t>59</w:t>
      </w:r>
      <w:r>
        <w:t>.</w:t>
      </w:r>
      <w:r>
        <w:tab/>
        <w:t>Import or export, notice to Chief Officer</w:t>
      </w:r>
      <w:bookmarkEnd w:id="274"/>
      <w:bookmarkEnd w:id="275"/>
    </w:p>
    <w:p>
      <w:pPr>
        <w:pStyle w:val="Subsection"/>
      </w:pPr>
      <w:r>
        <w:tab/>
        <w:t>(1)</w:t>
      </w:r>
      <w:r>
        <w:tab/>
        <w:t>An explosives import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the required details of the explosive being imported;</w:t>
      </w:r>
    </w:p>
    <w:p>
      <w:pPr>
        <w:pStyle w:val="Indenta"/>
      </w:pPr>
      <w:r>
        <w:tab/>
        <w:t>(d)</w:t>
      </w:r>
      <w:r>
        <w:tab/>
        <w:t xml:space="preserve">a certificate that the explosive — </w:t>
      </w:r>
    </w:p>
    <w:p>
      <w:pPr>
        <w:pStyle w:val="Indenti"/>
      </w:pPr>
      <w:r>
        <w:tab/>
        <w:t>(i)</w:t>
      </w:r>
      <w:r>
        <w:tab/>
        <w:t>is an authorised explosive; and</w:t>
      </w:r>
    </w:p>
    <w:p>
      <w:pPr>
        <w:pStyle w:val="Indenti"/>
      </w:pPr>
      <w:r>
        <w:tab/>
        <w:t>(ii)</w:t>
      </w:r>
      <w:r>
        <w:tab/>
        <w:t>is packaged in accordance with the relevant international requirements; and</w:t>
      </w:r>
    </w:p>
    <w:p>
      <w:pPr>
        <w:pStyle w:val="Indenti"/>
      </w:pPr>
      <w:r>
        <w:tab/>
        <w:t>(iii)</w:t>
      </w:r>
      <w:r>
        <w:tab/>
        <w:t>is in a safe condition to be transported;</w:t>
      </w:r>
    </w:p>
    <w:p>
      <w:pPr>
        <w:pStyle w:val="Indenta"/>
      </w:pPr>
      <w:r>
        <w:tab/>
        <w:t>(e)</w:t>
      </w:r>
      <w:r>
        <w:tab/>
        <w:t>the country from which the explosive is being imported;</w:t>
      </w:r>
    </w:p>
    <w:p>
      <w:pPr>
        <w:pStyle w:val="Indenta"/>
      </w:pPr>
      <w:r>
        <w:tab/>
        <w:t>(f)</w:t>
      </w:r>
      <w:r>
        <w:tab/>
        <w:t>details that identify the vehicle that will transport the explosive into the State;</w:t>
      </w:r>
    </w:p>
    <w:p>
      <w:pPr>
        <w:pStyle w:val="Indenta"/>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276" w:name="_Toc238547828"/>
      <w:bookmarkStart w:id="277" w:name="_Toc233693043"/>
      <w:r>
        <w:rPr>
          <w:rStyle w:val="CharSectno"/>
        </w:rPr>
        <w:t>60</w:t>
      </w:r>
      <w:r>
        <w:t>.</w:t>
      </w:r>
      <w:r>
        <w:tab/>
        <w:t>Chief Officer may direct explosive to be analysed</w:t>
      </w:r>
      <w:bookmarkEnd w:id="276"/>
      <w:bookmarkEnd w:id="277"/>
    </w:p>
    <w:p>
      <w:pPr>
        <w:pStyle w:val="Subsection"/>
      </w:pPr>
      <w:r>
        <w:tab/>
        <w:t>(1)</w:t>
      </w:r>
      <w:r>
        <w:tab/>
        <w:t xml:space="preserve">The Chief Officer may give a person importing or exporting an explosive a written notice that directs the person to do any or all of the following — </w:t>
      </w:r>
    </w:p>
    <w:p>
      <w:pPr>
        <w:pStyle w:val="Indenta"/>
      </w:pPr>
      <w:r>
        <w:tab/>
        <w:t>(a)</w:t>
      </w:r>
      <w:r>
        <w:tab/>
        <w:t>at the person’s expense, to have the explosive analysed or tested by a person specified, and in accordance with directions specified, in the notice;</w:t>
      </w:r>
    </w:p>
    <w:p>
      <w:pPr>
        <w:pStyle w:val="Indenta"/>
      </w:pPr>
      <w:r>
        <w:tab/>
        <w:t>(b)</w:t>
      </w:r>
      <w:r>
        <w:tab/>
        <w:t>to allow the explosive to be inspected by a DGO at the time and place stated in the notice, or at some other time or place agreed with a DGO.</w:t>
      </w:r>
    </w:p>
    <w:p>
      <w:pPr>
        <w:pStyle w:val="Subsection"/>
      </w:pPr>
      <w:r>
        <w:tab/>
        <w:t>(2)</w:t>
      </w:r>
      <w:r>
        <w:tab/>
        <w:t>A person given such a notice must obey it.</w:t>
      </w:r>
    </w:p>
    <w:p>
      <w:pPr>
        <w:pStyle w:val="Penstart"/>
      </w:pPr>
      <w:r>
        <w:tab/>
        <w:t>Penalty: a level 2 fine.</w:t>
      </w:r>
    </w:p>
    <w:p>
      <w:pPr>
        <w:pStyle w:val="Heading5"/>
      </w:pPr>
      <w:bookmarkStart w:id="278" w:name="_Toc238547829"/>
      <w:bookmarkStart w:id="279" w:name="_Toc233693044"/>
      <w:r>
        <w:rPr>
          <w:rStyle w:val="CharSectno"/>
        </w:rPr>
        <w:t>61</w:t>
      </w:r>
      <w:r>
        <w:t>.</w:t>
      </w:r>
      <w:r>
        <w:tab/>
        <w:t>Records to be kept by licence holders</w:t>
      </w:r>
      <w:bookmarkEnd w:id="278"/>
      <w:bookmarkEnd w:id="279"/>
    </w:p>
    <w:p>
      <w:pPr>
        <w:pStyle w:val="Subsection"/>
      </w:pPr>
      <w:r>
        <w:tab/>
        <w:t>(1)</w:t>
      </w:r>
      <w:r>
        <w:tab/>
        <w:t>The holder of an explosives import/export licence must keep a proper record of explosives imported or exported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imported or exported;</w:t>
      </w:r>
    </w:p>
    <w:p>
      <w:pPr>
        <w:pStyle w:val="Indenta"/>
      </w:pPr>
      <w:r>
        <w:tab/>
        <w:t>(b)</w:t>
      </w:r>
      <w:r>
        <w:tab/>
        <w:t>the date of the import or export;</w:t>
      </w:r>
    </w:p>
    <w:p>
      <w:pPr>
        <w:pStyle w:val="Indenta"/>
      </w:pPr>
      <w:r>
        <w:tab/>
        <w:t>(c)</w:t>
      </w:r>
      <w:r>
        <w:tab/>
        <w:t>the name and address of both the consignee and consignor of the explosive,</w:t>
      </w:r>
    </w:p>
    <w:p>
      <w:pPr>
        <w:pStyle w:val="Subsection"/>
      </w:pPr>
      <w:r>
        <w:tab/>
      </w:r>
      <w:r>
        <w:tab/>
        <w:t>and is kept for 2 years after the date of the import or export (as the case requires).</w:t>
      </w:r>
    </w:p>
    <w:p>
      <w:pPr>
        <w:pStyle w:val="Heading5"/>
      </w:pPr>
      <w:bookmarkStart w:id="280" w:name="_Toc238547830"/>
      <w:bookmarkStart w:id="281" w:name="_Toc233693045"/>
      <w:r>
        <w:rPr>
          <w:rStyle w:val="CharSectno"/>
        </w:rPr>
        <w:t>62</w:t>
      </w:r>
      <w:r>
        <w:t>.</w:t>
      </w:r>
      <w:r>
        <w:tab/>
        <w:t>Port operators may refuse import in certain cases</w:t>
      </w:r>
      <w:bookmarkEnd w:id="280"/>
      <w:bookmarkEnd w:id="281"/>
    </w:p>
    <w:p>
      <w:pPr>
        <w:pStyle w:val="Subsection"/>
      </w:pPr>
      <w:r>
        <w:tab/>
      </w:r>
      <w:r>
        <w:tab/>
        <w:t xml:space="preserve">The harbour master of a port into which an explosive is imported may refuse to permit the explosive to be landed at the port if not satisfied — </w:t>
      </w:r>
    </w:p>
    <w:p>
      <w:pPr>
        <w:pStyle w:val="Indenta"/>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282" w:name="_Toc191960551"/>
      <w:bookmarkStart w:id="283" w:name="_Toc191982132"/>
      <w:bookmarkStart w:id="284" w:name="_Toc233693046"/>
      <w:bookmarkStart w:id="285" w:name="_Toc238546397"/>
      <w:bookmarkStart w:id="286" w:name="_Toc238546702"/>
      <w:bookmarkStart w:id="287" w:name="_Toc238547831"/>
      <w:r>
        <w:rPr>
          <w:rStyle w:val="CharPartNo"/>
        </w:rPr>
        <w:t>Part 8</w:t>
      </w:r>
      <w:r>
        <w:t> — </w:t>
      </w:r>
      <w:r>
        <w:rPr>
          <w:rStyle w:val="CharPartText"/>
        </w:rPr>
        <w:t>Manufacture of explosives</w:t>
      </w:r>
      <w:bookmarkEnd w:id="282"/>
      <w:bookmarkEnd w:id="283"/>
      <w:bookmarkEnd w:id="284"/>
      <w:bookmarkEnd w:id="285"/>
      <w:bookmarkEnd w:id="286"/>
      <w:bookmarkEnd w:id="287"/>
    </w:p>
    <w:p>
      <w:pPr>
        <w:pStyle w:val="Heading3"/>
      </w:pPr>
      <w:bookmarkStart w:id="288" w:name="_Toc191960552"/>
      <w:bookmarkStart w:id="289" w:name="_Toc191982133"/>
      <w:bookmarkStart w:id="290" w:name="_Toc233693047"/>
      <w:bookmarkStart w:id="291" w:name="_Toc238546398"/>
      <w:bookmarkStart w:id="292" w:name="_Toc238546703"/>
      <w:bookmarkStart w:id="293" w:name="_Toc238547832"/>
      <w:r>
        <w:rPr>
          <w:rStyle w:val="CharDivNo"/>
        </w:rPr>
        <w:t>Division 1</w:t>
      </w:r>
      <w:r>
        <w:t> — </w:t>
      </w:r>
      <w:r>
        <w:rPr>
          <w:rStyle w:val="CharDivText"/>
        </w:rPr>
        <w:t>Licensing requirements</w:t>
      </w:r>
      <w:bookmarkEnd w:id="288"/>
      <w:bookmarkEnd w:id="289"/>
      <w:bookmarkEnd w:id="290"/>
      <w:bookmarkEnd w:id="291"/>
      <w:bookmarkEnd w:id="292"/>
      <w:bookmarkEnd w:id="293"/>
    </w:p>
    <w:p>
      <w:pPr>
        <w:pStyle w:val="Heading5"/>
      </w:pPr>
      <w:bookmarkStart w:id="294" w:name="_Toc238547833"/>
      <w:bookmarkStart w:id="295" w:name="_Toc233693048"/>
      <w:r>
        <w:rPr>
          <w:rStyle w:val="CharSectno"/>
        </w:rPr>
        <w:t>63</w:t>
      </w:r>
      <w:r>
        <w:t>.</w:t>
      </w:r>
      <w:r>
        <w:tab/>
        <w:t>Unauthorised explosives</w:t>
      </w:r>
      <w:bookmarkEnd w:id="294"/>
      <w:bookmarkEnd w:id="295"/>
    </w:p>
    <w:p>
      <w:pPr>
        <w:pStyle w:val="Subsection"/>
      </w:pPr>
      <w:r>
        <w:tab/>
      </w:r>
      <w:r>
        <w:tab/>
        <w:t>A person who manufactures an explosive that is neither a prohibited explosive nor an authorised explosive must hold a test permit that authorises the person to manufacture it.</w:t>
      </w:r>
    </w:p>
    <w:p>
      <w:pPr>
        <w:pStyle w:val="NotesPerm"/>
      </w:pPr>
      <w:r>
        <w:tab/>
        <w:t>Note: the Act s. 11 (Unlicensed person involved with dangerous goods).</w:t>
      </w:r>
    </w:p>
    <w:p>
      <w:pPr>
        <w:pStyle w:val="Heading5"/>
      </w:pPr>
      <w:bookmarkStart w:id="296" w:name="_Toc238547834"/>
      <w:bookmarkStart w:id="297" w:name="_Toc233693049"/>
      <w:r>
        <w:rPr>
          <w:rStyle w:val="CharSectno"/>
        </w:rPr>
        <w:t>64</w:t>
      </w:r>
      <w:r>
        <w:t>.</w:t>
      </w:r>
      <w:r>
        <w:tab/>
        <w:t>Authorised explosives, licensing for manufacture (Sch. 5)</w:t>
      </w:r>
      <w:bookmarkEnd w:id="296"/>
      <w:bookmarkEnd w:id="297"/>
    </w:p>
    <w:p>
      <w:pPr>
        <w:pStyle w:val="Subsection"/>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NotesPerm"/>
      </w:pPr>
      <w:r>
        <w:tab/>
        <w:t>Note: the Act s. 11 (Unlicensed person involved with dangerous goods).</w:t>
      </w:r>
    </w:p>
    <w:p>
      <w:pPr>
        <w:pStyle w:val="Heading5"/>
      </w:pPr>
      <w:bookmarkStart w:id="298" w:name="_Toc238547835"/>
      <w:bookmarkStart w:id="299" w:name="_Toc233693050"/>
      <w:r>
        <w:rPr>
          <w:rStyle w:val="CharSectno"/>
        </w:rPr>
        <w:t>65</w:t>
      </w:r>
      <w:r>
        <w:t>.</w:t>
      </w:r>
      <w:r>
        <w:tab/>
        <w:t>Bulk AN-based explosives, licences authorising manufacture of</w:t>
      </w:r>
      <w:bookmarkEnd w:id="298"/>
      <w:bookmarkEnd w:id="299"/>
    </w:p>
    <w:p>
      <w:pPr>
        <w:pStyle w:val="Subsection"/>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employee of the holder of a shotfiring licence and manufactures the ANFO in the course of his or her duties as such; or</w:t>
      </w:r>
    </w:p>
    <w:p>
      <w:pPr>
        <w:pStyle w:val="Indenta"/>
      </w:pPr>
      <w:r>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employee of the holder of an explosives manufacture (MPU) licence and manufactures the explosive in the course of his or her duties as such;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Heading5"/>
      </w:pPr>
      <w:bookmarkStart w:id="300" w:name="_Toc238547836"/>
      <w:bookmarkStart w:id="301" w:name="_Toc233693051"/>
      <w:r>
        <w:rPr>
          <w:rStyle w:val="CharSectno"/>
        </w:rPr>
        <w:t>66</w:t>
      </w:r>
      <w:r>
        <w:t>.</w:t>
      </w:r>
      <w:r>
        <w:tab/>
        <w:t>Fireworks, licence authorising manufacture of</w:t>
      </w:r>
      <w:bookmarkEnd w:id="300"/>
      <w:bookmarkEnd w:id="301"/>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tab/>
        <w:t>(c)</w:t>
      </w:r>
      <w:r>
        <w:tab/>
        <w:t>uses the constituents in accordance with the instructions of their manufacturer.</w:t>
      </w:r>
    </w:p>
    <w:p>
      <w:pPr>
        <w:pStyle w:val="Heading3"/>
      </w:pPr>
      <w:bookmarkStart w:id="302" w:name="_Toc191960557"/>
      <w:bookmarkStart w:id="303" w:name="_Toc191982138"/>
      <w:bookmarkStart w:id="304" w:name="_Toc233693052"/>
      <w:bookmarkStart w:id="305" w:name="_Toc238546403"/>
      <w:bookmarkStart w:id="306" w:name="_Toc238546708"/>
      <w:bookmarkStart w:id="307" w:name="_Toc238547837"/>
      <w:r>
        <w:rPr>
          <w:rStyle w:val="CharDivNo"/>
        </w:rPr>
        <w:t>Division 2</w:t>
      </w:r>
      <w:r>
        <w:t> — </w:t>
      </w:r>
      <w:r>
        <w:rPr>
          <w:rStyle w:val="CharDivText"/>
        </w:rPr>
        <w:t>Other requirements</w:t>
      </w:r>
      <w:bookmarkEnd w:id="302"/>
      <w:bookmarkEnd w:id="303"/>
      <w:bookmarkEnd w:id="304"/>
      <w:bookmarkEnd w:id="305"/>
      <w:bookmarkEnd w:id="306"/>
      <w:bookmarkEnd w:id="307"/>
    </w:p>
    <w:p>
      <w:pPr>
        <w:pStyle w:val="Heading5"/>
      </w:pPr>
      <w:bookmarkStart w:id="308" w:name="_Toc238547838"/>
      <w:bookmarkStart w:id="309" w:name="_Toc233693053"/>
      <w:r>
        <w:rPr>
          <w:rStyle w:val="CharSectno"/>
        </w:rPr>
        <w:t>67</w:t>
      </w:r>
      <w:r>
        <w:t>.</w:t>
      </w:r>
      <w:r>
        <w:tab/>
        <w:t>Containers of components to be marked</w:t>
      </w:r>
      <w:bookmarkEnd w:id="308"/>
      <w:bookmarkEnd w:id="309"/>
    </w:p>
    <w:p>
      <w:pPr>
        <w:pStyle w:val="Subsection"/>
      </w:pPr>
      <w:r>
        <w:tab/>
      </w:r>
      <w:r>
        <w:tab/>
        <w:t>A person who manufactures an explosive must keep each constituent of the explosive in a container that is clearly and conspicuously marked with the name of the constituent.</w:t>
      </w:r>
    </w:p>
    <w:p>
      <w:pPr>
        <w:pStyle w:val="Penstart"/>
      </w:pPr>
      <w:r>
        <w:tab/>
        <w:t>Penalty: a level 2 fine.</w:t>
      </w:r>
    </w:p>
    <w:p>
      <w:pPr>
        <w:pStyle w:val="Heading5"/>
      </w:pPr>
      <w:bookmarkStart w:id="310" w:name="_Toc238547839"/>
      <w:bookmarkStart w:id="311" w:name="_Toc233693054"/>
      <w:r>
        <w:rPr>
          <w:rStyle w:val="CharSectno"/>
        </w:rPr>
        <w:t>68</w:t>
      </w:r>
      <w:r>
        <w:t>.</w:t>
      </w:r>
      <w:r>
        <w:tab/>
        <w:t>Records to be kept by some manufacturers</w:t>
      </w:r>
      <w:bookmarkEnd w:id="310"/>
      <w:bookmarkEnd w:id="311"/>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312" w:name="_Toc238547840"/>
      <w:bookmarkStart w:id="313" w:name="_Toc233693055"/>
      <w:r>
        <w:rPr>
          <w:rStyle w:val="CharSectno"/>
        </w:rPr>
        <w:t>69</w:t>
      </w:r>
      <w:r>
        <w:t>.</w:t>
      </w:r>
      <w:r>
        <w:tab/>
        <w:t>Documents to be kept at place of manufacture</w:t>
      </w:r>
      <w:bookmarkEnd w:id="312"/>
      <w:bookmarkEnd w:id="313"/>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MSDS for the explosive is kept at the place in a position that makes it easily accessible to — </w:t>
      </w:r>
    </w:p>
    <w:p>
      <w:pPr>
        <w:pStyle w:val="Indenta"/>
      </w:pPr>
      <w:r>
        <w:tab/>
        <w:t>(a)</w:t>
      </w:r>
      <w:r>
        <w:tab/>
        <w:t>any person handling the explosive; and</w:t>
      </w:r>
    </w:p>
    <w:p>
      <w:pPr>
        <w:pStyle w:val="Indenta"/>
      </w:pPr>
      <w:r>
        <w:tab/>
        <w:t>(b)</w:t>
      </w:r>
      <w:r>
        <w:tab/>
        <w:t>any person treating an injury suffered when handling the explosive.</w:t>
      </w:r>
    </w:p>
    <w:p>
      <w:pPr>
        <w:pStyle w:val="Penstart"/>
      </w:pPr>
      <w:r>
        <w:tab/>
        <w:t>Penalty: a level 3 fine.</w:t>
      </w:r>
    </w:p>
    <w:p>
      <w:pPr>
        <w:pStyle w:val="Heading5"/>
      </w:pPr>
      <w:bookmarkStart w:id="314" w:name="_Toc238547841"/>
      <w:bookmarkStart w:id="315" w:name="_Toc233693056"/>
      <w:r>
        <w:rPr>
          <w:rStyle w:val="CharSectno"/>
        </w:rPr>
        <w:t>70</w:t>
      </w:r>
      <w:r>
        <w:t>.</w:t>
      </w:r>
      <w:r>
        <w:tab/>
        <w:t>Bulk AN-based explosives, manufacture of</w:t>
      </w:r>
      <w:bookmarkEnd w:id="314"/>
      <w:bookmarkEnd w:id="315"/>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316" w:name="_Toc238547842"/>
      <w:bookmarkStart w:id="317" w:name="_Toc233693057"/>
      <w:r>
        <w:rPr>
          <w:rStyle w:val="CharSectno"/>
        </w:rPr>
        <w:t>71</w:t>
      </w:r>
      <w:r>
        <w:t>.</w:t>
      </w:r>
      <w:r>
        <w:tab/>
        <w:t>MPUs in operation not to be left unattended</w:t>
      </w:r>
      <w:bookmarkEnd w:id="316"/>
      <w:bookmarkEnd w:id="317"/>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pPr>
      <w:bookmarkStart w:id="318" w:name="_Toc238547843"/>
      <w:bookmarkStart w:id="319" w:name="_Toc233693058"/>
      <w:r>
        <w:rPr>
          <w:rStyle w:val="CharSectno"/>
        </w:rPr>
        <w:t>72</w:t>
      </w:r>
      <w:r>
        <w:t>.</w:t>
      </w:r>
      <w:r>
        <w:tab/>
        <w:t>Fireworks manufactured by licensee, supply and use of</w:t>
      </w:r>
      <w:bookmarkEnd w:id="318"/>
      <w:bookmarkEnd w:id="319"/>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pPr>
      <w:bookmarkStart w:id="320" w:name="_Toc238547844"/>
      <w:bookmarkStart w:id="321" w:name="_Toc233693059"/>
      <w:r>
        <w:rPr>
          <w:rStyle w:val="CharSectno"/>
        </w:rPr>
        <w:t>73</w:t>
      </w:r>
      <w:r>
        <w:t>.</w:t>
      </w:r>
      <w:r>
        <w:tab/>
        <w:t>Filling ammunition</w:t>
      </w:r>
      <w:bookmarkEnd w:id="320"/>
      <w:bookmarkEnd w:id="321"/>
    </w:p>
    <w:p>
      <w:pPr>
        <w:pStyle w:val="Subsection"/>
        <w:keepNext/>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322" w:name="_Toc191960565"/>
      <w:bookmarkStart w:id="323" w:name="_Toc191982146"/>
      <w:bookmarkStart w:id="324" w:name="_Toc233693060"/>
      <w:bookmarkStart w:id="325" w:name="_Toc238546411"/>
      <w:bookmarkStart w:id="326" w:name="_Toc238546716"/>
      <w:bookmarkStart w:id="327" w:name="_Toc238547845"/>
      <w:r>
        <w:rPr>
          <w:rStyle w:val="CharPartNo"/>
        </w:rPr>
        <w:t>Part 9</w:t>
      </w:r>
      <w:r>
        <w:t> — </w:t>
      </w:r>
      <w:r>
        <w:rPr>
          <w:rStyle w:val="CharPartText"/>
        </w:rPr>
        <w:t>Storage of explosives</w:t>
      </w:r>
      <w:bookmarkEnd w:id="322"/>
      <w:bookmarkEnd w:id="323"/>
      <w:bookmarkEnd w:id="324"/>
      <w:bookmarkEnd w:id="325"/>
      <w:bookmarkEnd w:id="326"/>
      <w:bookmarkEnd w:id="327"/>
    </w:p>
    <w:p>
      <w:pPr>
        <w:pStyle w:val="Heading3"/>
      </w:pPr>
      <w:bookmarkStart w:id="328" w:name="_Toc191960566"/>
      <w:bookmarkStart w:id="329" w:name="_Toc191982147"/>
      <w:bookmarkStart w:id="330" w:name="_Toc233693061"/>
      <w:bookmarkStart w:id="331" w:name="_Toc238546412"/>
      <w:bookmarkStart w:id="332" w:name="_Toc238546717"/>
      <w:bookmarkStart w:id="333" w:name="_Toc238547846"/>
      <w:r>
        <w:rPr>
          <w:rStyle w:val="CharDivNo"/>
        </w:rPr>
        <w:t>Division 1</w:t>
      </w:r>
      <w:r>
        <w:t> — </w:t>
      </w:r>
      <w:r>
        <w:rPr>
          <w:rStyle w:val="CharDivText"/>
        </w:rPr>
        <w:t>Preliminary matters</w:t>
      </w:r>
      <w:bookmarkEnd w:id="328"/>
      <w:bookmarkEnd w:id="329"/>
      <w:bookmarkEnd w:id="330"/>
      <w:bookmarkEnd w:id="331"/>
      <w:bookmarkEnd w:id="332"/>
      <w:bookmarkEnd w:id="333"/>
    </w:p>
    <w:p>
      <w:pPr>
        <w:pStyle w:val="Heading5"/>
      </w:pPr>
      <w:bookmarkStart w:id="334" w:name="_Toc238547847"/>
      <w:bookmarkStart w:id="335" w:name="_Toc233693062"/>
      <w:r>
        <w:rPr>
          <w:rStyle w:val="CharSectno"/>
        </w:rPr>
        <w:t>74</w:t>
      </w:r>
      <w:r>
        <w:t>.</w:t>
      </w:r>
      <w:r>
        <w:tab/>
        <w:t>Terms used in this Part</w:t>
      </w:r>
      <w:bookmarkEnd w:id="334"/>
      <w:bookmarkEnd w:id="335"/>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336" w:name="_Toc191960568"/>
      <w:bookmarkStart w:id="337" w:name="_Toc191982149"/>
      <w:bookmarkStart w:id="338" w:name="_Toc233693063"/>
      <w:bookmarkStart w:id="339" w:name="_Toc238546414"/>
      <w:bookmarkStart w:id="340" w:name="_Toc238546719"/>
      <w:bookmarkStart w:id="341" w:name="_Toc238547848"/>
      <w:r>
        <w:rPr>
          <w:rStyle w:val="CharDivNo"/>
        </w:rPr>
        <w:t>Division 2</w:t>
      </w:r>
      <w:r>
        <w:t> — </w:t>
      </w:r>
      <w:r>
        <w:rPr>
          <w:rStyle w:val="CharDivText"/>
        </w:rPr>
        <w:t>Licensing requirements</w:t>
      </w:r>
      <w:bookmarkEnd w:id="336"/>
      <w:bookmarkEnd w:id="337"/>
      <w:bookmarkEnd w:id="338"/>
      <w:bookmarkEnd w:id="339"/>
      <w:bookmarkEnd w:id="340"/>
      <w:bookmarkEnd w:id="341"/>
    </w:p>
    <w:p>
      <w:pPr>
        <w:pStyle w:val="Heading5"/>
      </w:pPr>
      <w:bookmarkStart w:id="342" w:name="_Toc238547849"/>
      <w:bookmarkStart w:id="343" w:name="_Toc233693064"/>
      <w:r>
        <w:rPr>
          <w:rStyle w:val="CharSectno"/>
        </w:rPr>
        <w:t>75</w:t>
      </w:r>
      <w:r>
        <w:t>.</w:t>
      </w:r>
      <w:r>
        <w:tab/>
        <w:t>Unauthorised explosives</w:t>
      </w:r>
      <w:bookmarkEnd w:id="342"/>
      <w:bookmarkEnd w:id="343"/>
    </w:p>
    <w:p>
      <w:pPr>
        <w:pStyle w:val="Subsection"/>
      </w:pPr>
      <w:r>
        <w:tab/>
      </w:r>
      <w:r>
        <w:tab/>
        <w:t>A person who stores an explosive that is not an authorised explosive at a place must hold a test permit that authorises the person to store it at that place.</w:t>
      </w:r>
    </w:p>
    <w:p>
      <w:pPr>
        <w:pStyle w:val="NotesPerm"/>
      </w:pPr>
      <w:r>
        <w:tab/>
        <w:t>Note: the Act s. 11 (Unlicensed person involved with dangerous goods).</w:t>
      </w:r>
    </w:p>
    <w:p>
      <w:pPr>
        <w:pStyle w:val="Heading5"/>
      </w:pPr>
      <w:bookmarkStart w:id="344" w:name="_Toc238547850"/>
      <w:bookmarkStart w:id="345" w:name="_Toc233693065"/>
      <w:r>
        <w:rPr>
          <w:rStyle w:val="CharSectno"/>
        </w:rPr>
        <w:t>76</w:t>
      </w:r>
      <w:r>
        <w:t>.</w:t>
      </w:r>
      <w:r>
        <w:tab/>
        <w:t>Authorised explosives, licensing for storage (Sch. 6)</w:t>
      </w:r>
      <w:bookmarkEnd w:id="344"/>
      <w:bookmarkEnd w:id="345"/>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79 or 80 and stores the explosive in accordance with that regulation.</w:t>
      </w:r>
    </w:p>
    <w:p>
      <w:pPr>
        <w:pStyle w:val="NotesPerm"/>
      </w:pPr>
      <w:r>
        <w:tab/>
        <w:t>Note: the Act s. 11 (Unlicensed person involved with dangerous goods).</w:t>
      </w:r>
    </w:p>
    <w:p>
      <w:pPr>
        <w:pStyle w:val="Heading5"/>
      </w:pPr>
      <w:bookmarkStart w:id="346" w:name="_Toc238547851"/>
      <w:bookmarkStart w:id="347" w:name="_Toc233693066"/>
      <w:r>
        <w:rPr>
          <w:rStyle w:val="CharSectno"/>
        </w:rPr>
        <w:t>77</w:t>
      </w:r>
      <w:r>
        <w:t>.</w:t>
      </w:r>
      <w:r>
        <w:tab/>
        <w:t>Shotfiring licence authorises limited storage</w:t>
      </w:r>
      <w:bookmarkEnd w:id="346"/>
      <w:bookmarkEnd w:id="347"/>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pPr>
      <w:r>
        <w:tab/>
        <w:t>(2)</w:t>
      </w:r>
      <w:r>
        <w:tab/>
        <w:t>If a term used in this regulation is not defined by subregulation (1) but is defined in AS 2187.0, it has the same meaning in this regulation as it has in AS 2187.0, unless the contrary intention appears.</w:t>
      </w:r>
    </w:p>
    <w:p>
      <w:pPr>
        <w:pStyle w:val="Subsection"/>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348" w:name="_Toc238547852"/>
      <w:bookmarkStart w:id="349" w:name="_Toc233693067"/>
      <w:r>
        <w:rPr>
          <w:rStyle w:val="CharSectno"/>
        </w:rPr>
        <w:t>78</w:t>
      </w:r>
      <w:r>
        <w:t>.</w:t>
      </w:r>
      <w:r>
        <w:tab/>
        <w:t>Pyrotechnics (special use) licence authorises limited storage</w:t>
      </w:r>
      <w:bookmarkEnd w:id="348"/>
      <w:bookmarkEnd w:id="349"/>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350" w:name="_Toc238547853"/>
      <w:bookmarkStart w:id="351" w:name="_Toc233693068"/>
      <w:r>
        <w:rPr>
          <w:rStyle w:val="CharSectno"/>
        </w:rPr>
        <w:t>79</w:t>
      </w:r>
      <w:r>
        <w:t>.</w:t>
      </w:r>
      <w:r>
        <w:tab/>
        <w:t>Fireworks contractor licence and fireworks operator licence authorise limited storage</w:t>
      </w:r>
      <w:bookmarkEnd w:id="350"/>
      <w:bookmarkEnd w:id="351"/>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352" w:name="_Toc238547854"/>
      <w:bookmarkStart w:id="353" w:name="_Toc233693069"/>
      <w:r>
        <w:rPr>
          <w:rStyle w:val="CharSectno"/>
        </w:rPr>
        <w:t>80</w:t>
      </w:r>
      <w:r>
        <w:t>.</w:t>
      </w:r>
      <w:r>
        <w:tab/>
        <w:t>Fireworks event permit may authorise storage</w:t>
      </w:r>
      <w:bookmarkEnd w:id="352"/>
      <w:bookmarkEnd w:id="353"/>
    </w:p>
    <w:p>
      <w:pPr>
        <w:pStyle w:val="Subsection"/>
      </w:pPr>
      <w:r>
        <w:tab/>
      </w:r>
      <w:r>
        <w:tab/>
        <w:t>The holder of a fireworks event permit is authorised to store a firework at a place for which there is no explosives storage licence if the permit authorises storage of it at the place.</w:t>
      </w:r>
    </w:p>
    <w:p>
      <w:pPr>
        <w:pStyle w:val="Heading3"/>
      </w:pPr>
      <w:bookmarkStart w:id="354" w:name="_Toc191960575"/>
      <w:bookmarkStart w:id="355" w:name="_Toc191982156"/>
      <w:bookmarkStart w:id="356" w:name="_Toc233693070"/>
      <w:bookmarkStart w:id="357" w:name="_Toc238546421"/>
      <w:bookmarkStart w:id="358" w:name="_Toc238546726"/>
      <w:bookmarkStart w:id="359" w:name="_Toc238547855"/>
      <w:r>
        <w:rPr>
          <w:rStyle w:val="CharDivNo"/>
        </w:rPr>
        <w:t>Division 3</w:t>
      </w:r>
      <w:r>
        <w:t> — </w:t>
      </w:r>
      <w:r>
        <w:rPr>
          <w:rStyle w:val="CharDivText"/>
        </w:rPr>
        <w:t>Storing Schedule 6 explosives</w:t>
      </w:r>
      <w:bookmarkEnd w:id="354"/>
      <w:bookmarkEnd w:id="355"/>
      <w:bookmarkEnd w:id="356"/>
      <w:bookmarkEnd w:id="357"/>
      <w:bookmarkEnd w:id="358"/>
      <w:bookmarkEnd w:id="359"/>
    </w:p>
    <w:p>
      <w:pPr>
        <w:pStyle w:val="Heading5"/>
      </w:pPr>
      <w:bookmarkStart w:id="360" w:name="_Toc238547856"/>
      <w:bookmarkStart w:id="361" w:name="_Toc233693071"/>
      <w:r>
        <w:rPr>
          <w:rStyle w:val="CharSectno"/>
        </w:rPr>
        <w:t>81</w:t>
      </w:r>
      <w:r>
        <w:t>.</w:t>
      </w:r>
      <w:r>
        <w:tab/>
        <w:t>Application of this Division</w:t>
      </w:r>
      <w:bookmarkEnd w:id="360"/>
      <w:bookmarkEnd w:id="361"/>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362" w:name="_Toc238547857"/>
      <w:bookmarkStart w:id="363" w:name="_Toc233693072"/>
      <w:r>
        <w:rPr>
          <w:rStyle w:val="CharSectno"/>
        </w:rPr>
        <w:t>82</w:t>
      </w:r>
      <w:r>
        <w:t>.</w:t>
      </w:r>
      <w:r>
        <w:tab/>
        <w:t>Cartridges for safety devices etc.</w:t>
      </w:r>
      <w:bookmarkEnd w:id="362"/>
      <w:bookmarkEnd w:id="363"/>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364" w:name="_Toc238547858"/>
      <w:bookmarkStart w:id="365" w:name="_Toc233693073"/>
      <w:r>
        <w:rPr>
          <w:rStyle w:val="CharSectno"/>
        </w:rPr>
        <w:t>83</w:t>
      </w:r>
      <w:r>
        <w:t>.</w:t>
      </w:r>
      <w:r>
        <w:tab/>
        <w:t>Cartridges for nail guns etc.</w:t>
      </w:r>
      <w:bookmarkEnd w:id="364"/>
      <w:bookmarkEnd w:id="365"/>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366" w:name="_Toc238547859"/>
      <w:bookmarkStart w:id="367" w:name="_Toc233693074"/>
      <w:r>
        <w:rPr>
          <w:rStyle w:val="CharSectno"/>
        </w:rPr>
        <w:t>84</w:t>
      </w:r>
      <w:r>
        <w:t>.</w:t>
      </w:r>
      <w:r>
        <w:tab/>
        <w:t>Emergency devices</w:t>
      </w:r>
      <w:bookmarkEnd w:id="366"/>
      <w:bookmarkEnd w:id="367"/>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368" w:name="_Toc238547860"/>
      <w:bookmarkStart w:id="369" w:name="_Toc233693075"/>
      <w:r>
        <w:rPr>
          <w:rStyle w:val="CharSectno"/>
        </w:rPr>
        <w:t>85</w:t>
      </w:r>
      <w:r>
        <w:t>.</w:t>
      </w:r>
      <w:r>
        <w:tab/>
        <w:t>Ammunition propellant and black powder</w:t>
      </w:r>
      <w:bookmarkEnd w:id="368"/>
      <w:bookmarkEnd w:id="369"/>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Pr>
      <w:bookmarkStart w:id="370" w:name="_Toc191960581"/>
      <w:bookmarkStart w:id="371" w:name="_Toc191982162"/>
      <w:bookmarkStart w:id="372" w:name="_Toc233693076"/>
      <w:bookmarkStart w:id="373" w:name="_Toc238546427"/>
      <w:bookmarkStart w:id="374" w:name="_Toc238546732"/>
      <w:bookmarkStart w:id="375" w:name="_Toc238547861"/>
      <w:r>
        <w:rPr>
          <w:rStyle w:val="CharDivNo"/>
        </w:rPr>
        <w:t>Division 4</w:t>
      </w:r>
      <w:r>
        <w:t> — </w:t>
      </w:r>
      <w:r>
        <w:rPr>
          <w:rStyle w:val="CharDivText"/>
        </w:rPr>
        <w:t>Storage under licences other than an explosives storage licence</w:t>
      </w:r>
      <w:bookmarkEnd w:id="370"/>
      <w:bookmarkEnd w:id="371"/>
      <w:bookmarkEnd w:id="372"/>
      <w:bookmarkEnd w:id="373"/>
      <w:bookmarkEnd w:id="374"/>
      <w:bookmarkEnd w:id="375"/>
    </w:p>
    <w:p>
      <w:pPr>
        <w:pStyle w:val="Heading5"/>
      </w:pPr>
      <w:bookmarkStart w:id="376" w:name="_Toc238547862"/>
      <w:bookmarkStart w:id="377" w:name="_Toc233693077"/>
      <w:r>
        <w:rPr>
          <w:rStyle w:val="CharSectno"/>
        </w:rPr>
        <w:t>86</w:t>
      </w:r>
      <w:r>
        <w:t>.</w:t>
      </w:r>
      <w:r>
        <w:tab/>
        <w:t>Shotfiring licence holders, storage by</w:t>
      </w:r>
      <w:bookmarkEnd w:id="376"/>
      <w:bookmarkEnd w:id="377"/>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378" w:name="_Toc238547863"/>
      <w:bookmarkStart w:id="379" w:name="_Toc233693078"/>
      <w:r>
        <w:rPr>
          <w:rStyle w:val="CharSectno"/>
        </w:rPr>
        <w:t>87</w:t>
      </w:r>
      <w:r>
        <w:t>.</w:t>
      </w:r>
      <w:r>
        <w:tab/>
        <w:t>Pyrotechnics (special use) licence holders, storage by</w:t>
      </w:r>
      <w:bookmarkEnd w:id="378"/>
      <w:bookmarkEnd w:id="379"/>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380" w:name="_Toc238547864"/>
      <w:bookmarkStart w:id="381" w:name="_Toc233693079"/>
      <w:r>
        <w:rPr>
          <w:rStyle w:val="CharSectno"/>
        </w:rPr>
        <w:t>88</w:t>
      </w:r>
      <w:r>
        <w:t>.</w:t>
      </w:r>
      <w:r>
        <w:tab/>
        <w:t>Fireworks contractor licence holders, storage by</w:t>
      </w:r>
      <w:bookmarkEnd w:id="380"/>
      <w:bookmarkEnd w:id="381"/>
    </w:p>
    <w:p>
      <w:pPr>
        <w:pStyle w:val="Subsection"/>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pPr>
      <w:r>
        <w:tab/>
        <w:t>(2)</w:t>
      </w:r>
      <w:r>
        <w:tab/>
        <w:t>The person must not store the firework in, or in any part of, a building used wholly or partly as a dwelling or a shop.</w:t>
      </w:r>
    </w:p>
    <w:p>
      <w:pPr>
        <w:pStyle w:val="Subsection"/>
        <w:keepNext/>
      </w:pPr>
      <w:r>
        <w:tab/>
        <w:t>(3)</w:t>
      </w:r>
      <w:r>
        <w:tab/>
        <w:t>The person must store the firework safely.</w:t>
      </w:r>
    </w:p>
    <w:p>
      <w:pPr>
        <w:pStyle w:val="Penstart"/>
      </w:pPr>
      <w:r>
        <w:tab/>
        <w:t>Penalty: a level 2 fine.</w:t>
      </w:r>
    </w:p>
    <w:p>
      <w:pPr>
        <w:pStyle w:val="Heading5"/>
      </w:pPr>
      <w:bookmarkStart w:id="382" w:name="_Toc238547865"/>
      <w:bookmarkStart w:id="383" w:name="_Toc233693080"/>
      <w:r>
        <w:rPr>
          <w:rStyle w:val="CharSectno"/>
        </w:rPr>
        <w:t>89</w:t>
      </w:r>
      <w:r>
        <w:t>.</w:t>
      </w:r>
      <w:r>
        <w:tab/>
        <w:t>Fireworks event permit holders, storage by</w:t>
      </w:r>
      <w:bookmarkEnd w:id="382"/>
      <w:bookmarkEnd w:id="383"/>
    </w:p>
    <w:p>
      <w:pPr>
        <w:pStyle w:val="Subsection"/>
      </w:pPr>
      <w:r>
        <w:tab/>
      </w:r>
      <w:r>
        <w:tab/>
        <w:t>This regulation applies to a person who holds a fireworks event permit and who, under the permit, stores a firework at a place for which there not an explosives storage licence held by the person.</w:t>
      </w:r>
    </w:p>
    <w:p>
      <w:pPr>
        <w:pStyle w:val="Penstart"/>
      </w:pPr>
      <w:r>
        <w:tab/>
        <w:t>Penalty: a level 2 fine.</w:t>
      </w:r>
    </w:p>
    <w:p>
      <w:pPr>
        <w:pStyle w:val="Heading3"/>
      </w:pPr>
      <w:bookmarkStart w:id="384" w:name="_Toc191960586"/>
      <w:bookmarkStart w:id="385" w:name="_Toc191982167"/>
      <w:bookmarkStart w:id="386" w:name="_Toc233693081"/>
      <w:bookmarkStart w:id="387" w:name="_Toc238546432"/>
      <w:bookmarkStart w:id="388" w:name="_Toc238546737"/>
      <w:bookmarkStart w:id="389" w:name="_Toc238547866"/>
      <w:r>
        <w:rPr>
          <w:rStyle w:val="CharDivNo"/>
        </w:rPr>
        <w:t>Division 5</w:t>
      </w:r>
      <w:r>
        <w:t> — </w:t>
      </w:r>
      <w:r>
        <w:rPr>
          <w:rStyle w:val="CharDivText"/>
        </w:rPr>
        <w:t>Storage under an explosives storage licence</w:t>
      </w:r>
      <w:bookmarkEnd w:id="384"/>
      <w:bookmarkEnd w:id="385"/>
      <w:bookmarkEnd w:id="386"/>
      <w:bookmarkEnd w:id="387"/>
      <w:bookmarkEnd w:id="388"/>
      <w:bookmarkEnd w:id="389"/>
    </w:p>
    <w:p>
      <w:pPr>
        <w:pStyle w:val="Heading5"/>
      </w:pPr>
      <w:bookmarkStart w:id="390" w:name="_Toc238547867"/>
      <w:bookmarkStart w:id="391" w:name="_Toc233693082"/>
      <w:r>
        <w:rPr>
          <w:rStyle w:val="CharSectno"/>
        </w:rPr>
        <w:t>90</w:t>
      </w:r>
      <w:r>
        <w:t>.</w:t>
      </w:r>
      <w:r>
        <w:tab/>
        <w:t>General requirements</w:t>
      </w:r>
      <w:bookmarkEnd w:id="390"/>
      <w:bookmarkEnd w:id="391"/>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1 fine and imprisonment for 10 months.</w:t>
      </w:r>
    </w:p>
    <w:p>
      <w:pPr>
        <w:pStyle w:val="Heading5"/>
      </w:pPr>
      <w:bookmarkStart w:id="392" w:name="_Toc238547868"/>
      <w:bookmarkStart w:id="393" w:name="_Toc233693083"/>
      <w:r>
        <w:rPr>
          <w:rStyle w:val="CharSectno"/>
        </w:rPr>
        <w:t>91</w:t>
      </w:r>
      <w:r>
        <w:t>.</w:t>
      </w:r>
      <w:r>
        <w:tab/>
        <w:t>Underground storage, magazine requirements</w:t>
      </w:r>
      <w:bookmarkEnd w:id="392"/>
      <w:bookmarkEnd w:id="393"/>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pPr>
      <w:r>
        <w:tab/>
        <w:t>(2)</w:t>
      </w:r>
      <w:r>
        <w:tab/>
        <w:t>The holder of an explosives storage licence who stores underground any explosive to which the licence relates, must store the explosive in a complying magazine.</w:t>
      </w:r>
    </w:p>
    <w:p>
      <w:pPr>
        <w:pStyle w:val="Penstart"/>
      </w:pPr>
      <w:r>
        <w:tab/>
        <w:t>Penalty: a level 1 fine and imprisonment for 10 months.</w:t>
      </w:r>
    </w:p>
    <w:p>
      <w:pPr>
        <w:pStyle w:val="Subsection"/>
      </w:pPr>
      <w:r>
        <w:tab/>
        <w:t>(3)</w:t>
      </w:r>
      <w:r>
        <w:tab/>
        <w:t>It is a defence to a charge of an offence against subregulation (2) that is alleged to have been committed —</w:t>
      </w:r>
    </w:p>
    <w:p>
      <w:pPr>
        <w:pStyle w:val="Indenta"/>
      </w:pPr>
      <w:r>
        <w:tab/>
        <w:t>(a)</w:t>
      </w:r>
      <w:r>
        <w:tab/>
        <w:t xml:space="preserve">at a mine (as that term is defined in the </w:t>
      </w:r>
      <w:r>
        <w:rPr>
          <w:i/>
        </w:rPr>
        <w:t>Mines Safety and Inspection Act 1994</w:t>
      </w:r>
      <w:r>
        <w:t>); and</w:t>
      </w:r>
    </w:p>
    <w:p>
      <w:pPr>
        <w:pStyle w:val="Indenta"/>
      </w:pPr>
      <w:r>
        <w:tab/>
        <w:t>(b)</w:t>
      </w:r>
      <w:r>
        <w:tab/>
        <w:t>in the 12 months that begin on the day on which these regulations come into operation,</w:t>
      </w:r>
    </w:p>
    <w:p>
      <w:pPr>
        <w:pStyle w:val="Subsection"/>
      </w:pPr>
      <w:r>
        <w:tab/>
      </w:r>
      <w:r>
        <w:tab/>
        <w:t xml:space="preserve">to prove that the magazine complied with the </w:t>
      </w:r>
      <w:r>
        <w:rPr>
          <w:i/>
        </w:rPr>
        <w:t>Mines Safety and Inspection Regulations 1995</w:t>
      </w:r>
      <w:r>
        <w:t xml:space="preserve"> regulation 8.5(1) or 8.9, as it was immediately before it was repealed.</w:t>
      </w:r>
    </w:p>
    <w:p>
      <w:pPr>
        <w:pStyle w:val="Subsection"/>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Heading5"/>
      </w:pPr>
      <w:bookmarkStart w:id="394" w:name="_Toc238547869"/>
      <w:bookmarkStart w:id="395" w:name="_Toc233693084"/>
      <w:r>
        <w:rPr>
          <w:rStyle w:val="CharSectno"/>
        </w:rPr>
        <w:t>92</w:t>
      </w:r>
      <w:r>
        <w:t>.</w:t>
      </w:r>
      <w:r>
        <w:tab/>
        <w:t>Explosives storage licence holders to keep inventories etc.</w:t>
      </w:r>
      <w:bookmarkEnd w:id="394"/>
      <w:bookmarkEnd w:id="395"/>
    </w:p>
    <w:p>
      <w:pPr>
        <w:pStyle w:val="Subsection"/>
      </w:pPr>
      <w:r>
        <w:tab/>
        <w:t>(1)</w:t>
      </w:r>
      <w:r>
        <w:tab/>
        <w:t>The holder of an explosives storage licence must keep a proper inventory for any place to which the licence relates.</w:t>
      </w:r>
    </w:p>
    <w:p>
      <w:pPr>
        <w:pStyle w:val="Penstart"/>
      </w:pPr>
      <w:r>
        <w:tab/>
        <w:t>Penalty: a level 2 fine.</w:t>
      </w:r>
    </w:p>
    <w:p>
      <w:pPr>
        <w:pStyle w:val="Subsection"/>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pPr>
      <w:r>
        <w:tab/>
      </w:r>
      <w:r>
        <w:tab/>
        <w:t>and is kept for 2 years after the date of each such receipt or dispatch.</w:t>
      </w:r>
    </w:p>
    <w:p>
      <w:pPr>
        <w:pStyle w:val="Subsection"/>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Heading5"/>
      </w:pPr>
      <w:bookmarkStart w:id="396" w:name="_Toc238547870"/>
      <w:bookmarkStart w:id="397" w:name="_Toc233693085"/>
      <w:r>
        <w:rPr>
          <w:rStyle w:val="CharSectno"/>
        </w:rPr>
        <w:t>93</w:t>
      </w:r>
      <w:r>
        <w:t>.</w:t>
      </w:r>
      <w:r>
        <w:tab/>
        <w:t>Documents to be kept at storage places</w:t>
      </w:r>
      <w:bookmarkEnd w:id="396"/>
      <w:bookmarkEnd w:id="397"/>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MSDS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Heading5"/>
      </w:pPr>
      <w:bookmarkStart w:id="398" w:name="_Toc238547871"/>
      <w:bookmarkStart w:id="399" w:name="_Toc233693086"/>
      <w:r>
        <w:rPr>
          <w:rStyle w:val="CharSectno"/>
        </w:rPr>
        <w:t>94</w:t>
      </w:r>
      <w:r>
        <w:t>.</w:t>
      </w:r>
      <w:r>
        <w:tab/>
        <w:t>Magazines to be kept secure</w:t>
      </w:r>
      <w:bookmarkEnd w:id="398"/>
      <w:bookmarkEnd w:id="399"/>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employee of the licence holder acting in the course of the employee’s duties; and</w:t>
      </w:r>
    </w:p>
    <w:p>
      <w:pPr>
        <w:pStyle w:val="Indenta"/>
      </w:pPr>
      <w:r>
        <w:tab/>
        <w:t>(b)</w:t>
      </w:r>
      <w:r>
        <w:tab/>
        <w:t>the licence holder keeps the means of unlocking it secure from any person other than a secure employee of the licence holder.</w:t>
      </w:r>
    </w:p>
    <w:p>
      <w:pPr>
        <w:pStyle w:val="Heading2"/>
      </w:pPr>
      <w:bookmarkStart w:id="400" w:name="_Toc191960592"/>
      <w:bookmarkStart w:id="401" w:name="_Toc191982173"/>
      <w:bookmarkStart w:id="402" w:name="_Toc233693087"/>
      <w:bookmarkStart w:id="403" w:name="_Toc238546438"/>
      <w:bookmarkStart w:id="404" w:name="_Toc238546743"/>
      <w:bookmarkStart w:id="405" w:name="_Toc238547872"/>
      <w:r>
        <w:rPr>
          <w:rStyle w:val="CharPartNo"/>
        </w:rPr>
        <w:t>Part 10</w:t>
      </w:r>
      <w:r>
        <w:t> — </w:t>
      </w:r>
      <w:r>
        <w:rPr>
          <w:rStyle w:val="CharPartText"/>
        </w:rPr>
        <w:t>Transport of explosives</w:t>
      </w:r>
      <w:bookmarkEnd w:id="400"/>
      <w:bookmarkEnd w:id="401"/>
      <w:bookmarkEnd w:id="402"/>
      <w:bookmarkEnd w:id="403"/>
      <w:bookmarkEnd w:id="404"/>
      <w:bookmarkEnd w:id="405"/>
    </w:p>
    <w:p>
      <w:pPr>
        <w:pStyle w:val="Heading3"/>
      </w:pPr>
      <w:bookmarkStart w:id="406" w:name="_Toc191960593"/>
      <w:bookmarkStart w:id="407" w:name="_Toc191982174"/>
      <w:bookmarkStart w:id="408" w:name="_Toc233693088"/>
      <w:bookmarkStart w:id="409" w:name="_Toc238546439"/>
      <w:bookmarkStart w:id="410" w:name="_Toc238546744"/>
      <w:bookmarkStart w:id="411" w:name="_Toc238547873"/>
      <w:r>
        <w:rPr>
          <w:rStyle w:val="CharDivNo"/>
        </w:rPr>
        <w:t>Division 1</w:t>
      </w:r>
      <w:r>
        <w:t> — </w:t>
      </w:r>
      <w:r>
        <w:rPr>
          <w:rStyle w:val="CharDivText"/>
        </w:rPr>
        <w:t>Preliminary matters</w:t>
      </w:r>
      <w:bookmarkEnd w:id="406"/>
      <w:bookmarkEnd w:id="407"/>
      <w:bookmarkEnd w:id="408"/>
      <w:bookmarkEnd w:id="409"/>
      <w:bookmarkEnd w:id="410"/>
      <w:bookmarkEnd w:id="411"/>
    </w:p>
    <w:p>
      <w:pPr>
        <w:pStyle w:val="Heading5"/>
      </w:pPr>
      <w:bookmarkStart w:id="412" w:name="_Toc238547874"/>
      <w:bookmarkStart w:id="413" w:name="_Toc233693089"/>
      <w:r>
        <w:rPr>
          <w:rStyle w:val="CharSectno"/>
        </w:rPr>
        <w:t>95</w:t>
      </w:r>
      <w:r>
        <w:t>.</w:t>
      </w:r>
      <w:r>
        <w:tab/>
        <w:t>Terms used in this Part</w:t>
      </w:r>
      <w:bookmarkEnd w:id="412"/>
      <w:bookmarkEnd w:id="413"/>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414" w:name="_Toc191960595"/>
      <w:bookmarkStart w:id="415" w:name="_Toc191982176"/>
      <w:bookmarkStart w:id="416" w:name="_Toc233693090"/>
      <w:bookmarkStart w:id="417" w:name="_Toc238546441"/>
      <w:bookmarkStart w:id="418" w:name="_Toc238546746"/>
      <w:bookmarkStart w:id="419" w:name="_Toc238547875"/>
      <w:r>
        <w:rPr>
          <w:rStyle w:val="CharDivNo"/>
        </w:rPr>
        <w:t>Division 2</w:t>
      </w:r>
      <w:r>
        <w:t> — </w:t>
      </w:r>
      <w:r>
        <w:rPr>
          <w:rStyle w:val="CharDivText"/>
        </w:rPr>
        <w:t>Licensing requirements</w:t>
      </w:r>
      <w:bookmarkEnd w:id="414"/>
      <w:bookmarkEnd w:id="415"/>
      <w:bookmarkEnd w:id="416"/>
      <w:bookmarkEnd w:id="417"/>
      <w:bookmarkEnd w:id="418"/>
      <w:bookmarkEnd w:id="419"/>
    </w:p>
    <w:p>
      <w:pPr>
        <w:pStyle w:val="Heading5"/>
      </w:pPr>
      <w:bookmarkStart w:id="420" w:name="_Toc238547876"/>
      <w:bookmarkStart w:id="421" w:name="_Toc233693091"/>
      <w:r>
        <w:rPr>
          <w:rStyle w:val="CharSectno"/>
        </w:rPr>
        <w:t>96</w:t>
      </w:r>
      <w:r>
        <w:t>.</w:t>
      </w:r>
      <w:r>
        <w:tab/>
        <w:t>Unauthorised explosives</w:t>
      </w:r>
      <w:bookmarkEnd w:id="420"/>
      <w:bookmarkEnd w:id="421"/>
    </w:p>
    <w:p>
      <w:pPr>
        <w:pStyle w:val="Subsection"/>
      </w:pPr>
      <w:r>
        <w:tab/>
      </w:r>
      <w:r>
        <w:tab/>
        <w:t>A person who transports an explosive that is not an authorised explosive must hold a test permit that authorises the person to transport it.</w:t>
      </w:r>
    </w:p>
    <w:p>
      <w:pPr>
        <w:pStyle w:val="NotesPerm"/>
      </w:pPr>
      <w:r>
        <w:tab/>
        <w:t>Note: the Act s. 11 (Unlicensed person involved with dangerous goods).</w:t>
      </w:r>
    </w:p>
    <w:p>
      <w:pPr>
        <w:pStyle w:val="Heading5"/>
      </w:pPr>
      <w:bookmarkStart w:id="422" w:name="_Toc238547877"/>
      <w:bookmarkStart w:id="423" w:name="_Toc233693092"/>
      <w:r>
        <w:rPr>
          <w:rStyle w:val="CharSectno"/>
        </w:rPr>
        <w:t>97</w:t>
      </w:r>
      <w:r>
        <w:t>.</w:t>
      </w:r>
      <w:r>
        <w:tab/>
        <w:t>Authorised explosives, licences entitling transport</w:t>
      </w:r>
      <w:bookmarkEnd w:id="422"/>
      <w:bookmarkEnd w:id="423"/>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employee of a person who holds an explosives transport licence and transports the load in the course of his or her duties as such;</w:t>
      </w:r>
    </w:p>
    <w:p>
      <w:pPr>
        <w:pStyle w:val="Indenta"/>
      </w:pPr>
      <w:r>
        <w:tab/>
      </w:r>
      <w:r>
        <w:tab/>
        <w:t>or</w:t>
      </w:r>
    </w:p>
    <w:p>
      <w:pPr>
        <w:pStyle w:val="Indenta"/>
      </w:pPr>
      <w:r>
        <w:tab/>
        <w:t>(c)</w:t>
      </w:r>
      <w:r>
        <w:tab/>
        <w:t>the person holds a licence referred to in regulation 98, 99, 100 or 101 and transports the explosive under that regulation; or</w:t>
      </w:r>
    </w:p>
    <w:p>
      <w:pPr>
        <w:pStyle w:val="Indenta"/>
      </w:pPr>
      <w:r>
        <w:tab/>
        <w:t>(d)</w:t>
      </w:r>
      <w:r>
        <w:tab/>
        <w:t>the person holds an interstate licence that corresponds with an explosives driver licence and authorises the person to drive the vehicle transporting the explosive on a road in the State or Territory that issued the licence; or</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NotesPerm"/>
      </w:pPr>
      <w:r>
        <w:tab/>
        <w:t>Note: the Act s. 11 (Unlicensed person involved with dangerous goods).</w:t>
      </w:r>
    </w:p>
    <w:p>
      <w:pPr>
        <w:pStyle w:val="Heading5"/>
      </w:pPr>
      <w:bookmarkStart w:id="424" w:name="_Toc238547878"/>
      <w:bookmarkStart w:id="425" w:name="_Toc233693093"/>
      <w:r>
        <w:rPr>
          <w:rStyle w:val="CharSectno"/>
        </w:rPr>
        <w:t>98</w:t>
      </w:r>
      <w:r>
        <w:t>.</w:t>
      </w:r>
      <w:r>
        <w:tab/>
        <w:t>Shotfiring licence authorises limited transport</w:t>
      </w:r>
      <w:bookmarkEnd w:id="424"/>
      <w:bookmarkEnd w:id="425"/>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426" w:name="_Toc238547879"/>
      <w:bookmarkStart w:id="427" w:name="_Toc233693094"/>
      <w:r>
        <w:rPr>
          <w:rStyle w:val="CharSectno"/>
        </w:rPr>
        <w:t>99</w:t>
      </w:r>
      <w:r>
        <w:t>.</w:t>
      </w:r>
      <w:r>
        <w:tab/>
        <w:t>Pyrotechnics (special use) licence authorises limited transport</w:t>
      </w:r>
      <w:bookmarkEnd w:id="426"/>
      <w:bookmarkEnd w:id="427"/>
    </w:p>
    <w:p>
      <w:pPr>
        <w:pStyle w:val="Subsection"/>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428" w:name="_Toc238547880"/>
      <w:bookmarkStart w:id="429" w:name="_Toc233693095"/>
      <w:r>
        <w:rPr>
          <w:rStyle w:val="CharSectno"/>
        </w:rPr>
        <w:t>100</w:t>
      </w:r>
      <w:r>
        <w:t>.</w:t>
      </w:r>
      <w:r>
        <w:tab/>
        <w:t>Fireworks contractor licence authorises limited transport</w:t>
      </w:r>
      <w:bookmarkEnd w:id="428"/>
      <w:bookmarkEnd w:id="429"/>
    </w:p>
    <w:p>
      <w:pPr>
        <w:pStyle w:val="Subsection"/>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pPr>
      <w:bookmarkStart w:id="430" w:name="_Toc238547881"/>
      <w:bookmarkStart w:id="431" w:name="_Toc233693096"/>
      <w:r>
        <w:rPr>
          <w:rStyle w:val="CharSectno"/>
        </w:rPr>
        <w:t>101</w:t>
      </w:r>
      <w:r>
        <w:t>.</w:t>
      </w:r>
      <w:r>
        <w:tab/>
        <w:t>Fireworks operator licence authorises limited transport</w:t>
      </w:r>
      <w:bookmarkEnd w:id="430"/>
      <w:bookmarkEnd w:id="431"/>
    </w:p>
    <w:p>
      <w:pPr>
        <w:pStyle w:val="Subsection"/>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432" w:name="_Toc238547882"/>
      <w:bookmarkStart w:id="433" w:name="_Toc233693097"/>
      <w:r>
        <w:rPr>
          <w:rStyle w:val="CharSectno"/>
        </w:rPr>
        <w:t>102</w:t>
      </w:r>
      <w:r>
        <w:t>.</w:t>
      </w:r>
      <w:r>
        <w:tab/>
        <w:t>MPUs, licensing requirements for</w:t>
      </w:r>
      <w:bookmarkEnd w:id="432"/>
      <w:bookmarkEnd w:id="433"/>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employee of a person who holds an explosives manufacture (MPU) licence.</w:t>
      </w:r>
    </w:p>
    <w:p>
      <w:pPr>
        <w:pStyle w:val="Penstart"/>
      </w:pPr>
      <w:r>
        <w:tab/>
        <w:t>Penalty: a level 1 fine and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Heading3"/>
      </w:pPr>
      <w:bookmarkStart w:id="434" w:name="_Toc191960603"/>
      <w:bookmarkStart w:id="435" w:name="_Toc191982184"/>
      <w:bookmarkStart w:id="436" w:name="_Toc233693098"/>
      <w:bookmarkStart w:id="437" w:name="_Toc238546449"/>
      <w:bookmarkStart w:id="438" w:name="_Toc238546754"/>
      <w:bookmarkStart w:id="439" w:name="_Toc238547883"/>
      <w:r>
        <w:rPr>
          <w:rStyle w:val="CharDivNo"/>
        </w:rPr>
        <w:t>Division 3</w:t>
      </w:r>
      <w:r>
        <w:t> — </w:t>
      </w:r>
      <w:r>
        <w:rPr>
          <w:rStyle w:val="CharDivText"/>
        </w:rPr>
        <w:t>Transport by road or rail</w:t>
      </w:r>
      <w:bookmarkEnd w:id="434"/>
      <w:bookmarkEnd w:id="435"/>
      <w:bookmarkEnd w:id="436"/>
      <w:bookmarkEnd w:id="437"/>
      <w:bookmarkEnd w:id="438"/>
      <w:bookmarkEnd w:id="439"/>
    </w:p>
    <w:p>
      <w:pPr>
        <w:pStyle w:val="Heading5"/>
      </w:pPr>
      <w:bookmarkStart w:id="440" w:name="_Toc238547884"/>
      <w:bookmarkStart w:id="441" w:name="_Toc233693099"/>
      <w:r>
        <w:rPr>
          <w:rStyle w:val="CharSectno"/>
        </w:rPr>
        <w:t>103</w:t>
      </w:r>
      <w:r>
        <w:t>.</w:t>
      </w:r>
      <w:r>
        <w:tab/>
        <w:t>Application of this Division</w:t>
      </w:r>
      <w:bookmarkEnd w:id="440"/>
      <w:bookmarkEnd w:id="441"/>
    </w:p>
    <w:p>
      <w:pPr>
        <w:pStyle w:val="Subsection"/>
      </w:pPr>
      <w:r>
        <w:tab/>
      </w:r>
      <w:r>
        <w:tab/>
        <w:t>This Division applies to and in relation to the transport of an explosive by road or rail.</w:t>
      </w:r>
    </w:p>
    <w:p>
      <w:pPr>
        <w:pStyle w:val="Heading5"/>
      </w:pPr>
      <w:bookmarkStart w:id="442" w:name="_Toc238547885"/>
      <w:bookmarkStart w:id="443" w:name="_Toc233693100"/>
      <w:r>
        <w:rPr>
          <w:rStyle w:val="CharSectno"/>
        </w:rPr>
        <w:t>104</w:t>
      </w:r>
      <w:r>
        <w:t>.</w:t>
      </w:r>
      <w:r>
        <w:tab/>
        <w:t>Contravention of AE Code Ch. 8 an offence</w:t>
      </w:r>
      <w:bookmarkEnd w:id="442"/>
      <w:bookmarkEnd w:id="443"/>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1 fine and imprisonment for 10 months.</w:t>
      </w:r>
    </w:p>
    <w:p>
      <w:pPr>
        <w:pStyle w:val="Subsection"/>
      </w:pPr>
      <w:r>
        <w:tab/>
        <w:t>(2)</w:t>
      </w:r>
      <w:r>
        <w:tab/>
        <w:t xml:space="preserve">Subregulation (1) does not apply — </w:t>
      </w:r>
    </w:p>
    <w:p>
      <w:pPr>
        <w:pStyle w:val="Indenta"/>
      </w:pPr>
      <w:r>
        <w:tab/>
        <w:t>(a)</w:t>
      </w:r>
      <w:r>
        <w:tab/>
        <w:t>to the AE Code clause 8.3.4(2); or</w:t>
      </w:r>
    </w:p>
    <w:p>
      <w:pPr>
        <w:pStyle w:val="Indenta"/>
      </w:pPr>
      <w:r>
        <w:tab/>
        <w:t>(b)</w:t>
      </w:r>
      <w:r>
        <w:tab/>
        <w:t>to the AE Code clause 8.4.3(2) to (4); or</w:t>
      </w:r>
    </w:p>
    <w:p>
      <w:pPr>
        <w:pStyle w:val="Indenta"/>
      </w:pPr>
      <w:r>
        <w:tab/>
        <w:t>(c)</w:t>
      </w:r>
      <w:r>
        <w:tab/>
        <w:t>to a person in respect of the transport of an explosive named in Schedule 7 in accordance with that Schedule on a vehicle that is not transporting any other explosive.</w:t>
      </w:r>
    </w:p>
    <w:p>
      <w:pPr>
        <w:pStyle w:val="Subsection"/>
      </w:pPr>
      <w:r>
        <w:tab/>
        <w:t>(3)</w:t>
      </w:r>
      <w:r>
        <w:tab/>
        <w:t>Subregulation (2)(b) does not affect the operation of regulation 97(3).</w:t>
      </w:r>
    </w:p>
    <w:p>
      <w:pPr>
        <w:pStyle w:val="Heading5"/>
      </w:pPr>
      <w:bookmarkStart w:id="444" w:name="_Toc238547886"/>
      <w:bookmarkStart w:id="445" w:name="_Toc233693101"/>
      <w:r>
        <w:rPr>
          <w:rStyle w:val="CharSectno"/>
        </w:rPr>
        <w:t>105</w:t>
      </w:r>
      <w:r>
        <w:t>.</w:t>
      </w:r>
      <w:r>
        <w:tab/>
        <w:t>Consignor’s duties</w:t>
      </w:r>
      <w:bookmarkEnd w:id="444"/>
      <w:bookmarkEnd w:id="445"/>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446" w:name="_Toc238547887"/>
      <w:bookmarkStart w:id="447" w:name="_Toc233693102"/>
      <w:r>
        <w:rPr>
          <w:rStyle w:val="CharSectno"/>
        </w:rPr>
        <w:t>106</w:t>
      </w:r>
      <w:r>
        <w:t>.</w:t>
      </w:r>
      <w:r>
        <w:tab/>
        <w:t>Prime contractor’s duties</w:t>
      </w:r>
      <w:bookmarkEnd w:id="446"/>
      <w:bookmarkEnd w:id="447"/>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clause 6.4.2(2), subregulation (1) does not operate to require a vehicle used to transport an explosive by road to be approved by the Chief Officer.</w:t>
      </w:r>
    </w:p>
    <w:p>
      <w:pPr>
        <w:pStyle w:val="Heading5"/>
      </w:pPr>
      <w:bookmarkStart w:id="448" w:name="_Toc238547888"/>
      <w:bookmarkStart w:id="449" w:name="_Toc233693103"/>
      <w:r>
        <w:rPr>
          <w:rStyle w:val="CharSectno"/>
        </w:rPr>
        <w:t>107</w:t>
      </w:r>
      <w:r>
        <w:t>.</w:t>
      </w:r>
      <w:r>
        <w:tab/>
        <w:t>Restrictions on transporting certain loads in CBDs</w:t>
      </w:r>
      <w:bookmarkEnd w:id="448"/>
      <w:bookmarkEnd w:id="449"/>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clause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Heading3"/>
      </w:pPr>
      <w:bookmarkStart w:id="450" w:name="_Toc191960609"/>
      <w:bookmarkStart w:id="451" w:name="_Toc191982190"/>
      <w:bookmarkStart w:id="452" w:name="_Toc233693104"/>
      <w:bookmarkStart w:id="453" w:name="_Toc238546455"/>
      <w:bookmarkStart w:id="454" w:name="_Toc238546760"/>
      <w:bookmarkStart w:id="455" w:name="_Toc238547889"/>
      <w:r>
        <w:rPr>
          <w:rStyle w:val="CharDivNo"/>
        </w:rPr>
        <w:t>Division 4</w:t>
      </w:r>
      <w:r>
        <w:t> — </w:t>
      </w:r>
      <w:r>
        <w:rPr>
          <w:rStyle w:val="CharDivText"/>
        </w:rPr>
        <w:t>Emergencies</w:t>
      </w:r>
      <w:bookmarkEnd w:id="450"/>
      <w:bookmarkEnd w:id="451"/>
      <w:bookmarkEnd w:id="452"/>
      <w:bookmarkEnd w:id="453"/>
      <w:bookmarkEnd w:id="454"/>
      <w:bookmarkEnd w:id="455"/>
    </w:p>
    <w:p>
      <w:pPr>
        <w:pStyle w:val="Heading5"/>
      </w:pPr>
      <w:bookmarkStart w:id="456" w:name="_Toc238547890"/>
      <w:bookmarkStart w:id="457" w:name="_Toc233693105"/>
      <w:r>
        <w:rPr>
          <w:rStyle w:val="CharSectno"/>
        </w:rPr>
        <w:t>108</w:t>
      </w:r>
      <w:r>
        <w:t>.</w:t>
      </w:r>
      <w:r>
        <w:tab/>
        <w:t>Terms used in this Division</w:t>
      </w:r>
      <w:bookmarkEnd w:id="456"/>
      <w:bookmarkEnd w:id="457"/>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FESA.</w:t>
      </w:r>
    </w:p>
    <w:p>
      <w:pPr>
        <w:pStyle w:val="Heading5"/>
      </w:pPr>
      <w:bookmarkStart w:id="458" w:name="_Toc238547891"/>
      <w:bookmarkStart w:id="459" w:name="_Toc233693106"/>
      <w:r>
        <w:rPr>
          <w:rStyle w:val="CharSectno"/>
        </w:rPr>
        <w:t>109</w:t>
      </w:r>
      <w:r>
        <w:t>.</w:t>
      </w:r>
      <w:r>
        <w:tab/>
        <w:t>Dangerous situations, duty to notify authorities</w:t>
      </w:r>
      <w:bookmarkEnd w:id="458"/>
      <w:bookmarkEnd w:id="459"/>
    </w:p>
    <w:p>
      <w:pPr>
        <w:pStyle w:val="Subsection"/>
      </w:pPr>
      <w:r>
        <w:tab/>
        <w:t>(1)</w:t>
      </w:r>
      <w:r>
        <w:tab/>
        <w:t>This regulation applies if a vehicle transporting an explosive by road, rail or water is involved in an incident resulting in a dangerous situation.</w:t>
      </w:r>
    </w:p>
    <w:p>
      <w:pPr>
        <w:pStyle w:val="Subsection"/>
      </w:pPr>
      <w:r>
        <w:tab/>
        <w:t>(2)</w:t>
      </w:r>
      <w:r>
        <w:tab/>
        <w:t>In the case of a road vehicle involved in such an incident each accountable person in relation to the vehicle —</w:t>
      </w:r>
    </w:p>
    <w:p>
      <w:pPr>
        <w:pStyle w:val="Indenta"/>
      </w:pPr>
      <w:r>
        <w:tab/>
        <w:t>(a)</w:t>
      </w:r>
      <w:r>
        <w:tab/>
        <w:t>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Heading3"/>
      </w:pPr>
      <w:bookmarkStart w:id="460" w:name="_Toc191960612"/>
      <w:bookmarkStart w:id="461" w:name="_Toc191982193"/>
      <w:bookmarkStart w:id="462" w:name="_Toc233693107"/>
      <w:bookmarkStart w:id="463" w:name="_Toc238546458"/>
      <w:bookmarkStart w:id="464" w:name="_Toc238546763"/>
      <w:bookmarkStart w:id="465" w:name="_Toc238547892"/>
      <w:r>
        <w:rPr>
          <w:rStyle w:val="CharDivNo"/>
        </w:rPr>
        <w:t>Division 5</w:t>
      </w:r>
      <w:r>
        <w:t> — </w:t>
      </w:r>
      <w:r>
        <w:rPr>
          <w:rStyle w:val="CharDivText"/>
        </w:rPr>
        <w:t>Transport in mines</w:t>
      </w:r>
      <w:bookmarkEnd w:id="460"/>
      <w:bookmarkEnd w:id="461"/>
      <w:bookmarkEnd w:id="462"/>
      <w:bookmarkEnd w:id="463"/>
      <w:bookmarkEnd w:id="464"/>
      <w:bookmarkEnd w:id="465"/>
    </w:p>
    <w:p>
      <w:pPr>
        <w:pStyle w:val="Heading5"/>
      </w:pPr>
      <w:bookmarkStart w:id="466" w:name="_Toc238547893"/>
      <w:bookmarkStart w:id="467" w:name="_Toc233693108"/>
      <w:r>
        <w:rPr>
          <w:rStyle w:val="CharSectno"/>
        </w:rPr>
        <w:t>110</w:t>
      </w:r>
      <w:r>
        <w:t>.</w:t>
      </w:r>
      <w:r>
        <w:tab/>
        <w:t>Contravention of certain provisions of AE Code an offence</w:t>
      </w:r>
      <w:bookmarkEnd w:id="466"/>
      <w:bookmarkEnd w:id="467"/>
    </w:p>
    <w:p>
      <w:pPr>
        <w:pStyle w:val="Subsection"/>
      </w:pPr>
      <w:r>
        <w:tab/>
        <w:t>(1)</w:t>
      </w:r>
      <w:r>
        <w:tab/>
        <w:t>The following provisions of the AE Code apply to and in relation to the transport of an explosive by a vehicle in a mine —</w:t>
      </w:r>
    </w:p>
    <w:p>
      <w:pPr>
        <w:pStyle w:val="Indenta"/>
      </w:pPr>
      <w:r>
        <w:tab/>
        <w:t>(a)</w:t>
      </w:r>
      <w:r>
        <w:tab/>
        <w:t>clause 8.2.6(3) and, for the purposes of that clause, Chapter 7;</w:t>
      </w:r>
    </w:p>
    <w:p>
      <w:pPr>
        <w:pStyle w:val="Indenta"/>
      </w:pPr>
      <w:r>
        <w:tab/>
        <w:t>(b)</w:t>
      </w:r>
      <w:r>
        <w:tab/>
        <w:t xml:space="preserve">clause 8.3.3(1) and — </w:t>
      </w:r>
    </w:p>
    <w:p>
      <w:pPr>
        <w:pStyle w:val="Indenti"/>
      </w:pPr>
      <w:r>
        <w:tab/>
        <w:t>(i)</w:t>
      </w:r>
      <w:r>
        <w:tab/>
        <w:t>for the purposes of clause 8.3.3(1)(a), clause 6.2, notwithstanding that clause 8.3.3(1)(a) refers to Chapter 6; and</w:t>
      </w:r>
    </w:p>
    <w:p>
      <w:pPr>
        <w:pStyle w:val="Indenti"/>
      </w:pPr>
      <w:r>
        <w:tab/>
        <w:t>(ii)</w:t>
      </w:r>
      <w:r>
        <w:tab/>
        <w:t>for the purposes of clause 8.3.3(1)(b), clause 7.2;</w:t>
      </w:r>
    </w:p>
    <w:p>
      <w:pPr>
        <w:pStyle w:val="Indenta"/>
      </w:pPr>
      <w:r>
        <w:tab/>
        <w:t>(c)</w:t>
      </w:r>
      <w:r>
        <w:tab/>
        <w:t>clause 8.3.6 and, for the purposes of clause 8.3.6(1) and (2), clause 3.4.1(1) and (2), notwithstanding that clause 8.3.6(1) and (2) refer to clause 3.4;</w:t>
      </w:r>
    </w:p>
    <w:p>
      <w:pPr>
        <w:pStyle w:val="Indenta"/>
      </w:pPr>
      <w:r>
        <w:tab/>
        <w:t>(d)</w:t>
      </w:r>
      <w:r>
        <w:tab/>
        <w:t>clause 8.3.9(1) and (2).</w:t>
      </w:r>
    </w:p>
    <w:p>
      <w:pPr>
        <w:pStyle w:val="Subsection"/>
      </w:pPr>
      <w:r>
        <w:tab/>
        <w:t>(2)</w:t>
      </w:r>
      <w:r>
        <w:tab/>
        <w:t>If a provision of the AE Code referred to in subregulation (1) requires a person to do or not to do an act and the person contravenes the provision, the person commits an offence.</w:t>
      </w:r>
    </w:p>
    <w:p>
      <w:pPr>
        <w:pStyle w:val="Penstart"/>
      </w:pPr>
      <w:r>
        <w:tab/>
        <w:t>Penalty: a level 1 fine and imprisonment for 10 months.</w:t>
      </w:r>
    </w:p>
    <w:p>
      <w:pPr>
        <w:pStyle w:val="Heading2"/>
      </w:pPr>
      <w:bookmarkStart w:id="468" w:name="_Toc191960614"/>
      <w:bookmarkStart w:id="469" w:name="_Toc191982195"/>
      <w:bookmarkStart w:id="470" w:name="_Toc233693109"/>
      <w:bookmarkStart w:id="471" w:name="_Toc238546460"/>
      <w:bookmarkStart w:id="472" w:name="_Toc238546765"/>
      <w:bookmarkStart w:id="473" w:name="_Toc238547894"/>
      <w:r>
        <w:rPr>
          <w:rStyle w:val="CharPartNo"/>
        </w:rPr>
        <w:t>Part 11</w:t>
      </w:r>
      <w:r>
        <w:t> — </w:t>
      </w:r>
      <w:r>
        <w:rPr>
          <w:rStyle w:val="CharPartText"/>
        </w:rPr>
        <w:t>Supply of explosives</w:t>
      </w:r>
      <w:bookmarkEnd w:id="468"/>
      <w:bookmarkEnd w:id="469"/>
      <w:bookmarkEnd w:id="470"/>
      <w:bookmarkEnd w:id="471"/>
      <w:bookmarkEnd w:id="472"/>
      <w:bookmarkEnd w:id="473"/>
    </w:p>
    <w:p>
      <w:pPr>
        <w:pStyle w:val="Heading3"/>
      </w:pPr>
      <w:bookmarkStart w:id="474" w:name="_Toc191960615"/>
      <w:bookmarkStart w:id="475" w:name="_Toc191982196"/>
      <w:bookmarkStart w:id="476" w:name="_Toc233693110"/>
      <w:bookmarkStart w:id="477" w:name="_Toc238546461"/>
      <w:bookmarkStart w:id="478" w:name="_Toc238546766"/>
      <w:bookmarkStart w:id="479" w:name="_Toc238547895"/>
      <w:r>
        <w:rPr>
          <w:rStyle w:val="CharDivNo"/>
        </w:rPr>
        <w:t>Division 1</w:t>
      </w:r>
      <w:r>
        <w:t> — </w:t>
      </w:r>
      <w:r>
        <w:rPr>
          <w:rStyle w:val="CharDivText"/>
        </w:rPr>
        <w:t>Licensing requirements</w:t>
      </w:r>
      <w:bookmarkEnd w:id="474"/>
      <w:bookmarkEnd w:id="475"/>
      <w:bookmarkEnd w:id="476"/>
      <w:bookmarkEnd w:id="477"/>
      <w:bookmarkEnd w:id="478"/>
      <w:bookmarkEnd w:id="479"/>
    </w:p>
    <w:p>
      <w:pPr>
        <w:pStyle w:val="Heading5"/>
      </w:pPr>
      <w:bookmarkStart w:id="480" w:name="_Toc238547896"/>
      <w:bookmarkStart w:id="481" w:name="_Toc233693111"/>
      <w:r>
        <w:rPr>
          <w:rStyle w:val="CharSectno"/>
        </w:rPr>
        <w:t>111</w:t>
      </w:r>
      <w:r>
        <w:t>.</w:t>
      </w:r>
      <w:r>
        <w:tab/>
        <w:t>Unauthorised explosives</w:t>
      </w:r>
      <w:bookmarkEnd w:id="480"/>
      <w:bookmarkEnd w:id="481"/>
    </w:p>
    <w:p>
      <w:pPr>
        <w:pStyle w:val="Subsection"/>
      </w:pPr>
      <w:r>
        <w:tab/>
      </w:r>
      <w:r>
        <w:tab/>
        <w:t>A person who supplies an explosive that is not an authorised explosive to another commits an offence.</w:t>
      </w:r>
    </w:p>
    <w:p>
      <w:pPr>
        <w:pStyle w:val="NotesPerm"/>
      </w:pPr>
      <w:r>
        <w:t xml:space="preserve"> </w:t>
      </w:r>
      <w:r>
        <w:tab/>
        <w:t>Note: the Act s. 11 (Unlicensed person involved with dangerous goods).</w:t>
      </w:r>
    </w:p>
    <w:p>
      <w:pPr>
        <w:pStyle w:val="Heading5"/>
      </w:pPr>
      <w:bookmarkStart w:id="482" w:name="_Toc238547897"/>
      <w:bookmarkStart w:id="483" w:name="_Toc233693112"/>
      <w:r>
        <w:rPr>
          <w:rStyle w:val="CharSectno"/>
        </w:rPr>
        <w:t>112</w:t>
      </w:r>
      <w:r>
        <w:t>.</w:t>
      </w:r>
      <w:r>
        <w:tab/>
        <w:t>Authorised explosives, licences authorising supply</w:t>
      </w:r>
      <w:bookmarkEnd w:id="482"/>
      <w:bookmarkEnd w:id="483"/>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 115 or 116 and supplies the explosive in accordance with that regulation; or</w:t>
      </w:r>
    </w:p>
    <w:p>
      <w:pPr>
        <w:pStyle w:val="Indenta"/>
      </w:pPr>
      <w:r>
        <w:tab/>
        <w:t>(c)</w:t>
      </w:r>
      <w:r>
        <w:tab/>
        <w:t>in the case of a person who is a secure employee of the holder of an explosives supply licence —</w:t>
      </w:r>
    </w:p>
    <w:p>
      <w:pPr>
        <w:pStyle w:val="Indenti"/>
      </w:pPr>
      <w:r>
        <w:tab/>
        <w:t>(i)</w:t>
      </w:r>
      <w:r>
        <w:tab/>
        <w:t>the supply is authorised by the licence; and</w:t>
      </w:r>
    </w:p>
    <w:p>
      <w:pPr>
        <w:pStyle w:val="Indenti"/>
      </w:pPr>
      <w:r>
        <w:tab/>
        <w:t>(ii)</w:t>
      </w:r>
      <w:r>
        <w:tab/>
        <w:t>the person supplies the explosive in the course of his or her duties as such an employee;</w:t>
      </w:r>
    </w:p>
    <w:p>
      <w:pPr>
        <w:pStyle w:val="Indenta"/>
      </w:pPr>
      <w:r>
        <w:tab/>
      </w:r>
      <w:r>
        <w:tab/>
        <w:t>or</w:t>
      </w:r>
    </w:p>
    <w:p>
      <w:pPr>
        <w:pStyle w:val="Indenta"/>
      </w:pPr>
      <w:r>
        <w:tab/>
        <w:t>(d)</w:t>
      </w:r>
      <w:r>
        <w:tab/>
        <w:t>in the case of a person who is a secure employee of the holder of a licence referred to in regulation 113, 114, 115 or 116 —</w:t>
      </w:r>
    </w:p>
    <w:p>
      <w:pPr>
        <w:pStyle w:val="Indenti"/>
      </w:pPr>
      <w:r>
        <w:tab/>
        <w:t>(i)</w:t>
      </w:r>
      <w:r>
        <w:tab/>
        <w:t>the supply is in accordance with that regulation; and</w:t>
      </w:r>
    </w:p>
    <w:p>
      <w:pPr>
        <w:pStyle w:val="Indenti"/>
      </w:pPr>
      <w:r>
        <w:tab/>
        <w:t>(ii)</w:t>
      </w:r>
      <w:r>
        <w:tab/>
        <w:t>the person supplies the explosive in the course of his or her duties as such an employee;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 115 or 116 and the supply is in accordance with that regulation.</w:t>
      </w:r>
    </w:p>
    <w:p>
      <w:pPr>
        <w:pStyle w:val="NotesPerm"/>
      </w:pPr>
      <w:r>
        <w:tab/>
        <w:t>Note: the Act s. 11 (Unlicensed person involved with dangerous goods).</w:t>
      </w:r>
    </w:p>
    <w:p>
      <w:pPr>
        <w:pStyle w:val="Heading5"/>
      </w:pPr>
      <w:bookmarkStart w:id="484" w:name="_Toc238547898"/>
      <w:bookmarkStart w:id="485" w:name="_Toc233693113"/>
      <w:r>
        <w:rPr>
          <w:rStyle w:val="CharSectno"/>
        </w:rPr>
        <w:t>113</w:t>
      </w:r>
      <w:r>
        <w:t>.</w:t>
      </w:r>
      <w:r>
        <w:tab/>
        <w:t>Import/export licence authorises limited supply</w:t>
      </w:r>
      <w:bookmarkEnd w:id="484"/>
      <w:bookmarkEnd w:id="485"/>
    </w:p>
    <w:p>
      <w:pPr>
        <w:pStyle w:val="Subsection"/>
      </w:pPr>
      <w:r>
        <w:tab/>
      </w:r>
      <w:r>
        <w:tab/>
        <w:t>The holder of an explosives import/export licence is authorised, without holding an explosives supply licence, to supply to a person outside the State any explosive that the holder exports under the licence.</w:t>
      </w:r>
    </w:p>
    <w:p>
      <w:pPr>
        <w:pStyle w:val="Heading5"/>
      </w:pPr>
      <w:bookmarkStart w:id="486" w:name="_Toc238547899"/>
      <w:bookmarkStart w:id="487" w:name="_Toc233693114"/>
      <w:r>
        <w:rPr>
          <w:rStyle w:val="CharSectno"/>
        </w:rPr>
        <w:t>114</w:t>
      </w:r>
      <w:r>
        <w:t>.</w:t>
      </w:r>
      <w:r>
        <w:tab/>
        <w:t>Explosives manufacture (MPU) licence authorises limited supply</w:t>
      </w:r>
      <w:bookmarkEnd w:id="486"/>
      <w:bookmarkEnd w:id="487"/>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488" w:name="_Toc238547900"/>
      <w:bookmarkStart w:id="489" w:name="_Toc233693115"/>
      <w:r>
        <w:rPr>
          <w:rStyle w:val="CharSectno"/>
        </w:rPr>
        <w:t>115</w:t>
      </w:r>
      <w:r>
        <w:t>.</w:t>
      </w:r>
      <w:r>
        <w:tab/>
        <w:t>Explosives transport licence authorises limited supply</w:t>
      </w:r>
      <w:bookmarkEnd w:id="488"/>
      <w:bookmarkEnd w:id="489"/>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490" w:name="_Toc238547901"/>
      <w:bookmarkStart w:id="491" w:name="_Toc233693116"/>
      <w:r>
        <w:rPr>
          <w:rStyle w:val="CharSectno"/>
        </w:rPr>
        <w:t>116</w:t>
      </w:r>
      <w:r>
        <w:t>.</w:t>
      </w:r>
      <w:r>
        <w:tab/>
        <w:t>Explosives driver licence authorises limited supply</w:t>
      </w:r>
      <w:bookmarkEnd w:id="490"/>
      <w:bookmarkEnd w:id="491"/>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492" w:name="_Toc191960622"/>
      <w:bookmarkStart w:id="493" w:name="_Toc191982203"/>
      <w:bookmarkStart w:id="494" w:name="_Toc233693117"/>
      <w:bookmarkStart w:id="495" w:name="_Toc238546468"/>
      <w:bookmarkStart w:id="496" w:name="_Toc238546773"/>
      <w:bookmarkStart w:id="497" w:name="_Toc238547902"/>
      <w:r>
        <w:rPr>
          <w:rStyle w:val="CharDivNo"/>
        </w:rPr>
        <w:t>Division 2</w:t>
      </w:r>
      <w:r>
        <w:t> — </w:t>
      </w:r>
      <w:r>
        <w:rPr>
          <w:rStyle w:val="CharDivText"/>
        </w:rPr>
        <w:t>Supplying explosives</w:t>
      </w:r>
      <w:bookmarkEnd w:id="492"/>
      <w:bookmarkEnd w:id="493"/>
      <w:bookmarkEnd w:id="494"/>
      <w:bookmarkEnd w:id="495"/>
      <w:bookmarkEnd w:id="496"/>
      <w:bookmarkEnd w:id="497"/>
    </w:p>
    <w:p>
      <w:pPr>
        <w:pStyle w:val="Heading5"/>
      </w:pPr>
      <w:bookmarkStart w:id="498" w:name="_Toc238547903"/>
      <w:bookmarkStart w:id="499" w:name="_Toc233693118"/>
      <w:r>
        <w:rPr>
          <w:rStyle w:val="CharSectno"/>
        </w:rPr>
        <w:t>117</w:t>
      </w:r>
      <w:r>
        <w:t>.</w:t>
      </w:r>
      <w:r>
        <w:tab/>
        <w:t>Supply to unauthorised people prohibited</w:t>
      </w:r>
      <w:bookmarkEnd w:id="498"/>
      <w:bookmarkEnd w:id="499"/>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500" w:name="_Toc238547904"/>
      <w:bookmarkStart w:id="501" w:name="_Toc233693119"/>
      <w:r>
        <w:rPr>
          <w:rStyle w:val="CharSectno"/>
        </w:rPr>
        <w:t>118</w:t>
      </w:r>
      <w:r>
        <w:t>.</w:t>
      </w:r>
      <w:r>
        <w:tab/>
        <w:t>Suppliers, duties when supplying</w:t>
      </w:r>
      <w:bookmarkEnd w:id="500"/>
      <w:bookmarkEnd w:id="501"/>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bCs/>
        </w:rPr>
        <w:t>“A”</w:t>
      </w:r>
      <w:r>
        <w:t>)</w:t>
      </w:r>
      <w:r>
        <w:rPr>
          <w:bCs/>
        </w:rPr>
        <w:t xml:space="preserve"> </w:t>
      </w:r>
      <w:r>
        <w:t>supplies an explosive to a person (</w:t>
      </w:r>
      <w:r>
        <w:rPr>
          <w:b/>
          <w:bCs/>
        </w:rPr>
        <w:t>“B”</w:t>
      </w:r>
      <w:r>
        <w:t xml:space="preserve">) </w:t>
      </w:r>
      <w:r>
        <w:rPr>
          <w:bCs/>
        </w:rPr>
        <w:t xml:space="preserve">and supplies it to a person </w:t>
      </w:r>
      <w:r>
        <w:t>(</w:t>
      </w:r>
      <w:r>
        <w:rPr>
          <w:b/>
        </w:rPr>
        <w:t>“C”</w:t>
      </w:r>
      <w:r>
        <w:rPr>
          <w:bCs/>
        </w:rPr>
        <w:t xml:space="preserve">) for delivery to B, the requirements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rPr>
        <w:t>“X”</w:t>
      </w:r>
      <w:r>
        <w:rPr>
          <w:bCs/>
        </w:rPr>
        <w:t xml:space="preserve">) </w:t>
      </w:r>
      <w:r>
        <w:t>must not supply a quantity of an authorised explosive to an individual (</w:t>
      </w:r>
      <w:r>
        <w:rPr>
          <w:b/>
        </w:rPr>
        <w:t>“Y”</w:t>
      </w:r>
      <w:r>
        <w:rPr>
          <w:bCs/>
        </w:rPr>
        <w:t>) unless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a driver’s licence issued in Australia; or</w:t>
      </w:r>
    </w:p>
    <w:p>
      <w:pPr>
        <w:pStyle w:val="Indenti"/>
      </w:pPr>
      <w:r>
        <w:tab/>
        <w:t>(iii)</w:t>
      </w:r>
      <w:r>
        <w:tab/>
        <w:t>a security card, or a written authorisation, that is valid under regulation 16,</w:t>
      </w:r>
    </w:p>
    <w:p>
      <w:pPr>
        <w:pStyle w:val="Indenta"/>
      </w:pPr>
      <w:r>
        <w:tab/>
      </w:r>
      <w:r>
        <w:tab/>
        <w:t>that shows Y’s photograph; and</w:t>
      </w:r>
    </w:p>
    <w:p>
      <w:pPr>
        <w:pStyle w:val="Indenta"/>
      </w:pPr>
      <w:r>
        <w:tab/>
        <w:t>(b)</w:t>
      </w:r>
      <w:r>
        <w:tab/>
        <w:t>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Subsection"/>
        <w:rPr>
          <w:bCs/>
        </w:rPr>
      </w:pPr>
      <w:r>
        <w:tab/>
        <w:t>(4)</w:t>
      </w:r>
      <w:r>
        <w:tab/>
        <w:t>A person (</w:t>
      </w:r>
      <w:r>
        <w:rPr>
          <w:b/>
        </w:rPr>
        <w:t>“X”</w:t>
      </w:r>
      <w:r>
        <w:rPr>
          <w:bCs/>
        </w:rPr>
        <w:t xml:space="preserve">) </w:t>
      </w:r>
      <w:r>
        <w:t>must not supply a quantity of an authorised explosive to a body corporate or partnership (</w:t>
      </w:r>
      <w:r>
        <w:rPr>
          <w:b/>
        </w:rPr>
        <w:t>“Y”</w:t>
      </w:r>
      <w:r>
        <w:rPr>
          <w:bCs/>
        </w:rPr>
        <w:t>) unless —</w:t>
      </w:r>
    </w:p>
    <w:p>
      <w:pPr>
        <w:pStyle w:val="Indenta"/>
      </w:pPr>
      <w:r>
        <w:tab/>
        <w:t>(a)</w:t>
      </w:r>
      <w:r>
        <w:tab/>
        <w:t>Y has produced to X, either at or within a reasonable period before the time of supply, 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Indenta"/>
      </w:pPr>
      <w:r>
        <w:tab/>
      </w:r>
      <w:r>
        <w:tab/>
        <w:t>and</w:t>
      </w:r>
    </w:p>
    <w:p>
      <w:pPr>
        <w:pStyle w:val="Indenta"/>
      </w:pPr>
      <w:r>
        <w:tab/>
        <w:t>(b)</w:t>
      </w:r>
      <w:r>
        <w:tab/>
        <w:t>the explosive is delivered to a secure employee of Y who shows X proof that he or she is a secure employee; and</w:t>
      </w:r>
    </w:p>
    <w:p>
      <w:pPr>
        <w:pStyle w:val="Indenta"/>
      </w:pPr>
      <w:r>
        <w:tab/>
        <w:t>(c)</w:t>
      </w:r>
      <w:r>
        <w:tab/>
        <w:t>X obtains the employee’s personal receipt.</w:t>
      </w:r>
    </w:p>
    <w:p>
      <w:pPr>
        <w:pStyle w:val="Penstart"/>
      </w:pPr>
      <w:r>
        <w:tab/>
        <w:t>Penalty: a level 1 fine and imprisonment for 10 months.</w:t>
      </w:r>
    </w:p>
    <w:p>
      <w:pPr>
        <w:pStyle w:val="Subsection"/>
      </w:pPr>
      <w:r>
        <w:tab/>
        <w:t>(5)</w:t>
      </w:r>
      <w:r>
        <w:tab/>
        <w:t>A person who supplies an authorised explosive to another person must, if the other person so requests, give the other person —</w:t>
      </w:r>
    </w:p>
    <w:p>
      <w:pPr>
        <w:pStyle w:val="Indenta"/>
      </w:pPr>
      <w:r>
        <w:tab/>
        <w:t>(a)</w:t>
      </w:r>
      <w:r>
        <w:tab/>
        <w:t>the MSDS for the explosive; and</w:t>
      </w:r>
    </w:p>
    <w:p>
      <w:pPr>
        <w:pStyle w:val="Indenta"/>
      </w:pPr>
      <w:r>
        <w:tab/>
        <w:t>(b)</w:t>
      </w:r>
      <w:r>
        <w:tab/>
        <w:t>any instructions issued by the manufacturer of the explosive about how to use it safely.</w:t>
      </w:r>
    </w:p>
    <w:p>
      <w:pPr>
        <w:pStyle w:val="Penstart"/>
      </w:pPr>
      <w:r>
        <w:tab/>
        <w:t>Penalty: a level 3 fine.</w:t>
      </w:r>
    </w:p>
    <w:p>
      <w:pPr>
        <w:pStyle w:val="Heading5"/>
      </w:pPr>
      <w:bookmarkStart w:id="502" w:name="_Toc238547905"/>
      <w:bookmarkStart w:id="503" w:name="_Toc233693120"/>
      <w:r>
        <w:rPr>
          <w:rStyle w:val="CharSectno"/>
        </w:rPr>
        <w:t>119</w:t>
      </w:r>
      <w:r>
        <w:t>.</w:t>
      </w:r>
      <w:r>
        <w:tab/>
        <w:t>Records to be kept by suppliers</w:t>
      </w:r>
      <w:bookmarkEnd w:id="502"/>
      <w:bookmarkEnd w:id="503"/>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504" w:name="_Toc238547906"/>
      <w:bookmarkStart w:id="505" w:name="_Toc233693121"/>
      <w:r>
        <w:rPr>
          <w:rStyle w:val="CharSectno"/>
        </w:rPr>
        <w:t>120</w:t>
      </w:r>
      <w:r>
        <w:t>.</w:t>
      </w:r>
      <w:r>
        <w:tab/>
        <w:t>Receiver of explosives not to mislead supplier</w:t>
      </w:r>
      <w:bookmarkEnd w:id="504"/>
      <w:bookmarkEnd w:id="505"/>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506" w:name="_Toc238547907"/>
      <w:bookmarkStart w:id="507" w:name="_Toc233693122"/>
      <w:r>
        <w:rPr>
          <w:rStyle w:val="CharSectno"/>
        </w:rPr>
        <w:t>121</w:t>
      </w:r>
      <w:r>
        <w:t>.</w:t>
      </w:r>
      <w:r>
        <w:tab/>
        <w:t>Sale in public prohibited</w:t>
      </w:r>
      <w:bookmarkEnd w:id="506"/>
      <w:bookmarkEnd w:id="507"/>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508" w:name="_Toc191960628"/>
      <w:bookmarkStart w:id="509" w:name="_Toc191982209"/>
      <w:bookmarkStart w:id="510" w:name="_Toc233693123"/>
      <w:bookmarkStart w:id="511" w:name="_Toc238546474"/>
      <w:bookmarkStart w:id="512" w:name="_Toc238546779"/>
      <w:bookmarkStart w:id="513" w:name="_Toc238547908"/>
      <w:r>
        <w:rPr>
          <w:rStyle w:val="CharPartNo"/>
        </w:rPr>
        <w:t>Part 12</w:t>
      </w:r>
      <w:r>
        <w:t> — </w:t>
      </w:r>
      <w:r>
        <w:rPr>
          <w:rStyle w:val="CharPartText"/>
        </w:rPr>
        <w:t>Use of explosives other than fireworks</w:t>
      </w:r>
      <w:bookmarkEnd w:id="508"/>
      <w:bookmarkEnd w:id="509"/>
      <w:bookmarkEnd w:id="510"/>
      <w:bookmarkEnd w:id="511"/>
      <w:bookmarkEnd w:id="512"/>
      <w:bookmarkEnd w:id="513"/>
    </w:p>
    <w:p>
      <w:pPr>
        <w:pStyle w:val="Heading3"/>
      </w:pPr>
      <w:bookmarkStart w:id="514" w:name="_Toc191960629"/>
      <w:bookmarkStart w:id="515" w:name="_Toc191982210"/>
      <w:bookmarkStart w:id="516" w:name="_Toc233693124"/>
      <w:bookmarkStart w:id="517" w:name="_Toc238546475"/>
      <w:bookmarkStart w:id="518" w:name="_Toc238546780"/>
      <w:bookmarkStart w:id="519" w:name="_Toc238547909"/>
      <w:r>
        <w:rPr>
          <w:rStyle w:val="CharDivNo"/>
        </w:rPr>
        <w:t>Division 1</w:t>
      </w:r>
      <w:r>
        <w:t> — </w:t>
      </w:r>
      <w:r>
        <w:rPr>
          <w:rStyle w:val="CharDivText"/>
        </w:rPr>
        <w:t>Preliminary</w:t>
      </w:r>
      <w:bookmarkEnd w:id="514"/>
      <w:bookmarkEnd w:id="515"/>
      <w:bookmarkEnd w:id="516"/>
      <w:bookmarkEnd w:id="517"/>
      <w:bookmarkEnd w:id="518"/>
      <w:bookmarkEnd w:id="519"/>
    </w:p>
    <w:p>
      <w:pPr>
        <w:pStyle w:val="Heading5"/>
      </w:pPr>
      <w:bookmarkStart w:id="520" w:name="_Toc238547910"/>
      <w:bookmarkStart w:id="521" w:name="_Toc233693125"/>
      <w:r>
        <w:rPr>
          <w:rStyle w:val="CharSectno"/>
        </w:rPr>
        <w:t>122</w:t>
      </w:r>
      <w:r>
        <w:t>.</w:t>
      </w:r>
      <w:r>
        <w:tab/>
        <w:t>Term used in this Part</w:t>
      </w:r>
      <w:bookmarkEnd w:id="520"/>
      <w:bookmarkEnd w:id="521"/>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522" w:name="_Toc238547911"/>
      <w:bookmarkStart w:id="523" w:name="_Toc233693126"/>
      <w:r>
        <w:rPr>
          <w:rStyle w:val="CharSectno"/>
        </w:rPr>
        <w:t>123</w:t>
      </w:r>
      <w:r>
        <w:t>.</w:t>
      </w:r>
      <w:r>
        <w:tab/>
        <w:t>Application of this Part</w:t>
      </w:r>
      <w:bookmarkEnd w:id="522"/>
      <w:bookmarkEnd w:id="523"/>
    </w:p>
    <w:p>
      <w:pPr>
        <w:pStyle w:val="Subsection"/>
        <w:keepNext/>
      </w:pPr>
      <w:r>
        <w:tab/>
      </w:r>
      <w:r>
        <w:tab/>
        <w:t>This Part does not apply to a firework.</w:t>
      </w:r>
    </w:p>
    <w:p>
      <w:pPr>
        <w:pStyle w:val="Heading3"/>
      </w:pPr>
      <w:bookmarkStart w:id="524" w:name="_Toc191960632"/>
      <w:bookmarkStart w:id="525" w:name="_Toc191982213"/>
      <w:bookmarkStart w:id="526" w:name="_Toc233693127"/>
      <w:bookmarkStart w:id="527" w:name="_Toc238546478"/>
      <w:bookmarkStart w:id="528" w:name="_Toc238546783"/>
      <w:bookmarkStart w:id="529" w:name="_Toc238547912"/>
      <w:r>
        <w:rPr>
          <w:rStyle w:val="CharDivNo"/>
        </w:rPr>
        <w:t>Division 2</w:t>
      </w:r>
      <w:r>
        <w:t> — </w:t>
      </w:r>
      <w:r>
        <w:rPr>
          <w:rStyle w:val="CharDivText"/>
        </w:rPr>
        <w:t>Licensing requirements</w:t>
      </w:r>
      <w:bookmarkEnd w:id="524"/>
      <w:bookmarkEnd w:id="525"/>
      <w:bookmarkEnd w:id="526"/>
      <w:bookmarkEnd w:id="527"/>
      <w:bookmarkEnd w:id="528"/>
      <w:bookmarkEnd w:id="529"/>
    </w:p>
    <w:p>
      <w:pPr>
        <w:pStyle w:val="Heading5"/>
      </w:pPr>
      <w:bookmarkStart w:id="530" w:name="_Toc238547913"/>
      <w:bookmarkStart w:id="531" w:name="_Toc233693128"/>
      <w:r>
        <w:rPr>
          <w:rStyle w:val="CharSectno"/>
        </w:rPr>
        <w:t>124</w:t>
      </w:r>
      <w:r>
        <w:t>.</w:t>
      </w:r>
      <w:r>
        <w:tab/>
        <w:t>Unauthorised explosives</w:t>
      </w:r>
      <w:bookmarkEnd w:id="530"/>
      <w:bookmarkEnd w:id="531"/>
    </w:p>
    <w:p>
      <w:pPr>
        <w:pStyle w:val="Subsection"/>
      </w:pPr>
      <w:r>
        <w:tab/>
      </w:r>
      <w:r>
        <w:tab/>
        <w:t>A person who uses an explosive that is not an authorised explosive must hold a test permit that authorises the person to use it.</w:t>
      </w:r>
    </w:p>
    <w:p>
      <w:pPr>
        <w:pStyle w:val="NotesPerm"/>
      </w:pPr>
      <w:r>
        <w:tab/>
        <w:t>Note: the Act s. 11 (Unlicensed person involved with dangerous goods).</w:t>
      </w:r>
    </w:p>
    <w:p>
      <w:pPr>
        <w:pStyle w:val="Heading5"/>
      </w:pPr>
      <w:bookmarkStart w:id="532" w:name="_Toc238547914"/>
      <w:bookmarkStart w:id="533" w:name="_Toc233693129"/>
      <w:r>
        <w:rPr>
          <w:rStyle w:val="CharSectno"/>
        </w:rPr>
        <w:t>125</w:t>
      </w:r>
      <w:r>
        <w:t>.</w:t>
      </w:r>
      <w:r>
        <w:tab/>
        <w:t>Authorised explosives, licences authorising use of</w:t>
      </w:r>
      <w:bookmarkEnd w:id="532"/>
      <w:bookmarkEnd w:id="533"/>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Subsection"/>
      </w:pPr>
      <w:r>
        <w:tab/>
        <w:t>(3)</w:t>
      </w:r>
      <w:r>
        <w:tab/>
        <w:t xml:space="preserve">It is a defence to a charge of an offence under subregulation (2) to prove — </w:t>
      </w:r>
    </w:p>
    <w:p>
      <w:pPr>
        <w:pStyle w:val="Indenta"/>
      </w:pPr>
      <w:r>
        <w:tab/>
        <w:t>(a)</w:t>
      </w:r>
      <w:r>
        <w:tab/>
        <w:t xml:space="preserve">that the explosive was used at a mine (as that term is defined in the </w:t>
      </w:r>
      <w:r>
        <w:rPr>
          <w:i/>
        </w:rPr>
        <w:t>Mines Safety and Inspection Act 1994</w:t>
      </w:r>
      <w:r>
        <w:t>) to blast rock or similar solid material in the course of the mine’s operation; and</w:t>
      </w:r>
    </w:p>
    <w:p>
      <w:pPr>
        <w:pStyle w:val="Indenta"/>
      </w:pPr>
      <w:r>
        <w:tab/>
        <w:t>(b)</w:t>
      </w:r>
      <w:r>
        <w:tab/>
        <w:t>that the explosive was used in the 12 months that begin on the day on which these regulations come into operation; and</w:t>
      </w:r>
    </w:p>
    <w:p>
      <w:pPr>
        <w:pStyle w:val="Indenta"/>
      </w:pPr>
      <w:r>
        <w:tab/>
        <w:t>(c)</w:t>
      </w:r>
      <w:r>
        <w:tab/>
        <w:t xml:space="preserve">that under the </w:t>
      </w:r>
      <w:r>
        <w:rPr>
          <w:i/>
        </w:rPr>
        <w:t>Mines Safety and Inspection Regulations 1995</w:t>
      </w:r>
      <w:r>
        <w:t xml:space="preserve"> regulation 8.12(1), as it was immediately before it was repealed, the accused person was recorded in a book kept at the mine as being competent to use explosives.</w:t>
      </w:r>
    </w:p>
    <w:p>
      <w:pPr>
        <w:pStyle w:val="NotesPerm"/>
      </w:pPr>
      <w:r>
        <w:tab/>
        <w:t>Note: the Act s. 11 (Unlicensed person involved with dangerous goods).</w:t>
      </w:r>
    </w:p>
    <w:p>
      <w:pPr>
        <w:pStyle w:val="Heading3"/>
      </w:pPr>
      <w:bookmarkStart w:id="534" w:name="_Toc191960635"/>
      <w:bookmarkStart w:id="535" w:name="_Toc191982216"/>
      <w:bookmarkStart w:id="536" w:name="_Toc233693130"/>
      <w:bookmarkStart w:id="537" w:name="_Toc238546481"/>
      <w:bookmarkStart w:id="538" w:name="_Toc238546786"/>
      <w:bookmarkStart w:id="539" w:name="_Toc238547915"/>
      <w:r>
        <w:rPr>
          <w:rStyle w:val="CharDivNo"/>
        </w:rPr>
        <w:t>Division 3</w:t>
      </w:r>
      <w:r>
        <w:t> — </w:t>
      </w:r>
      <w:r>
        <w:rPr>
          <w:rStyle w:val="CharDivText"/>
        </w:rPr>
        <w:t>General requirements</w:t>
      </w:r>
      <w:bookmarkEnd w:id="534"/>
      <w:bookmarkEnd w:id="535"/>
      <w:bookmarkEnd w:id="536"/>
      <w:bookmarkEnd w:id="537"/>
      <w:bookmarkEnd w:id="538"/>
      <w:bookmarkEnd w:id="539"/>
    </w:p>
    <w:p>
      <w:pPr>
        <w:pStyle w:val="Heading5"/>
      </w:pPr>
      <w:bookmarkStart w:id="540" w:name="_Toc238547916"/>
      <w:bookmarkStart w:id="541" w:name="_Toc233693131"/>
      <w:r>
        <w:rPr>
          <w:rStyle w:val="CharSectno"/>
        </w:rPr>
        <w:t>126</w:t>
      </w:r>
      <w:r>
        <w:t>.</w:t>
      </w:r>
      <w:r>
        <w:tab/>
        <w:t>Occupier’s permission needed for use</w:t>
      </w:r>
      <w:bookmarkEnd w:id="540"/>
      <w:bookmarkEnd w:id="541"/>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542" w:name="_Toc238547917"/>
      <w:bookmarkStart w:id="543" w:name="_Toc233693132"/>
      <w:r>
        <w:rPr>
          <w:rStyle w:val="CharSectno"/>
        </w:rPr>
        <w:t>127</w:t>
      </w:r>
      <w:r>
        <w:t>.</w:t>
      </w:r>
      <w:r>
        <w:tab/>
        <w:t>Manufacturer’s instructions for use to be followed</w:t>
      </w:r>
      <w:bookmarkEnd w:id="542"/>
      <w:bookmarkEnd w:id="543"/>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544" w:name="_Toc238547918"/>
      <w:bookmarkStart w:id="545" w:name="_Toc233693133"/>
      <w:r>
        <w:rPr>
          <w:rStyle w:val="CharSectno"/>
        </w:rPr>
        <w:t>128</w:t>
      </w:r>
      <w:r>
        <w:t>.</w:t>
      </w:r>
      <w:r>
        <w:tab/>
        <w:t>Children using explosives</w:t>
      </w:r>
      <w:bookmarkEnd w:id="544"/>
      <w:bookmarkEnd w:id="545"/>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546" w:name="_Toc191960639"/>
      <w:bookmarkStart w:id="547" w:name="_Toc191982220"/>
      <w:bookmarkStart w:id="548" w:name="_Toc233693134"/>
      <w:bookmarkStart w:id="549" w:name="_Toc238546485"/>
      <w:bookmarkStart w:id="550" w:name="_Toc238546790"/>
      <w:bookmarkStart w:id="551" w:name="_Toc238547919"/>
      <w:r>
        <w:rPr>
          <w:rStyle w:val="CharDivNo"/>
        </w:rPr>
        <w:t>Division 4</w:t>
      </w:r>
      <w:r>
        <w:t> — </w:t>
      </w:r>
      <w:r>
        <w:rPr>
          <w:rStyle w:val="CharDivText"/>
        </w:rPr>
        <w:t>Using explosives to blast, damage, destroy or demolish</w:t>
      </w:r>
      <w:bookmarkEnd w:id="546"/>
      <w:bookmarkEnd w:id="547"/>
      <w:bookmarkEnd w:id="548"/>
      <w:bookmarkEnd w:id="549"/>
      <w:bookmarkEnd w:id="550"/>
      <w:bookmarkEnd w:id="551"/>
    </w:p>
    <w:p>
      <w:pPr>
        <w:pStyle w:val="Heading5"/>
      </w:pPr>
      <w:bookmarkStart w:id="552" w:name="_Toc238547920"/>
      <w:bookmarkStart w:id="553" w:name="_Toc233693135"/>
      <w:r>
        <w:rPr>
          <w:rStyle w:val="CharSectno"/>
        </w:rPr>
        <w:t>129</w:t>
      </w:r>
      <w:r>
        <w:t>.</w:t>
      </w:r>
      <w:r>
        <w:tab/>
        <w:t>No use without blast plan</w:t>
      </w:r>
      <w:bookmarkEnd w:id="552"/>
      <w:bookmarkEnd w:id="553"/>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NotesPerm"/>
      </w:pPr>
      <w:r>
        <w:tab/>
        <w:t xml:space="preserve">Note: under r. 192 a blast plan is a “safety management document” under the Act and accordingly the Act s. 10 (among others) applies in respect of it. </w:t>
      </w:r>
    </w:p>
    <w:p>
      <w:pPr>
        <w:pStyle w:val="Subsection"/>
      </w:pPr>
      <w:r>
        <w:tab/>
        <w:t>(2)</w:t>
      </w:r>
      <w:r>
        <w:tab/>
        <w:t>This regulation does not apply to the use of an explosive in the 12 months that begin on the day on which this regulation comes into operation.</w:t>
      </w:r>
    </w:p>
    <w:p>
      <w:pPr>
        <w:pStyle w:val="Heading5"/>
      </w:pPr>
      <w:bookmarkStart w:id="554" w:name="_Toc238547921"/>
      <w:bookmarkStart w:id="555" w:name="_Toc233693136"/>
      <w:r>
        <w:rPr>
          <w:rStyle w:val="CharSectno"/>
        </w:rPr>
        <w:t>130</w:t>
      </w:r>
      <w:r>
        <w:t>.</w:t>
      </w:r>
      <w:r>
        <w:tab/>
        <w:t>Blast plans, content of</w:t>
      </w:r>
      <w:bookmarkEnd w:id="554"/>
      <w:bookmarkEnd w:id="555"/>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 or comply with alternative safety measures for blast plans.</w:t>
      </w:r>
    </w:p>
    <w:p>
      <w:pPr>
        <w:pStyle w:val="Subsection"/>
      </w:pPr>
      <w:r>
        <w:tab/>
        <w:t>(2)</w:t>
      </w:r>
      <w:r>
        <w:tab/>
        <w:t>One blast plan may relate to multiple proposed uses of explosives if it is intended that they occur simultaneously or in rapid succession at one site.</w:t>
      </w:r>
    </w:p>
    <w:p>
      <w:pPr>
        <w:pStyle w:val="Heading5"/>
      </w:pPr>
      <w:bookmarkStart w:id="556" w:name="_Toc238547922"/>
      <w:bookmarkStart w:id="557" w:name="_Toc233693137"/>
      <w:r>
        <w:rPr>
          <w:rStyle w:val="CharSectno"/>
        </w:rPr>
        <w:t>131</w:t>
      </w:r>
      <w:r>
        <w:t>.</w:t>
      </w:r>
      <w:r>
        <w:tab/>
        <w:t>Blasting in townsite, permit required for</w:t>
      </w:r>
      <w:bookmarkEnd w:id="556"/>
      <w:bookmarkEnd w:id="557"/>
    </w:p>
    <w:p>
      <w:pPr>
        <w:pStyle w:val="Subsection"/>
        <w:keepNext/>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NotesPerm"/>
      </w:pPr>
      <w:r>
        <w:tab/>
        <w:t>Note: 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558" w:name="_Toc238547923"/>
      <w:bookmarkStart w:id="559" w:name="_Toc233693138"/>
      <w:r>
        <w:rPr>
          <w:rStyle w:val="CharSectno"/>
        </w:rPr>
        <w:t>132</w:t>
      </w:r>
      <w:r>
        <w:t>.</w:t>
      </w:r>
      <w:r>
        <w:tab/>
        <w:t>General requirements for use</w:t>
      </w:r>
      <w:bookmarkEnd w:id="558"/>
      <w:bookmarkEnd w:id="559"/>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employee of the holder complies with the prescribed requirements for or in connection with the use of an explosive, before using, when using and after using the explosive.</w:t>
      </w:r>
    </w:p>
    <w:p>
      <w:pPr>
        <w:pStyle w:val="Subsection"/>
      </w:pPr>
      <w:r>
        <w:tab/>
        <w:t>(4)</w:t>
      </w:r>
      <w:r>
        <w:tab/>
        <w:t>A secure employee of the holder of a shotfiring licence must obey any reasonable direction given to him or her by the holder before using, when using and after using an explosive.</w:t>
      </w:r>
    </w:p>
    <w:p>
      <w:pPr>
        <w:pStyle w:val="Penstart"/>
      </w:pPr>
      <w:r>
        <w:tab/>
        <w:t>Penalty: a level 2 fine.</w:t>
      </w:r>
    </w:p>
    <w:p>
      <w:pPr>
        <w:pStyle w:val="Heading5"/>
      </w:pPr>
      <w:bookmarkStart w:id="560" w:name="_Toc238547924"/>
      <w:bookmarkStart w:id="561" w:name="_Toc233693139"/>
      <w:r>
        <w:rPr>
          <w:rStyle w:val="CharSectno"/>
        </w:rPr>
        <w:t>133</w:t>
      </w:r>
      <w:r>
        <w:t>.</w:t>
      </w:r>
      <w:r>
        <w:tab/>
        <w:t>Blast plans to be obeyed etc.</w:t>
      </w:r>
      <w:bookmarkEnd w:id="560"/>
      <w:bookmarkEnd w:id="561"/>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562" w:name="_Toc238547925"/>
      <w:bookmarkStart w:id="563" w:name="_Toc233693140"/>
      <w:r>
        <w:rPr>
          <w:rStyle w:val="CharSectno"/>
        </w:rPr>
        <w:t>134</w:t>
      </w:r>
      <w:r>
        <w:t>.</w:t>
      </w:r>
      <w:r>
        <w:tab/>
        <w:t>Records to be kept about blasts</w:t>
      </w:r>
      <w:bookmarkEnd w:id="562"/>
      <w:bookmarkEnd w:id="563"/>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564" w:name="_Toc191960646"/>
      <w:bookmarkStart w:id="565" w:name="_Toc191982227"/>
      <w:bookmarkStart w:id="566" w:name="_Toc233693141"/>
      <w:bookmarkStart w:id="567" w:name="_Toc238546492"/>
      <w:bookmarkStart w:id="568" w:name="_Toc238546797"/>
      <w:bookmarkStart w:id="569" w:name="_Toc238547926"/>
      <w:r>
        <w:rPr>
          <w:rStyle w:val="CharDivNo"/>
        </w:rPr>
        <w:t>Division 5</w:t>
      </w:r>
      <w:r>
        <w:t> — </w:t>
      </w:r>
      <w:r>
        <w:rPr>
          <w:rStyle w:val="CharDivText"/>
        </w:rPr>
        <w:t>Use of explosives under pyrotechnics (special use) licence</w:t>
      </w:r>
      <w:bookmarkEnd w:id="564"/>
      <w:bookmarkEnd w:id="565"/>
      <w:bookmarkEnd w:id="566"/>
      <w:bookmarkEnd w:id="567"/>
      <w:bookmarkEnd w:id="568"/>
      <w:bookmarkEnd w:id="569"/>
    </w:p>
    <w:p>
      <w:pPr>
        <w:pStyle w:val="Heading5"/>
      </w:pPr>
      <w:bookmarkStart w:id="570" w:name="_Toc238547927"/>
      <w:bookmarkStart w:id="571" w:name="_Toc233693142"/>
      <w:r>
        <w:rPr>
          <w:rStyle w:val="CharSectno"/>
        </w:rPr>
        <w:t>135</w:t>
      </w:r>
      <w:r>
        <w:t>.</w:t>
      </w:r>
      <w:r>
        <w:tab/>
        <w:t>Holder of pyrotechnics (special use) licence, duties of</w:t>
      </w:r>
      <w:bookmarkEnd w:id="570"/>
      <w:bookmarkEnd w:id="571"/>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572" w:name="_Toc191960648"/>
      <w:bookmarkStart w:id="573" w:name="_Toc191982229"/>
      <w:bookmarkStart w:id="574" w:name="_Toc233693143"/>
      <w:bookmarkStart w:id="575" w:name="_Toc238546494"/>
      <w:bookmarkStart w:id="576" w:name="_Toc238546799"/>
      <w:bookmarkStart w:id="577" w:name="_Toc238547928"/>
      <w:r>
        <w:rPr>
          <w:rStyle w:val="CharPartNo"/>
        </w:rPr>
        <w:t>Part 13</w:t>
      </w:r>
      <w:r>
        <w:t> — </w:t>
      </w:r>
      <w:r>
        <w:rPr>
          <w:rStyle w:val="CharPartText"/>
        </w:rPr>
        <w:t>Use of fireworks</w:t>
      </w:r>
      <w:bookmarkEnd w:id="572"/>
      <w:bookmarkEnd w:id="573"/>
      <w:bookmarkEnd w:id="574"/>
      <w:bookmarkEnd w:id="575"/>
      <w:bookmarkEnd w:id="576"/>
      <w:bookmarkEnd w:id="577"/>
    </w:p>
    <w:p>
      <w:pPr>
        <w:pStyle w:val="Heading3"/>
      </w:pPr>
      <w:bookmarkStart w:id="578" w:name="_Toc191960649"/>
      <w:bookmarkStart w:id="579" w:name="_Toc191982230"/>
      <w:bookmarkStart w:id="580" w:name="_Toc233693144"/>
      <w:bookmarkStart w:id="581" w:name="_Toc238546495"/>
      <w:bookmarkStart w:id="582" w:name="_Toc238546800"/>
      <w:bookmarkStart w:id="583" w:name="_Toc238547929"/>
      <w:r>
        <w:rPr>
          <w:rStyle w:val="CharDivNo"/>
        </w:rPr>
        <w:t>Division 1</w:t>
      </w:r>
      <w:r>
        <w:t> — </w:t>
      </w:r>
      <w:r>
        <w:rPr>
          <w:rStyle w:val="CharDivText"/>
        </w:rPr>
        <w:t>Preliminary matters</w:t>
      </w:r>
      <w:bookmarkEnd w:id="578"/>
      <w:bookmarkEnd w:id="579"/>
      <w:bookmarkEnd w:id="580"/>
      <w:bookmarkEnd w:id="581"/>
      <w:bookmarkEnd w:id="582"/>
      <w:bookmarkEnd w:id="583"/>
    </w:p>
    <w:p>
      <w:pPr>
        <w:pStyle w:val="Heading5"/>
      </w:pPr>
      <w:bookmarkStart w:id="584" w:name="_Toc238547930"/>
      <w:bookmarkStart w:id="585" w:name="_Toc233693145"/>
      <w:r>
        <w:rPr>
          <w:rStyle w:val="CharSectno"/>
        </w:rPr>
        <w:t>136</w:t>
      </w:r>
      <w:r>
        <w:t>.</w:t>
      </w:r>
      <w:r>
        <w:tab/>
        <w:t>Terms used in this Part</w:t>
      </w:r>
      <w:bookmarkEnd w:id="584"/>
      <w:bookmarkEnd w:id="585"/>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the public or a section of the public, other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Heading3"/>
      </w:pPr>
      <w:bookmarkStart w:id="586" w:name="_Toc191960651"/>
      <w:bookmarkStart w:id="587" w:name="_Toc191982232"/>
      <w:bookmarkStart w:id="588" w:name="_Toc233693146"/>
      <w:bookmarkStart w:id="589" w:name="_Toc238546497"/>
      <w:bookmarkStart w:id="590" w:name="_Toc238546802"/>
      <w:bookmarkStart w:id="591" w:name="_Toc238547931"/>
      <w:r>
        <w:rPr>
          <w:rStyle w:val="CharDivNo"/>
        </w:rPr>
        <w:t>Division 2</w:t>
      </w:r>
      <w:r>
        <w:t> — </w:t>
      </w:r>
      <w:r>
        <w:rPr>
          <w:rStyle w:val="CharDivText"/>
        </w:rPr>
        <w:t>Licensing requirements</w:t>
      </w:r>
      <w:bookmarkEnd w:id="586"/>
      <w:bookmarkEnd w:id="587"/>
      <w:bookmarkEnd w:id="588"/>
      <w:bookmarkEnd w:id="589"/>
      <w:bookmarkEnd w:id="590"/>
      <w:bookmarkEnd w:id="591"/>
    </w:p>
    <w:p>
      <w:pPr>
        <w:pStyle w:val="Heading5"/>
      </w:pPr>
      <w:bookmarkStart w:id="592" w:name="_Toc238547932"/>
      <w:bookmarkStart w:id="593" w:name="_Toc233693147"/>
      <w:r>
        <w:rPr>
          <w:rStyle w:val="CharSectno"/>
        </w:rPr>
        <w:t>137</w:t>
      </w:r>
      <w:r>
        <w:t>.</w:t>
      </w:r>
      <w:r>
        <w:tab/>
        <w:t>Unauthorised explosives</w:t>
      </w:r>
      <w:bookmarkEnd w:id="592"/>
      <w:bookmarkEnd w:id="593"/>
    </w:p>
    <w:p>
      <w:pPr>
        <w:pStyle w:val="Subsection"/>
      </w:pPr>
      <w:r>
        <w:tab/>
      </w:r>
      <w:r>
        <w:tab/>
        <w:t>A person who uses a firework that is not an authorised explosive must hold a test permit that authorises the person to use it.</w:t>
      </w:r>
    </w:p>
    <w:p>
      <w:pPr>
        <w:pStyle w:val="NotesPerm"/>
      </w:pPr>
      <w:r>
        <w:tab/>
        <w:t>Note: the Act s. 11 (Unlicensed person involved with dangerous goods).</w:t>
      </w:r>
    </w:p>
    <w:p>
      <w:pPr>
        <w:pStyle w:val="Heading5"/>
      </w:pPr>
      <w:bookmarkStart w:id="594" w:name="_Toc238547933"/>
      <w:bookmarkStart w:id="595" w:name="_Toc233693148"/>
      <w:r>
        <w:rPr>
          <w:rStyle w:val="CharSectno"/>
        </w:rPr>
        <w:t>138</w:t>
      </w:r>
      <w:r>
        <w:t>.</w:t>
      </w:r>
      <w:r>
        <w:tab/>
        <w:t>Fireworks, licences authorising use of</w:t>
      </w:r>
      <w:bookmarkEnd w:id="594"/>
      <w:bookmarkEnd w:id="595"/>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Indenta"/>
      </w:pPr>
      <w:r>
        <w:tab/>
      </w:r>
      <w:r>
        <w:tab/>
        <w:t>and, if required by regulation 139 or 140, a permit or permits issued under those regulations.</w:t>
      </w:r>
    </w:p>
    <w:p>
      <w:pPr>
        <w:pStyle w:val="NotesPerm"/>
      </w:pPr>
      <w:r>
        <w:tab/>
        <w:t>Note: the Act s. 11 (Unlicensed person involved with dangerous goods).</w:t>
      </w:r>
    </w:p>
    <w:p>
      <w:pPr>
        <w:pStyle w:val="Heading5"/>
      </w:pPr>
      <w:bookmarkStart w:id="596" w:name="_Toc238547934"/>
      <w:bookmarkStart w:id="597" w:name="_Toc233693149"/>
      <w:r>
        <w:rPr>
          <w:rStyle w:val="CharSectno"/>
        </w:rPr>
        <w:t>139</w:t>
      </w:r>
      <w:r>
        <w:t>.</w:t>
      </w:r>
      <w:r>
        <w:tab/>
        <w:t>Fireworks designed for fireworks events, permits required to use</w:t>
      </w:r>
      <w:bookmarkEnd w:id="596"/>
      <w:bookmarkEnd w:id="597"/>
    </w:p>
    <w:p>
      <w:pPr>
        <w:pStyle w:val="Subsection"/>
      </w:pPr>
      <w:r>
        <w:tab/>
        <w:t>(1)</w:t>
      </w:r>
      <w:r>
        <w:tab/>
        <w:t>This regulation does not apply to the use of a firework at a fireworks event under a fireworks event permit.</w:t>
      </w:r>
    </w:p>
    <w:p>
      <w:pPr>
        <w:pStyle w:val="Subsection"/>
      </w:pPr>
      <w:r>
        <w:tab/>
        <w:t>(2)</w:t>
      </w:r>
      <w:r>
        <w:tab/>
        <w:t>A person who uses a firework that is designed to be used at a fireworks event must —</w:t>
      </w:r>
    </w:p>
    <w:p>
      <w:pPr>
        <w:pStyle w:val="Indenta"/>
      </w:pPr>
      <w:r>
        <w:tab/>
        <w:t>(a)</w:t>
      </w:r>
      <w:r>
        <w:tab/>
        <w:t>have a written permit issued under this regulation by FESA; and</w:t>
      </w:r>
    </w:p>
    <w:p>
      <w:pPr>
        <w:pStyle w:val="Indenta"/>
      </w:pPr>
      <w:r>
        <w:tab/>
        <w:t>(b)</w:t>
      </w:r>
      <w:r>
        <w:tab/>
        <w:t>have a written permit issued under this regulation by the local government of the district in which the firework will be used.</w:t>
      </w:r>
    </w:p>
    <w:p>
      <w:pPr>
        <w:pStyle w:val="NotesPerm"/>
      </w:pPr>
      <w:r>
        <w:tab/>
        <w:t>Note: the Act s. 11 (Unlicensed person involved with dangerous goods).</w:t>
      </w:r>
    </w:p>
    <w:p>
      <w:pPr>
        <w:pStyle w:val="Subsection"/>
      </w:pPr>
      <w:r>
        <w:tab/>
        <w:t>(3)</w:t>
      </w:r>
      <w:r>
        <w:tab/>
        <w:t>A person who wants a permit issued under this regulation must, at least 14 days before the date of the proposed use of the firework, give a fireworks notice signed by the person to —</w:t>
      </w:r>
    </w:p>
    <w:p>
      <w:pPr>
        <w:pStyle w:val="Indenta"/>
      </w:pPr>
      <w:r>
        <w:tab/>
        <w:t>(a)</w:t>
      </w:r>
      <w:r>
        <w:tab/>
        <w:t>FESA; and</w:t>
      </w:r>
    </w:p>
    <w:p>
      <w:pPr>
        <w:pStyle w:val="Indenta"/>
      </w:pPr>
      <w:r>
        <w:tab/>
        <w:t>(b)</w:t>
      </w:r>
      <w:r>
        <w:tab/>
        <w:t>the local government of the district in which the firework will be used.</w:t>
      </w:r>
    </w:p>
    <w:p>
      <w:pPr>
        <w:pStyle w:val="Subsection"/>
      </w:pPr>
      <w:r>
        <w:tab/>
        <w:t>(4)</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the required details of the firework that will be used;</w:t>
      </w:r>
    </w:p>
    <w:p>
      <w:pPr>
        <w:pStyle w:val="Indenta"/>
      </w:pPr>
      <w:r>
        <w:tab/>
        <w:t>(c)</w:t>
      </w:r>
      <w:r>
        <w:tab/>
        <w:t>the date and time when the firework will be used;</w:t>
      </w:r>
    </w:p>
    <w:p>
      <w:pPr>
        <w:pStyle w:val="Indenta"/>
      </w:pPr>
      <w:r>
        <w:tab/>
        <w:t>(d)</w:t>
      </w:r>
      <w:r>
        <w:tab/>
        <w:t>where the firework will be used;</w:t>
      </w:r>
    </w:p>
    <w:p>
      <w:pPr>
        <w:pStyle w:val="Indenta"/>
      </w:pPr>
      <w:r>
        <w:tab/>
        <w:t>(e)</w:t>
      </w:r>
      <w:r>
        <w:tab/>
        <w:t>the purpose of using the firework.</w:t>
      </w:r>
    </w:p>
    <w:p>
      <w:pPr>
        <w:pStyle w:val="Subsection"/>
      </w:pPr>
      <w:r>
        <w:tab/>
        <w:t>(5)</w:t>
      </w:r>
      <w:r>
        <w:tab/>
        <w:t>A fireworks notice may relate to the use of multiple fireworks at the one place.</w:t>
      </w:r>
    </w:p>
    <w:p>
      <w:pPr>
        <w:pStyle w:val="Subsection"/>
      </w:pPr>
      <w:r>
        <w:tab/>
        <w:t>(6)</w:t>
      </w:r>
      <w:r>
        <w:tab/>
        <w:t>On receiving a fireworks notice from a person, FESA or a local government may give the person —</w:t>
      </w:r>
    </w:p>
    <w:p>
      <w:pPr>
        <w:pStyle w:val="Indenta"/>
      </w:pPr>
      <w:r>
        <w:tab/>
        <w:t>(a)</w:t>
      </w:r>
      <w:r>
        <w:tab/>
        <w:t>a written notice that prohibits the proposed use of the firework; or</w:t>
      </w:r>
    </w:p>
    <w:p>
      <w:pPr>
        <w:pStyle w:val="Indenta"/>
      </w:pPr>
      <w:r>
        <w:tab/>
        <w:t>(b)</w:t>
      </w:r>
      <w:r>
        <w:tab/>
        <w:t>a written permit for the proposed use; or</w:t>
      </w:r>
    </w:p>
    <w:p>
      <w:pPr>
        <w:pStyle w:val="Indenta"/>
      </w:pPr>
      <w:r>
        <w:tab/>
        <w:t>(c)</w:t>
      </w:r>
      <w:r>
        <w:tab/>
        <w:t xml:space="preserve">a written permit for the proposed use that contains reasonable conditions for any of these purposes — </w:t>
      </w:r>
    </w:p>
    <w:p>
      <w:pPr>
        <w:pStyle w:val="Indenti"/>
      </w:pPr>
      <w:r>
        <w:tab/>
        <w:t>(i)</w:t>
      </w:r>
      <w:r>
        <w:tab/>
        <w:t>to ensure the safety of people, property or the environment in the vicinity of where the firework will be used;</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FESA or a local government may amend or cancel a permit it has issued under this regulation by advising the permit holder in writing.</w:t>
      </w:r>
    </w:p>
    <w:p>
      <w:pPr>
        <w:pStyle w:val="Subsection"/>
      </w:pPr>
      <w:r>
        <w:tab/>
        <w:t>(8)</w:t>
      </w:r>
      <w:r>
        <w:tab/>
        <w:t>A person who is given a permit under this regulation must keep it for 2 years after the date of the permit.</w:t>
      </w:r>
    </w:p>
    <w:p>
      <w:pPr>
        <w:pStyle w:val="Penstart"/>
      </w:pPr>
      <w:r>
        <w:tab/>
        <w:t>Penalty: a level 3 fine.</w:t>
      </w:r>
    </w:p>
    <w:p>
      <w:pPr>
        <w:pStyle w:val="Heading5"/>
      </w:pPr>
      <w:bookmarkStart w:id="598" w:name="_Toc238547935"/>
      <w:bookmarkStart w:id="599" w:name="_Toc233693150"/>
      <w:r>
        <w:rPr>
          <w:rStyle w:val="CharSectno"/>
        </w:rPr>
        <w:t>140</w:t>
      </w:r>
      <w:r>
        <w:t>.</w:t>
      </w:r>
      <w:r>
        <w:tab/>
        <w:t>Indoor fireworks, permit required to use</w:t>
      </w:r>
      <w:bookmarkEnd w:id="598"/>
      <w:bookmarkEnd w:id="599"/>
    </w:p>
    <w:p>
      <w:pPr>
        <w:pStyle w:val="Subsection"/>
        <w:keepNext/>
      </w:pPr>
      <w:r>
        <w:tab/>
        <w:t>(1)</w:t>
      </w:r>
      <w:r>
        <w:tab/>
        <w:t xml:space="preserve">This regulation does not apply to — </w:t>
      </w:r>
    </w:p>
    <w:p>
      <w:pPr>
        <w:pStyle w:val="Indenta"/>
      </w:pPr>
      <w:r>
        <w:tab/>
        <w:t>(a)</w:t>
      </w:r>
      <w:r>
        <w:tab/>
        <w:t>the use of a sparkler; or</w:t>
      </w:r>
    </w:p>
    <w:p>
      <w:pPr>
        <w:pStyle w:val="Indenta"/>
      </w:pPr>
      <w:r>
        <w:tab/>
        <w:t>(b)</w:t>
      </w:r>
      <w:r>
        <w:tab/>
        <w:t>the use of a cracker chain under regulation 144.</w:t>
      </w:r>
    </w:p>
    <w:p>
      <w:pPr>
        <w:pStyle w:val="Subsection"/>
      </w:pPr>
      <w:r>
        <w:tab/>
        <w:t>(2)</w:t>
      </w:r>
      <w:r>
        <w:tab/>
        <w:t>A person who uses a firework indoors must have a written permit issued under this regulation by FESA.</w:t>
      </w:r>
    </w:p>
    <w:p>
      <w:pPr>
        <w:pStyle w:val="NotesPerm"/>
      </w:pPr>
      <w:r>
        <w:tab/>
        <w:t>Note: the Act s. 11 (Unlicensed person involved with dangerous goods).</w:t>
      </w:r>
    </w:p>
    <w:p>
      <w:pPr>
        <w:pStyle w:val="Subsection"/>
      </w:pPr>
      <w:r>
        <w:tab/>
        <w:t>(3)</w:t>
      </w:r>
      <w:r>
        <w:tab/>
        <w:t>A person who wants a permit issued under this regulation must, at least 14 days before the date of the proposed use of the firework, give FESA an indoors fireworks notice signed by the person.</w:t>
      </w:r>
    </w:p>
    <w:p>
      <w:pPr>
        <w:pStyle w:val="Subsection"/>
      </w:pPr>
      <w:r>
        <w:tab/>
        <w:t>(4)</w:t>
      </w:r>
      <w:r>
        <w:tab/>
        <w:t>An indoors fireworks notice must be in an approved form and contain this information —</w:t>
      </w:r>
    </w:p>
    <w:p>
      <w:pPr>
        <w:pStyle w:val="Indenta"/>
      </w:pPr>
      <w:r>
        <w:tab/>
        <w:t>(a)</w:t>
      </w:r>
      <w:r>
        <w:tab/>
        <w:t>the details of the pyrotechnics (special use) licence, or fireworks (operator) licence, that the person holds;</w:t>
      </w:r>
    </w:p>
    <w:p>
      <w:pPr>
        <w:pStyle w:val="Indenta"/>
      </w:pPr>
      <w:r>
        <w:tab/>
        <w:t>(b)</w:t>
      </w:r>
      <w:r>
        <w:tab/>
        <w:t>the required details of the firework that will be used;</w:t>
      </w:r>
    </w:p>
    <w:p>
      <w:pPr>
        <w:pStyle w:val="Indenta"/>
      </w:pPr>
      <w:r>
        <w:tab/>
        <w:t>(c)</w:t>
      </w:r>
      <w:r>
        <w:tab/>
        <w:t>the date and time when the firework will be used;</w:t>
      </w:r>
    </w:p>
    <w:p>
      <w:pPr>
        <w:pStyle w:val="Indenta"/>
      </w:pPr>
      <w:r>
        <w:tab/>
        <w:t>(d)</w:t>
      </w:r>
      <w:r>
        <w:tab/>
        <w:t>where the firework will be used.</w:t>
      </w:r>
    </w:p>
    <w:p>
      <w:pPr>
        <w:pStyle w:val="Subsection"/>
      </w:pPr>
      <w:r>
        <w:tab/>
        <w:t>(5)</w:t>
      </w:r>
      <w:r>
        <w:tab/>
        <w:t>An indoors fireworks notice may relate to the use of multiple fireworks at the one place.</w:t>
      </w:r>
    </w:p>
    <w:p>
      <w:pPr>
        <w:pStyle w:val="Subsection"/>
      </w:pPr>
      <w:r>
        <w:tab/>
        <w:t>(6)</w:t>
      </w:r>
      <w:r>
        <w:tab/>
        <w:t>On receiving a fireworks notice from a person, FESA may give the person —</w:t>
      </w:r>
    </w:p>
    <w:p>
      <w:pPr>
        <w:pStyle w:val="Indenta"/>
      </w:pPr>
      <w:r>
        <w:tab/>
        <w:t>(a)</w:t>
      </w:r>
      <w:r>
        <w:tab/>
        <w:t>a written notice that prohibits the proposed use of the firework; or</w:t>
      </w:r>
    </w:p>
    <w:p>
      <w:pPr>
        <w:pStyle w:val="Indenta"/>
      </w:pPr>
      <w:r>
        <w:tab/>
        <w:t>(b)</w:t>
      </w:r>
      <w:r>
        <w:tab/>
        <w:t>a written permit for the proposed use; or</w:t>
      </w:r>
    </w:p>
    <w:p>
      <w:pPr>
        <w:pStyle w:val="Indenta"/>
      </w:pPr>
      <w:r>
        <w:tab/>
        <w:t>(c)</w:t>
      </w:r>
      <w:r>
        <w:tab/>
        <w:t>a written permit for the proposed use that contains reasonable conditions to ensure the safety of people and property at the place where the firework will be used.</w:t>
      </w:r>
    </w:p>
    <w:p>
      <w:pPr>
        <w:pStyle w:val="Subsection"/>
      </w:pPr>
      <w:r>
        <w:tab/>
        <w:t>(7)</w:t>
      </w:r>
      <w:r>
        <w:tab/>
        <w:t>FESA may amend or cancel a permit it has issued under this regulation by advising the permit holder in writing.</w:t>
      </w:r>
    </w:p>
    <w:p>
      <w:pPr>
        <w:pStyle w:val="Subsection"/>
      </w:pPr>
      <w:r>
        <w:tab/>
        <w:t>(8)</w:t>
      </w:r>
      <w:r>
        <w:tab/>
        <w:t>A person who is given a permit under this regulation must keep it for 2 years after the date of the permit.</w:t>
      </w:r>
    </w:p>
    <w:p>
      <w:pPr>
        <w:pStyle w:val="Penstart"/>
      </w:pPr>
      <w:r>
        <w:tab/>
        <w:t>Penalty: a level 3 fine.</w:t>
      </w:r>
    </w:p>
    <w:p>
      <w:pPr>
        <w:pStyle w:val="Heading3"/>
      </w:pPr>
      <w:bookmarkStart w:id="600" w:name="_Toc191960656"/>
      <w:bookmarkStart w:id="601" w:name="_Toc191982237"/>
      <w:bookmarkStart w:id="602" w:name="_Toc233693151"/>
      <w:bookmarkStart w:id="603" w:name="_Toc238546502"/>
      <w:bookmarkStart w:id="604" w:name="_Toc238546807"/>
      <w:bookmarkStart w:id="605" w:name="_Toc238547936"/>
      <w:r>
        <w:rPr>
          <w:rStyle w:val="CharDivNo"/>
        </w:rPr>
        <w:t>Division 3</w:t>
      </w:r>
      <w:r>
        <w:t> — </w:t>
      </w:r>
      <w:r>
        <w:rPr>
          <w:rStyle w:val="CharDivText"/>
        </w:rPr>
        <w:t>General requirements</w:t>
      </w:r>
      <w:bookmarkEnd w:id="600"/>
      <w:bookmarkEnd w:id="601"/>
      <w:bookmarkEnd w:id="602"/>
      <w:bookmarkEnd w:id="603"/>
      <w:bookmarkEnd w:id="604"/>
      <w:bookmarkEnd w:id="605"/>
    </w:p>
    <w:p>
      <w:pPr>
        <w:pStyle w:val="Heading5"/>
      </w:pPr>
      <w:bookmarkStart w:id="606" w:name="_Toc238547937"/>
      <w:bookmarkStart w:id="607" w:name="_Toc233693152"/>
      <w:r>
        <w:rPr>
          <w:rStyle w:val="CharSectno"/>
        </w:rPr>
        <w:t>141</w:t>
      </w:r>
      <w:r>
        <w:t>.</w:t>
      </w:r>
      <w:r>
        <w:tab/>
        <w:t>Occupier’s permission needed for use</w:t>
      </w:r>
      <w:bookmarkEnd w:id="606"/>
      <w:bookmarkEnd w:id="607"/>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608" w:name="_Toc238547938"/>
      <w:bookmarkStart w:id="609" w:name="_Toc233693153"/>
      <w:r>
        <w:rPr>
          <w:rStyle w:val="CharSectno"/>
        </w:rPr>
        <w:t>142</w:t>
      </w:r>
      <w:r>
        <w:t>.</w:t>
      </w:r>
      <w:r>
        <w:tab/>
        <w:t>Manufacturer’s instructions for use to be followed</w:t>
      </w:r>
      <w:bookmarkEnd w:id="608"/>
      <w:bookmarkEnd w:id="609"/>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610" w:name="_Toc238547939"/>
      <w:bookmarkStart w:id="611" w:name="_Toc233693154"/>
      <w:r>
        <w:rPr>
          <w:rStyle w:val="CharSectno"/>
        </w:rPr>
        <w:t>143</w:t>
      </w:r>
      <w:r>
        <w:t>.</w:t>
      </w:r>
      <w:r>
        <w:tab/>
        <w:t>General requirements for use</w:t>
      </w:r>
      <w:bookmarkEnd w:id="610"/>
      <w:bookmarkEnd w:id="611"/>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employee of the holder complies with the prescribed requirements for or in connection with the use of a firework, before using, when using and after using the firework.</w:t>
      </w:r>
    </w:p>
    <w:p>
      <w:pPr>
        <w:pStyle w:val="Subsection"/>
      </w:pPr>
      <w:r>
        <w:tab/>
        <w:t>(4)</w:t>
      </w:r>
      <w:r>
        <w:tab/>
        <w:t>A secure employee of the holder of a relevant licence must obey any reasonable direction given to him or her by the holder before using, when using and after using a firework.</w:t>
      </w:r>
    </w:p>
    <w:p>
      <w:pPr>
        <w:pStyle w:val="Penstart"/>
      </w:pPr>
      <w:r>
        <w:tab/>
        <w:t>Penalty: a level 2 fine.</w:t>
      </w:r>
    </w:p>
    <w:p>
      <w:pPr>
        <w:pStyle w:val="Heading5"/>
      </w:pPr>
      <w:bookmarkStart w:id="612" w:name="_Toc238547940"/>
      <w:bookmarkStart w:id="613" w:name="_Toc233693155"/>
      <w:r>
        <w:rPr>
          <w:rStyle w:val="CharSectno"/>
        </w:rPr>
        <w:t>144</w:t>
      </w:r>
      <w:r>
        <w:t>.</w:t>
      </w:r>
      <w:r>
        <w:tab/>
        <w:t>Cracker chains, use of</w:t>
      </w:r>
      <w:bookmarkEnd w:id="612"/>
      <w:bookmarkEnd w:id="613"/>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614" w:name="_Toc238547941"/>
      <w:bookmarkStart w:id="615" w:name="_Toc233693156"/>
      <w:r>
        <w:rPr>
          <w:rStyle w:val="CharSectno"/>
        </w:rPr>
        <w:t>145</w:t>
      </w:r>
      <w:r>
        <w:t>.</w:t>
      </w:r>
      <w:r>
        <w:tab/>
        <w:t>Records to be kept by fireworks contractors</w:t>
      </w:r>
      <w:bookmarkEnd w:id="614"/>
      <w:bookmarkEnd w:id="615"/>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616" w:name="_Toc191960662"/>
      <w:bookmarkStart w:id="617" w:name="_Toc191982243"/>
      <w:bookmarkStart w:id="618" w:name="_Toc233693157"/>
      <w:bookmarkStart w:id="619" w:name="_Toc238546508"/>
      <w:bookmarkStart w:id="620" w:name="_Toc238546813"/>
      <w:bookmarkStart w:id="621" w:name="_Toc238547942"/>
      <w:r>
        <w:rPr>
          <w:rStyle w:val="CharDivNo"/>
        </w:rPr>
        <w:t>Division 4</w:t>
      </w:r>
      <w:r>
        <w:t> — </w:t>
      </w:r>
      <w:r>
        <w:rPr>
          <w:rStyle w:val="CharDivText"/>
        </w:rPr>
        <w:t>Fireworks events</w:t>
      </w:r>
      <w:bookmarkEnd w:id="616"/>
      <w:bookmarkEnd w:id="617"/>
      <w:bookmarkEnd w:id="618"/>
      <w:bookmarkEnd w:id="619"/>
      <w:bookmarkEnd w:id="620"/>
      <w:bookmarkEnd w:id="621"/>
    </w:p>
    <w:p>
      <w:pPr>
        <w:pStyle w:val="Heading5"/>
      </w:pPr>
      <w:bookmarkStart w:id="622" w:name="_Toc238547943"/>
      <w:bookmarkStart w:id="623" w:name="_Toc233693158"/>
      <w:r>
        <w:rPr>
          <w:rStyle w:val="CharSectno"/>
        </w:rPr>
        <w:t>146</w:t>
      </w:r>
      <w:r>
        <w:t>.</w:t>
      </w:r>
      <w:r>
        <w:tab/>
        <w:t>Terms used in this Division</w:t>
      </w:r>
      <w:bookmarkEnd w:id="622"/>
      <w:bookmarkEnd w:id="623"/>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624" w:name="_Toc238547944"/>
      <w:bookmarkStart w:id="625" w:name="_Toc233693159"/>
      <w:r>
        <w:rPr>
          <w:rStyle w:val="CharSectno"/>
        </w:rPr>
        <w:t>147</w:t>
      </w:r>
      <w:r>
        <w:t>.</w:t>
      </w:r>
      <w:r>
        <w:tab/>
        <w:t>Fireworks used at fireworks events, requirements for</w:t>
      </w:r>
      <w:bookmarkEnd w:id="624"/>
      <w:bookmarkEnd w:id="625"/>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626" w:name="_Toc238547945"/>
      <w:bookmarkStart w:id="627" w:name="_Toc233693160"/>
      <w:r>
        <w:rPr>
          <w:rStyle w:val="CharSectno"/>
        </w:rPr>
        <w:t>148</w:t>
      </w:r>
      <w:r>
        <w:t>.</w:t>
      </w:r>
      <w:r>
        <w:tab/>
        <w:t>Fireworks event permits, preliminary matters</w:t>
      </w:r>
      <w:bookmarkEnd w:id="626"/>
      <w:bookmarkEnd w:id="627"/>
    </w:p>
    <w:p>
      <w:pPr>
        <w:pStyle w:val="Subsection"/>
      </w:pPr>
      <w:r>
        <w:tab/>
        <w:t>(1)</w:t>
      </w:r>
      <w:r>
        <w:tab/>
        <w:t>Only the holder of a fireworks contractor licence can apply for a fireworks event permit.</w:t>
      </w:r>
    </w:p>
    <w:p>
      <w:pPr>
        <w:pStyle w:val="Subsection"/>
      </w:pPr>
      <w:r>
        <w:tab/>
        <w:t>(2)</w:t>
      </w:r>
      <w:r>
        <w:tab/>
        <w:t>Before the holder of a fireworks contractor licence applies for a fireworks event permit, the holder must give a fireworks event notice signed by the holder to the following —</w:t>
      </w:r>
    </w:p>
    <w:p>
      <w:pPr>
        <w:pStyle w:val="Indenta"/>
      </w:pPr>
      <w:r>
        <w:tab/>
        <w:t>(a)</w:t>
      </w:r>
      <w:r>
        <w:tab/>
        <w:t>the Commissioner of Police;</w:t>
      </w:r>
    </w:p>
    <w:p>
      <w:pPr>
        <w:pStyle w:val="Indenta"/>
      </w:pPr>
      <w:r>
        <w:tab/>
        <w:t>(b)</w:t>
      </w:r>
      <w:r>
        <w:tab/>
        <w:t>FESA;</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On receiving a fireworks event notice, FESA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objects to it on the grounds that FESA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Heading5"/>
      </w:pPr>
      <w:bookmarkStart w:id="628" w:name="_Toc238547946"/>
      <w:bookmarkStart w:id="629" w:name="_Toc233693161"/>
      <w:r>
        <w:rPr>
          <w:rStyle w:val="CharSectno"/>
        </w:rPr>
        <w:t>149</w:t>
      </w:r>
      <w:r>
        <w:t>.</w:t>
      </w:r>
      <w:r>
        <w:tab/>
        <w:t>Fireworks event permit, application for</w:t>
      </w:r>
      <w:bookmarkEnd w:id="628"/>
      <w:bookmarkEnd w:id="629"/>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the fee; and</w:t>
      </w:r>
    </w:p>
    <w:p>
      <w:pPr>
        <w:pStyle w:val="Indenta"/>
      </w:pPr>
      <w:r>
        <w:tab/>
        <w:t>(f)</w:t>
      </w:r>
      <w:r>
        <w:tab/>
        <w:t>be made to the Chief Officer at least 14 days before the date of the proposed event, unless the Chief Officer otherwise permits.</w:t>
      </w:r>
    </w:p>
    <w:p>
      <w:pPr>
        <w:pStyle w:val="Subsection"/>
        <w:keepNext/>
      </w:pPr>
      <w:r>
        <w:tab/>
        <w:t>(2)</w:t>
      </w:r>
      <w:r>
        <w:tab/>
        <w:t xml:space="preserve">The approved form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rPr>
          <w:bCs/>
        </w:rPr>
      </w:pPr>
      <w:r>
        <w:tab/>
        <w:t>(iii)</w:t>
      </w:r>
      <w:r>
        <w:tab/>
        <w:t>the required details of each event firework</w:t>
      </w:r>
      <w:r>
        <w:rPr>
          <w:bCs/>
        </w:rPr>
        <w:t>;</w:t>
      </w:r>
    </w:p>
    <w:p>
      <w:pPr>
        <w:pStyle w:val="Indenti"/>
      </w:pPr>
      <w:r>
        <w:tab/>
        <w:t>(iv)</w:t>
      </w:r>
      <w:r>
        <w:tab/>
        <w:t>if any event firework will be propelled into the air before it is initiated, the diameter of the largest such firework;</w:t>
      </w:r>
    </w:p>
    <w:p>
      <w:pPr>
        <w:pStyle w:val="Indenta"/>
      </w:pPr>
      <w:r>
        <w:tab/>
        <w:t>(d)</w:t>
      </w:r>
      <w:r>
        <w:tab/>
        <w:t>the name and address of each person who will prepare the event fireworks at the site for use or who will use the fireworks;</w:t>
      </w:r>
    </w:p>
    <w:p>
      <w:pPr>
        <w:pStyle w:val="Indenta"/>
      </w:pPr>
      <w:r>
        <w:tab/>
        <w:t>(e)</w:t>
      </w:r>
      <w:r>
        <w:tab/>
        <w:t>any other information the form reasonably requires to be provided.</w:t>
      </w:r>
    </w:p>
    <w:p>
      <w:pPr>
        <w:pStyle w:val="Heading5"/>
      </w:pPr>
      <w:bookmarkStart w:id="630" w:name="_Toc238547947"/>
      <w:bookmarkStart w:id="631" w:name="_Toc233693162"/>
      <w:r>
        <w:rPr>
          <w:rStyle w:val="CharSectno"/>
        </w:rPr>
        <w:t>150</w:t>
      </w:r>
      <w:r>
        <w:t>.</w:t>
      </w:r>
      <w:r>
        <w:tab/>
        <w:t>Dealing with applications for fireworks event permits</w:t>
      </w:r>
      <w:bookmarkEnd w:id="630"/>
      <w:bookmarkEnd w:id="631"/>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pPr>
      <w:r>
        <w:tab/>
        <w:t>(7)</w:t>
      </w:r>
      <w:r>
        <w:tab/>
        <w:t>A fireworks event permit may be issued subject to conditions decided by the Chief Officer and specified in it.</w:t>
      </w:r>
    </w:p>
    <w:p>
      <w:pPr>
        <w:pStyle w:val="Subsection"/>
        <w:keepNext/>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pPr>
      <w:r>
        <w:tab/>
        <w:t>(f)</w:t>
      </w:r>
      <w:r>
        <w:tab/>
        <w:t>any condition that is reasonably necessary to minimise any risk in relation to the fireworks that will be used in the event in relation to people, property and the environment;</w:t>
      </w:r>
    </w:p>
    <w:p>
      <w:pPr>
        <w:pStyle w:val="Indenta"/>
      </w:pPr>
      <w:r>
        <w:tab/>
        <w:t>(g)</w:t>
      </w:r>
      <w:r>
        <w:tab/>
        <w:t>any reasonable condition specified in a response made by a person under regulation 148;</w:t>
      </w:r>
    </w:p>
    <w:p>
      <w:pPr>
        <w:pStyle w:val="Indenta"/>
      </w:pPr>
      <w:r>
        <w:tab/>
        <w:t>(h)</w:t>
      </w:r>
      <w:r>
        <w:tab/>
        <w:t xml:space="preserve">any condition — </w:t>
      </w:r>
    </w:p>
    <w:p>
      <w:pPr>
        <w:pStyle w:val="Indenti"/>
      </w:pPr>
      <w:r>
        <w:tab/>
        <w:t>(i)</w:t>
      </w:r>
      <w:r>
        <w:tab/>
        <w:t>to ensure people in the vicinity of the proposed event are notified of it;</w:t>
      </w:r>
    </w:p>
    <w:p>
      <w:pPr>
        <w:pStyle w:val="Indenti"/>
      </w:pPr>
      <w:r>
        <w:tab/>
        <w:t>(ii)</w:t>
      </w:r>
      <w:r>
        <w:tab/>
        <w:t>to minimise any disturbance of those people.</w:t>
      </w:r>
    </w:p>
    <w:p>
      <w:pPr>
        <w:pStyle w:val="Subsection"/>
      </w:pPr>
      <w:r>
        <w:tab/>
        <w:t>(9)</w:t>
      </w:r>
      <w:r>
        <w:tab/>
        <w:t>The Chief Officer must give an applicant written notice of a decision made under this regulation as soon as practicable after it is made.</w:t>
      </w:r>
    </w:p>
    <w:p>
      <w:pPr>
        <w:pStyle w:val="Heading5"/>
      </w:pPr>
      <w:bookmarkStart w:id="632" w:name="_Toc238547948"/>
      <w:bookmarkStart w:id="633" w:name="_Toc233693163"/>
      <w:r>
        <w:rPr>
          <w:rStyle w:val="CharSectno"/>
        </w:rPr>
        <w:t>151</w:t>
      </w:r>
      <w:r>
        <w:t>.</w:t>
      </w:r>
      <w:r>
        <w:tab/>
        <w:t>Amending, suspending and cancelling fireworks event permits</w:t>
      </w:r>
      <w:bookmarkEnd w:id="632"/>
      <w:bookmarkEnd w:id="633"/>
    </w:p>
    <w:p>
      <w:pPr>
        <w:pStyle w:val="Subsection"/>
      </w:pPr>
      <w:r>
        <w:tab/>
      </w:r>
      <w:r>
        <w:tab/>
        <w:t>The Chief Officer may amend, suspend or cancel a fireworks event permit by advising the permit holder in writing.</w:t>
      </w:r>
    </w:p>
    <w:p>
      <w:pPr>
        <w:pStyle w:val="Heading5"/>
      </w:pPr>
      <w:bookmarkStart w:id="634" w:name="_Toc238547949"/>
      <w:bookmarkStart w:id="635" w:name="_Toc233693164"/>
      <w:r>
        <w:rPr>
          <w:rStyle w:val="CharSectno"/>
        </w:rPr>
        <w:t>152</w:t>
      </w:r>
      <w:r>
        <w:t>.</w:t>
      </w:r>
      <w:r>
        <w:tab/>
        <w:t>Fireworks event, conduct of</w:t>
      </w:r>
      <w:bookmarkEnd w:id="634"/>
      <w:bookmarkEnd w:id="635"/>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636" w:name="_Toc238547950"/>
      <w:bookmarkStart w:id="637" w:name="_Toc233693165"/>
      <w:r>
        <w:rPr>
          <w:rStyle w:val="CharSectno"/>
        </w:rPr>
        <w:t>153</w:t>
      </w:r>
      <w:r>
        <w:t>.</w:t>
      </w:r>
      <w:r>
        <w:tab/>
        <w:t>Records to be kept by fireworks event permit holders</w:t>
      </w:r>
      <w:bookmarkEnd w:id="636"/>
      <w:bookmarkEnd w:id="637"/>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pPr>
      <w:r>
        <w:tab/>
        <w:t>(h)</w:t>
      </w:r>
      <w:r>
        <w:tab/>
        <w:t>the details of the holder’s fireworks contractor licence,</w:t>
      </w:r>
    </w:p>
    <w:p>
      <w:pPr>
        <w:pStyle w:val="Subsection"/>
      </w:pPr>
      <w:r>
        <w:tab/>
      </w:r>
      <w:r>
        <w:tab/>
        <w:t>and is kept for 2 years after the date of the event.</w:t>
      </w:r>
    </w:p>
    <w:p>
      <w:pPr>
        <w:pStyle w:val="Heading2"/>
      </w:pPr>
      <w:bookmarkStart w:id="638" w:name="_Toc191960671"/>
      <w:bookmarkStart w:id="639" w:name="_Toc191982252"/>
      <w:bookmarkStart w:id="640" w:name="_Toc233693166"/>
      <w:bookmarkStart w:id="641" w:name="_Toc238546517"/>
      <w:bookmarkStart w:id="642" w:name="_Toc238546822"/>
      <w:bookmarkStart w:id="643" w:name="_Toc238547951"/>
      <w:r>
        <w:rPr>
          <w:rStyle w:val="CharPartNo"/>
        </w:rPr>
        <w:t>Part 14</w:t>
      </w:r>
      <w:r>
        <w:rPr>
          <w:rStyle w:val="CharDivNo"/>
        </w:rPr>
        <w:t> </w:t>
      </w:r>
      <w:r>
        <w:t>—</w:t>
      </w:r>
      <w:r>
        <w:rPr>
          <w:rStyle w:val="CharDivText"/>
        </w:rPr>
        <w:t> </w:t>
      </w:r>
      <w:r>
        <w:rPr>
          <w:rStyle w:val="CharPartText"/>
        </w:rPr>
        <w:t>Disposal of explosives</w:t>
      </w:r>
      <w:bookmarkEnd w:id="638"/>
      <w:bookmarkEnd w:id="639"/>
      <w:bookmarkEnd w:id="640"/>
      <w:bookmarkEnd w:id="641"/>
      <w:bookmarkEnd w:id="642"/>
      <w:bookmarkEnd w:id="643"/>
    </w:p>
    <w:p>
      <w:pPr>
        <w:pStyle w:val="Heading5"/>
      </w:pPr>
      <w:bookmarkStart w:id="644" w:name="_Toc238547952"/>
      <w:bookmarkStart w:id="645" w:name="_Toc233693167"/>
      <w:r>
        <w:rPr>
          <w:rStyle w:val="CharSectno"/>
        </w:rPr>
        <w:t>154</w:t>
      </w:r>
      <w:r>
        <w:t>.</w:t>
      </w:r>
      <w:r>
        <w:tab/>
        <w:t>Who can dispose of explosives</w:t>
      </w:r>
      <w:bookmarkEnd w:id="644"/>
      <w:bookmarkEnd w:id="645"/>
    </w:p>
    <w:p>
      <w:pPr>
        <w:pStyle w:val="Subsection"/>
      </w:pPr>
      <w:r>
        <w:tab/>
      </w:r>
      <w:r>
        <w:tab/>
        <w:t>A person must not destroy or dispose of an explosive unless the person has a licence that authorises the person to use the explosive.</w:t>
      </w:r>
    </w:p>
    <w:p>
      <w:pPr>
        <w:pStyle w:val="Heading5"/>
      </w:pPr>
      <w:bookmarkStart w:id="646" w:name="_Toc238547953"/>
      <w:bookmarkStart w:id="647" w:name="_Toc233693168"/>
      <w:r>
        <w:rPr>
          <w:rStyle w:val="CharSectno"/>
        </w:rPr>
        <w:t>155</w:t>
      </w:r>
      <w:r>
        <w:t>.</w:t>
      </w:r>
      <w:r>
        <w:tab/>
        <w:t>Improper disposal of explosives</w:t>
      </w:r>
      <w:bookmarkEnd w:id="646"/>
      <w:bookmarkEnd w:id="647"/>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648" w:name="_Toc191960674"/>
      <w:bookmarkStart w:id="649" w:name="_Toc191982255"/>
      <w:bookmarkStart w:id="650" w:name="_Toc233693169"/>
      <w:bookmarkStart w:id="651" w:name="_Toc238546520"/>
      <w:bookmarkStart w:id="652" w:name="_Toc238546825"/>
      <w:bookmarkStart w:id="653" w:name="_Toc238547954"/>
      <w:r>
        <w:rPr>
          <w:rStyle w:val="CharPartNo"/>
        </w:rPr>
        <w:t>Part 15</w:t>
      </w:r>
      <w:r>
        <w:t> — </w:t>
      </w:r>
      <w:r>
        <w:rPr>
          <w:rStyle w:val="CharPartText"/>
        </w:rPr>
        <w:t>Licences</w:t>
      </w:r>
      <w:bookmarkEnd w:id="648"/>
      <w:bookmarkEnd w:id="649"/>
      <w:bookmarkEnd w:id="650"/>
      <w:bookmarkEnd w:id="651"/>
      <w:bookmarkEnd w:id="652"/>
      <w:bookmarkEnd w:id="653"/>
    </w:p>
    <w:p>
      <w:pPr>
        <w:pStyle w:val="Heading3"/>
      </w:pPr>
      <w:bookmarkStart w:id="654" w:name="_Toc191960675"/>
      <w:bookmarkStart w:id="655" w:name="_Toc191982256"/>
      <w:bookmarkStart w:id="656" w:name="_Toc233693170"/>
      <w:bookmarkStart w:id="657" w:name="_Toc238546521"/>
      <w:bookmarkStart w:id="658" w:name="_Toc238546826"/>
      <w:bookmarkStart w:id="659" w:name="_Toc238547955"/>
      <w:r>
        <w:rPr>
          <w:rStyle w:val="CharDivNo"/>
        </w:rPr>
        <w:t>Division 1</w:t>
      </w:r>
      <w:r>
        <w:t> — </w:t>
      </w:r>
      <w:r>
        <w:rPr>
          <w:rStyle w:val="CharDivText"/>
        </w:rPr>
        <w:t>Preliminary matters</w:t>
      </w:r>
      <w:bookmarkEnd w:id="654"/>
      <w:bookmarkEnd w:id="655"/>
      <w:bookmarkEnd w:id="656"/>
      <w:bookmarkEnd w:id="657"/>
      <w:bookmarkEnd w:id="658"/>
      <w:bookmarkEnd w:id="659"/>
    </w:p>
    <w:p>
      <w:pPr>
        <w:pStyle w:val="Heading5"/>
      </w:pPr>
      <w:bookmarkStart w:id="660" w:name="_Toc238547956"/>
      <w:bookmarkStart w:id="661" w:name="_Toc233693171"/>
      <w:r>
        <w:rPr>
          <w:rStyle w:val="CharSectno"/>
        </w:rPr>
        <w:t>156</w:t>
      </w:r>
      <w:r>
        <w:t>.</w:t>
      </w:r>
      <w:r>
        <w:tab/>
        <w:t>Terms used in this Part</w:t>
      </w:r>
      <w:bookmarkEnd w:id="660"/>
      <w:bookmarkEnd w:id="661"/>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662" w:name="_Toc191960677"/>
      <w:bookmarkStart w:id="663" w:name="_Toc191982258"/>
      <w:bookmarkStart w:id="664" w:name="_Toc233693172"/>
      <w:bookmarkStart w:id="665" w:name="_Toc238546523"/>
      <w:bookmarkStart w:id="666" w:name="_Toc238546828"/>
      <w:bookmarkStart w:id="667" w:name="_Toc238547957"/>
      <w:r>
        <w:rPr>
          <w:rStyle w:val="CharDivNo"/>
        </w:rPr>
        <w:t>Division 2</w:t>
      </w:r>
      <w:r>
        <w:t> — </w:t>
      </w:r>
      <w:r>
        <w:rPr>
          <w:rStyle w:val="CharDivText"/>
        </w:rPr>
        <w:t>General matters</w:t>
      </w:r>
      <w:bookmarkEnd w:id="662"/>
      <w:bookmarkEnd w:id="663"/>
      <w:bookmarkEnd w:id="664"/>
      <w:bookmarkEnd w:id="665"/>
      <w:bookmarkEnd w:id="666"/>
      <w:bookmarkEnd w:id="667"/>
    </w:p>
    <w:p>
      <w:pPr>
        <w:pStyle w:val="Heading5"/>
      </w:pPr>
      <w:bookmarkStart w:id="668" w:name="_Toc238547958"/>
      <w:bookmarkStart w:id="669" w:name="_Toc233693173"/>
      <w:r>
        <w:rPr>
          <w:rStyle w:val="CharSectno"/>
        </w:rPr>
        <w:t>157</w:t>
      </w:r>
      <w:r>
        <w:t>.</w:t>
      </w:r>
      <w:r>
        <w:tab/>
        <w:t>Applying for a licence</w:t>
      </w:r>
      <w:bookmarkEnd w:id="668"/>
      <w:bookmarkEnd w:id="669"/>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fee, unless a fee will be payable under regulation 184 if the licence is issued; and</w:t>
      </w:r>
    </w:p>
    <w:p>
      <w:pPr>
        <w:pStyle w:val="Indenta"/>
      </w:pPr>
      <w:r>
        <w:tab/>
        <w:t>(d)</w:t>
      </w:r>
      <w:r>
        <w:tab/>
        <w:t>be made to the Chief Officer.</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is the required age for the licence;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 xml:space="preserve">An application by a body corporate or a partnership must — </w:t>
      </w:r>
    </w:p>
    <w:p>
      <w:pPr>
        <w:pStyle w:val="Indenta"/>
      </w:pPr>
      <w:r>
        <w:tab/>
        <w:t>(a)</w:t>
      </w:r>
      <w:r>
        <w:tab/>
        <w:t>be accompanied by proof of the incorporation of the body or the existence of the partnership; and</w:t>
      </w:r>
    </w:p>
    <w:p>
      <w:pPr>
        <w:pStyle w:val="Indenta"/>
      </w:pPr>
      <w:r>
        <w:tab/>
        <w:t>(b)</w:t>
      </w:r>
      <w:r>
        <w:tab/>
        <w:t>specify at least one individual who is concerned in the management of, or employed by, the body or partnership who will be responsible for the safety and security of any explosive possessed by the body or partnership under any licence issued to it; and</w:t>
      </w:r>
    </w:p>
    <w:p>
      <w:pPr>
        <w:pStyle w:val="Indenta"/>
      </w:pPr>
      <w:r>
        <w:tab/>
        <w:t>(c)</w:t>
      </w:r>
      <w:r>
        <w:tab/>
        <w:t>state the individual’s personal details; and</w:t>
      </w:r>
    </w:p>
    <w:p>
      <w:pPr>
        <w:pStyle w:val="Indenta"/>
      </w:pPr>
      <w:r>
        <w:tab/>
        <w:t>(d)</w:t>
      </w:r>
      <w:r>
        <w:tab/>
        <w:t>be accompanied by evidence of the individual’s identity, age, and position with the body or partnership; and</w:t>
      </w:r>
    </w:p>
    <w:p>
      <w:pPr>
        <w:pStyle w:val="Indenta"/>
      </w:pPr>
      <w:r>
        <w:tab/>
        <w:t>(e)</w:t>
      </w:r>
      <w:r>
        <w:tab/>
        <w:t>disclose the details referred to in subregulation (4) in relation to the individual.</w:t>
      </w:r>
    </w:p>
    <w:p>
      <w:pPr>
        <w:pStyle w:val="Subsection"/>
      </w:pPr>
      <w:r>
        <w:tab/>
        <w:t>(6)</w:t>
      </w:r>
      <w:r>
        <w:tab/>
        <w:t>An application for a fireworks contractor licence must be accompanied by —</w:t>
      </w:r>
    </w:p>
    <w:p>
      <w:pPr>
        <w:pStyle w:val="Indenta"/>
      </w:pPr>
      <w:r>
        <w:tab/>
        <w:t>(a)</w:t>
      </w:r>
      <w:r>
        <w:tab/>
        <w:t>if the application is by an individual, proof that he or she holds a fireworks operator licence;</w:t>
      </w:r>
    </w:p>
    <w:p>
      <w:pPr>
        <w:pStyle w:val="Indenta"/>
      </w:pPr>
      <w:r>
        <w:tab/>
        <w:t>(b)</w:t>
      </w:r>
      <w:r>
        <w:tab/>
        <w:t>if the application is by a body corporate or a partnership, proof that at least one individual who is concerned in the management of, or employed by, the body or partnership holds a fireworks operator licence.</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Heading5"/>
      </w:pPr>
      <w:bookmarkStart w:id="670" w:name="_Toc238547959"/>
      <w:bookmarkStart w:id="671" w:name="_Toc233693174"/>
      <w:r>
        <w:rPr>
          <w:rStyle w:val="CharSectno"/>
        </w:rPr>
        <w:t>158</w:t>
      </w:r>
      <w:r>
        <w:t>.</w:t>
      </w:r>
      <w:r>
        <w:tab/>
        <w:t>Medical evidence</w:t>
      </w:r>
      <w:bookmarkEnd w:id="670"/>
      <w:bookmarkEnd w:id="671"/>
    </w:p>
    <w:p>
      <w:pPr>
        <w:pStyle w:val="Subsection"/>
      </w:pPr>
      <w:r>
        <w:tab/>
      </w:r>
      <w:r>
        <w:tab/>
        <w:t>The medical evidence for the purposes of an application for a licence, or a renewal application, by an individual is a report —</w:t>
      </w:r>
    </w:p>
    <w:p>
      <w:pPr>
        <w:pStyle w:val="Indenta"/>
      </w:pPr>
      <w:r>
        <w:tab/>
        <w:t>(a)</w:t>
      </w:r>
      <w:r>
        <w:tab/>
        <w:t xml:space="preserve">that is made by a medical practitioner registered under the </w:t>
      </w:r>
      <w:r>
        <w:rPr>
          <w:i/>
        </w:rPr>
        <w:t>Medical Act 1894</w:t>
      </w:r>
      <w:r>
        <w:t>, or under a law of another State or a Territory that substantially corresponds to that Act,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publication </w:t>
      </w:r>
      <w:r>
        <w:rPr>
          <w:i/>
          <w:iCs/>
        </w:rPr>
        <w:t>Assessing Fitness to Drive for Commercial and Private Vehicle Drivers, Medical Standards for Licensing and Clinical Management Guidelines</w:t>
      </w:r>
      <w:r>
        <w:t>, published by Austroads Incorporated (ISBN 0 85588 507 6).</w:t>
      </w:r>
    </w:p>
    <w:p>
      <w:pPr>
        <w:pStyle w:val="Heading5"/>
      </w:pPr>
      <w:bookmarkStart w:id="672" w:name="_Toc238547960"/>
      <w:bookmarkStart w:id="673" w:name="_Toc233693175"/>
      <w:r>
        <w:rPr>
          <w:rStyle w:val="CharSectno"/>
        </w:rPr>
        <w:t>159</w:t>
      </w:r>
      <w:r>
        <w:t>.</w:t>
      </w:r>
      <w:r>
        <w:tab/>
        <w:t>Competency evidence</w:t>
      </w:r>
      <w:bookmarkEnd w:id="672"/>
      <w:bookmarkEnd w:id="673"/>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674" w:name="_Toc238547961"/>
      <w:bookmarkStart w:id="675" w:name="_Toc233693176"/>
      <w:r>
        <w:rPr>
          <w:rStyle w:val="CharSectno"/>
        </w:rPr>
        <w:t>160</w:t>
      </w:r>
      <w:r>
        <w:t>.</w:t>
      </w:r>
      <w:r>
        <w:tab/>
        <w:t>Driver licence evidence</w:t>
      </w:r>
      <w:bookmarkEnd w:id="674"/>
      <w:bookmarkEnd w:id="675"/>
    </w:p>
    <w:p>
      <w:pPr>
        <w:pStyle w:val="Subsection"/>
      </w:pPr>
      <w:r>
        <w:tab/>
      </w:r>
      <w:r>
        <w:tab/>
        <w:t>The driver licence evidence for an application, or a renewal application, for an explosives driver licence is —</w:t>
      </w:r>
    </w:p>
    <w:p>
      <w:pPr>
        <w:pStyle w:val="Indenta"/>
      </w:pPr>
      <w:r>
        <w:tab/>
        <w:t>(a)</w:t>
      </w:r>
      <w:r>
        <w:tab/>
        <w:t xml:space="preserve">a copy of the licence that authorises the applicant to drive a vehicle under the </w:t>
      </w:r>
      <w:r>
        <w:rPr>
          <w:i/>
        </w:rPr>
        <w:t>Road Traffic Act 1974</w:t>
      </w:r>
      <w:r>
        <w:t>;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Heading5"/>
      </w:pPr>
      <w:bookmarkStart w:id="676" w:name="_Toc238547962"/>
      <w:bookmarkStart w:id="677" w:name="_Toc233693177"/>
      <w:r>
        <w:rPr>
          <w:rStyle w:val="CharSectno"/>
        </w:rPr>
        <w:t>161</w:t>
      </w:r>
      <w:r>
        <w:t>.</w:t>
      </w:r>
      <w:r>
        <w:tab/>
        <w:t>Explosives management plans</w:t>
      </w:r>
      <w:bookmarkEnd w:id="676"/>
      <w:bookmarkEnd w:id="677"/>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pPr>
      <w:r>
        <w:tab/>
        <w:t>(iv)</w:t>
      </w:r>
      <w:r>
        <w:tab/>
        <w:t xml:space="preserve">100 or more detonators, </w:t>
      </w:r>
    </w:p>
    <w:p>
      <w:pPr>
        <w:pStyle w:val="Indenta"/>
      </w:pPr>
      <w:r>
        <w:tab/>
      </w:r>
      <w:r>
        <w:tab/>
        <w:t>the matters in Schedule 10 clauses 2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Heading5"/>
      </w:pPr>
      <w:bookmarkStart w:id="678" w:name="_Toc238547963"/>
      <w:bookmarkStart w:id="679" w:name="_Toc233693178"/>
      <w:r>
        <w:rPr>
          <w:rStyle w:val="CharSectno"/>
        </w:rPr>
        <w:t>162</w:t>
      </w:r>
      <w:r>
        <w:t>.</w:t>
      </w:r>
      <w:r>
        <w:tab/>
        <w:t>Chief Officer’s powers for dealing with applications for licences</w:t>
      </w:r>
      <w:bookmarkEnd w:id="678"/>
      <w:bookmarkEnd w:id="679"/>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pPr>
      <w:r>
        <w:tab/>
        <w:t>(e)</w:t>
      </w:r>
      <w:r>
        <w:tab/>
        <w:t>if the applicant is an individual, to give the Chief Officer a report by —</w:t>
      </w:r>
    </w:p>
    <w:p>
      <w:pPr>
        <w:pStyle w:val="Indenti"/>
      </w:pPr>
      <w:r>
        <w:tab/>
        <w:t>(i)</w:t>
      </w:r>
      <w:r>
        <w:tab/>
        <w:t xml:space="preserve">a medical practitioner registered under the </w:t>
      </w:r>
      <w:r>
        <w:rPr>
          <w:i/>
        </w:rPr>
        <w:t>Medical Act 1894</w:t>
      </w:r>
      <w:r>
        <w:t>, or under a law of another State or a Territory that substantially corresponds to that Act, about the person’s physical health and fitness to engage safely in the activities that would be authorised by the licence;</w:t>
      </w:r>
    </w:p>
    <w:p>
      <w:pPr>
        <w:pStyle w:val="Indenti"/>
      </w:pPr>
      <w:r>
        <w:tab/>
        <w:t>(ii)</w:t>
      </w:r>
      <w:r>
        <w:tab/>
        <w:t xml:space="preserve">a psychologist registered under the </w:t>
      </w:r>
      <w:r>
        <w:rPr>
          <w:i/>
        </w:rPr>
        <w:t>Psychologists Act 2005</w:t>
      </w:r>
      <w:r>
        <w:t>, or under a law of another State or a Territory that substantially corresponds to that Act, about the person’s mental health and fitness to engage safely in the activities that would be authorised by the licence.</w:t>
      </w:r>
    </w:p>
    <w:p>
      <w:pPr>
        <w:pStyle w:val="Subsection"/>
      </w:pPr>
      <w:r>
        <w:tab/>
        <w:t>(2)</w:t>
      </w:r>
      <w:r>
        <w:tab/>
        <w:t>On an application for a licence, the Chief Officer may request —</w:t>
      </w:r>
    </w:p>
    <w:p>
      <w:pPr>
        <w:pStyle w:val="Indenta"/>
      </w:pPr>
      <w:r>
        <w:tab/>
        <w:t>(a)</w:t>
      </w:r>
      <w:r>
        <w:tab/>
        <w:t>if the applicant is an individual, the applicant; or</w:t>
      </w:r>
    </w:p>
    <w:p>
      <w:pPr>
        <w:pStyle w:val="Indenta"/>
      </w:pPr>
      <w:r>
        <w:tab/>
        <w:t>(b)</w:t>
      </w:r>
      <w:r>
        <w:tab/>
        <w:t>if the applicant is a body corporate or a partnership, the individual specified in the application under regulation 157(5)(b),</w:t>
      </w:r>
    </w:p>
    <w:p>
      <w:pPr>
        <w:pStyle w:val="Subsection"/>
      </w:pPr>
      <w:r>
        <w:tab/>
      </w:r>
      <w:r>
        <w:tab/>
        <w:t>to demonstrate that he or she is competent to engage safely in the activities that would be authorised by the licence and to keep any explosive possessed under the licence secure.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Heading5"/>
      </w:pPr>
      <w:bookmarkStart w:id="680" w:name="_Toc238547964"/>
      <w:bookmarkStart w:id="681" w:name="_Toc233693179"/>
      <w:r>
        <w:rPr>
          <w:rStyle w:val="CharSectno"/>
        </w:rPr>
        <w:t>163</w:t>
      </w:r>
      <w:r>
        <w:t>.</w:t>
      </w:r>
      <w:r>
        <w:tab/>
        <w:t>Licence for place that is or may be major hazard facility</w:t>
      </w:r>
      <w:bookmarkEnd w:id="680"/>
      <w:bookmarkEnd w:id="681"/>
    </w:p>
    <w:p>
      <w:pPr>
        <w:pStyle w:val="Subsection"/>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pPr>
      <w:r>
        <w:tab/>
        <w:t>(2)</w:t>
      </w:r>
      <w:r>
        <w:tab/>
        <w:t xml:space="preserve">If — </w:t>
      </w:r>
    </w:p>
    <w:p>
      <w:pPr>
        <w:pStyle w:val="Indenta"/>
      </w:pPr>
      <w:r>
        <w:tab/>
        <w:t>(a)</w:t>
      </w:r>
      <w:r>
        <w:tab/>
        <w:t>an application is made for an explosives manufacture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(3)</w:t>
      </w:r>
      <w:r>
        <w:tab/>
        <w:t xml:space="preserve">If — </w:t>
      </w:r>
    </w:p>
    <w:p>
      <w:pPr>
        <w:pStyle w:val="Indenta"/>
      </w:pPr>
      <w:r>
        <w:tab/>
        <w:t>(a)</w:t>
      </w:r>
      <w:r>
        <w:tab/>
        <w:t>an application is made for an explosives manufacture licence in respect of a dangerous goods site that, under the MHF Regulations, is not an MHF; but</w:t>
      </w:r>
    </w:p>
    <w:p>
      <w:pPr>
        <w:pStyle w:val="Indenta"/>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an MHF; or</w:t>
      </w:r>
    </w:p>
    <w:p>
      <w:pPr>
        <w:pStyle w:val="Indenta"/>
      </w:pPr>
      <w:r>
        <w:tab/>
        <w:t>(d)</w:t>
      </w:r>
      <w:r>
        <w:tab/>
        <w:t>the site is classified as an MHF and a safety report for the site is approved under those regulations.</w:t>
      </w:r>
    </w:p>
    <w:p>
      <w:pPr>
        <w:pStyle w:val="Heading5"/>
      </w:pPr>
      <w:bookmarkStart w:id="682" w:name="_Toc238547965"/>
      <w:bookmarkStart w:id="683" w:name="_Toc233693180"/>
      <w:r>
        <w:rPr>
          <w:rStyle w:val="CharSectno"/>
        </w:rPr>
        <w:t>164</w:t>
      </w:r>
      <w:r>
        <w:t>.</w:t>
      </w:r>
      <w:r>
        <w:tab/>
        <w:t>Deciding applications for licences</w:t>
      </w:r>
      <w:bookmarkEnd w:id="682"/>
      <w:bookmarkEnd w:id="683"/>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Indenta"/>
      </w:pPr>
      <w:r>
        <w:tab/>
        <w:t>(b)</w:t>
      </w:r>
      <w:r>
        <w:tab/>
        <w:t>that the applicant has a genuine need for the licence;</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that was issued not more than 5 years prior to the date of the application;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Indenta"/>
      </w:pPr>
      <w:r>
        <w:tab/>
        <w:t>(e)</w:t>
      </w:r>
      <w:r>
        <w:tab/>
        <w:t>if the applicant is a body corporate or a partnership, that each individual specified in the application under regulation 157(5)(b) —</w:t>
      </w:r>
    </w:p>
    <w:p>
      <w:pPr>
        <w:pStyle w:val="Indenti"/>
      </w:pPr>
      <w:r>
        <w:tab/>
        <w:t>(i)</w:t>
      </w:r>
      <w:r>
        <w:tab/>
        <w:t>has reached 18 years of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Subsection"/>
      </w:pPr>
      <w:r>
        <w:tab/>
        <w:t>(6)</w:t>
      </w:r>
      <w:r>
        <w:tab/>
        <w:t>In addition, on an application by a body corporate or a partnership, the Chief Officer must not issue a licence if he or she believes that any individual specified in the application under regulation 157(5)(b) is not competent to engage safely in the activities that would be authorised by the licence and to keep any explosive possessed under the licence secure.</w:t>
      </w:r>
    </w:p>
    <w:p>
      <w:pPr>
        <w:pStyle w:val="Subsection"/>
      </w:pPr>
      <w:r>
        <w:tab/>
        <w:t>(7)</w:t>
      </w:r>
      <w:r>
        <w:tab/>
        <w:t>The Chief Officer must give an applicant written notice of a decision made under this regulation as soon as practicable after it is made.</w:t>
      </w:r>
    </w:p>
    <w:p>
      <w:pPr>
        <w:pStyle w:val="Subsection"/>
      </w:pPr>
      <w:r>
        <w:tab/>
        <w:t>(8)</w:t>
      </w:r>
      <w:r>
        <w:tab/>
        <w:t>If the Chief Officer refuses an application for a licence, the applicant is entitled to a refund of the fee.</w:t>
      </w:r>
    </w:p>
    <w:p>
      <w:pPr>
        <w:pStyle w:val="Heading5"/>
      </w:pPr>
      <w:bookmarkStart w:id="684" w:name="_Toc238547966"/>
      <w:bookmarkStart w:id="685" w:name="_Toc233693181"/>
      <w:r>
        <w:rPr>
          <w:rStyle w:val="CharSectno"/>
        </w:rPr>
        <w:t>165</w:t>
      </w:r>
      <w:r>
        <w:t>.</w:t>
      </w:r>
      <w:r>
        <w:tab/>
        <w:t>Licences issued to bodies corporate and partnerships</w:t>
      </w:r>
      <w:bookmarkEnd w:id="684"/>
      <w:bookmarkEnd w:id="685"/>
    </w:p>
    <w:p>
      <w:pPr>
        <w:pStyle w:val="Subsection"/>
      </w:pPr>
      <w:r>
        <w:tab/>
        <w:t>(1)</w:t>
      </w:r>
      <w:r>
        <w:tab/>
        <w:t>A licence issued to a body corporate or a partnership must specify the personal details of at least one individual who is responsible for the safety and security of any explosive possessed by the body or partnership under any licence issued to it.</w:t>
      </w:r>
    </w:p>
    <w:p>
      <w:pPr>
        <w:pStyle w:val="Subsection"/>
      </w:pPr>
      <w:r>
        <w:tab/>
        <w:t>(2)</w:t>
      </w:r>
      <w:r>
        <w:tab/>
        <w:t>A body corporate or a partnership that holds a licence may at any time apply to have the licence amended so as to add, amend or remove the personal details of an individual responsible for the safety and security of any explosive possessed by the body or partnership under any licence issued to it.</w:t>
      </w:r>
    </w:p>
    <w:p>
      <w:pPr>
        <w:pStyle w:val="Subsection"/>
      </w:pPr>
      <w:r>
        <w:tab/>
        <w:t>(3)</w:t>
      </w:r>
      <w:r>
        <w:tab/>
        <w:t>The application must be made in accordance with regulation 172.</w:t>
      </w:r>
    </w:p>
    <w:p>
      <w:pPr>
        <w:pStyle w:val="Subsection"/>
      </w:pPr>
      <w:r>
        <w:tab/>
        <w:t>(4)</w:t>
      </w:r>
      <w:r>
        <w:tab/>
        <w:t>On such an application, the Chief Officer must not amend the licence unless satisfied —</w:t>
      </w:r>
    </w:p>
    <w:p>
      <w:pPr>
        <w:pStyle w:val="Indenta"/>
      </w:pPr>
      <w:r>
        <w:tab/>
        <w:t>(a)</w:t>
      </w:r>
      <w:r>
        <w:tab/>
        <w:t xml:space="preserve">the application is made in accordance with regulation 172; and </w:t>
      </w:r>
    </w:p>
    <w:p>
      <w:pPr>
        <w:pStyle w:val="Indenta"/>
      </w:pPr>
      <w:r>
        <w:tab/>
        <w:t>(b)</w:t>
      </w:r>
      <w:r>
        <w:tab/>
        <w:t xml:space="preserve">that any individual whose personal details are to be added to the licence — </w:t>
      </w:r>
    </w:p>
    <w:p>
      <w:pPr>
        <w:pStyle w:val="Indenti"/>
      </w:pPr>
      <w:r>
        <w:tab/>
        <w:t>(i)</w:t>
      </w:r>
      <w:r>
        <w:tab/>
        <w:t>has reached 18 years of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Subsection"/>
      </w:pPr>
      <w:r>
        <w:tab/>
        <w:t>(5)</w:t>
      </w:r>
      <w:r>
        <w:tab/>
        <w:t xml:space="preserve">A licence issued to a body corporate or a partnership ceases to have effect if every individual specified in the licence under this regulation — </w:t>
      </w:r>
    </w:p>
    <w:p>
      <w:pPr>
        <w:pStyle w:val="Indenta"/>
      </w:pPr>
      <w:r>
        <w:tab/>
        <w:t>(a)</w:t>
      </w:r>
      <w:r>
        <w:tab/>
        <w:t>ceases to be concerned in the management of, or employed by, the body or partnership; or</w:t>
      </w:r>
    </w:p>
    <w:p>
      <w:pPr>
        <w:pStyle w:val="Indenta"/>
      </w:pPr>
      <w:r>
        <w:tab/>
        <w:t>(b)</w:t>
      </w:r>
      <w:r>
        <w:tab/>
        <w:t>ceases to have a security clearance.</w:t>
      </w:r>
    </w:p>
    <w:p>
      <w:pPr>
        <w:pStyle w:val="Heading5"/>
      </w:pPr>
      <w:bookmarkStart w:id="686" w:name="_Toc238547967"/>
      <w:bookmarkStart w:id="687" w:name="_Toc233693182"/>
      <w:r>
        <w:rPr>
          <w:rStyle w:val="CharSectno"/>
        </w:rPr>
        <w:t>166</w:t>
      </w:r>
      <w:r>
        <w:t>.</w:t>
      </w:r>
      <w:r>
        <w:tab/>
        <w:t>Conditions of licences</w:t>
      </w:r>
      <w:bookmarkEnd w:id="686"/>
      <w:bookmarkEnd w:id="687"/>
    </w:p>
    <w:p>
      <w:pPr>
        <w:pStyle w:val="Subsection"/>
      </w:pPr>
      <w:r>
        <w:tab/>
        <w:t>(1)</w:t>
      </w:r>
      <w:r>
        <w:tab/>
        <w:t>A licence may be subject to conditions decided by the Chief Officer and imposed when it is issued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688" w:name="_Toc238547968"/>
      <w:bookmarkStart w:id="689" w:name="_Toc233693183"/>
      <w:r>
        <w:rPr>
          <w:rStyle w:val="CharSectno"/>
        </w:rPr>
        <w:t>167</w:t>
      </w:r>
      <w:r>
        <w:t>.</w:t>
      </w:r>
      <w:r>
        <w:tab/>
        <w:t>Duration of licences</w:t>
      </w:r>
      <w:bookmarkEnd w:id="688"/>
      <w:bookmarkEnd w:id="689"/>
    </w:p>
    <w:p>
      <w:pPr>
        <w:pStyle w:val="Subsection"/>
      </w:pPr>
      <w:r>
        <w:tab/>
        <w:t>(1)</w:t>
      </w:r>
      <w:r>
        <w:tab/>
        <w:t>A licence has effect on and from the date it is issued —</w:t>
      </w:r>
    </w:p>
    <w:p>
      <w:pPr>
        <w:pStyle w:val="Indenta"/>
      </w:pPr>
      <w:r>
        <w:tab/>
        <w:t>(a)</w:t>
      </w:r>
      <w:r>
        <w:tab/>
        <w:t>for the term specified in it, being 3 years or less; or</w:t>
      </w:r>
    </w:p>
    <w:p>
      <w:pPr>
        <w:pStyle w:val="Indenta"/>
      </w:pPr>
      <w:r>
        <w:tab/>
        <w:t>(b)</w:t>
      </w:r>
      <w:r>
        <w:tab/>
        <w:t>until it is cancelled before that term expires.</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w:t>
      </w:r>
    </w:p>
    <w:p>
      <w:pPr>
        <w:pStyle w:val="Indenti"/>
      </w:pPr>
      <w:r>
        <w:tab/>
        <w:t>(i)</w:t>
      </w:r>
      <w:r>
        <w:tab/>
        <w:t>dies; or</w:t>
      </w:r>
    </w:p>
    <w:p>
      <w:pPr>
        <w:pStyle w:val="Indenti"/>
      </w:pPr>
      <w:r>
        <w:tab/>
        <w:t>(ii)</w:t>
      </w:r>
      <w:r>
        <w:tab/>
        <w:t>ceases to have a security clearance.</w:t>
      </w:r>
    </w:p>
    <w:p>
      <w:pPr>
        <w:pStyle w:val="Heading5"/>
      </w:pPr>
      <w:bookmarkStart w:id="690" w:name="_Toc238547969"/>
      <w:bookmarkStart w:id="691" w:name="_Toc233693184"/>
      <w:r>
        <w:rPr>
          <w:rStyle w:val="CharSectno"/>
        </w:rPr>
        <w:t>168</w:t>
      </w:r>
      <w:r>
        <w:t>.</w:t>
      </w:r>
      <w:r>
        <w:tab/>
        <w:t>Form of licences</w:t>
      </w:r>
      <w:bookmarkEnd w:id="690"/>
      <w:bookmarkEnd w:id="691"/>
    </w:p>
    <w:p>
      <w:pPr>
        <w:pStyle w:val="Subsection"/>
      </w:pPr>
      <w:r>
        <w:tab/>
        <w:t>(1)</w:t>
      </w:r>
      <w:r>
        <w:tab/>
        <w:t>A licence must be in writing in such form as the Chief Officer decides.</w:t>
      </w:r>
    </w:p>
    <w:p>
      <w:pPr>
        <w:pStyle w:val="Subsection"/>
      </w:pPr>
      <w:r>
        <w:tab/>
        <w:t>(2)</w:t>
      </w:r>
      <w:r>
        <w:tab/>
        <w:t>If the Chief Officer issues a licence to a person, the Chief Officer may also issue the person a card, in such form as the Chief Officer decides, that certifies the person holds the licence.</w:t>
      </w:r>
    </w:p>
    <w:p>
      <w:pPr>
        <w:pStyle w:val="Heading5"/>
      </w:pPr>
      <w:bookmarkStart w:id="692" w:name="_Toc238547970"/>
      <w:bookmarkStart w:id="693" w:name="_Toc233693185"/>
      <w:r>
        <w:rPr>
          <w:rStyle w:val="CharSectno"/>
        </w:rPr>
        <w:t>169</w:t>
      </w:r>
      <w:r>
        <w:t>.</w:t>
      </w:r>
      <w:r>
        <w:tab/>
        <w:t>Licences not transferable etc.</w:t>
      </w:r>
      <w:bookmarkEnd w:id="692"/>
      <w:bookmarkEnd w:id="693"/>
    </w:p>
    <w:p>
      <w:pPr>
        <w:pStyle w:val="Subsection"/>
      </w:pPr>
      <w:r>
        <w:tab/>
        <w:t>(1)</w:t>
      </w:r>
      <w:r>
        <w:tab/>
        <w:t>A licence is valid only for the person to whom it is issued.</w:t>
      </w:r>
    </w:p>
    <w:p>
      <w:pPr>
        <w:pStyle w:val="Subsection"/>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694" w:name="_Toc238547971"/>
      <w:bookmarkStart w:id="695" w:name="_Toc233693186"/>
      <w:r>
        <w:rPr>
          <w:rStyle w:val="CharSectno"/>
        </w:rPr>
        <w:t>170</w:t>
      </w:r>
      <w:r>
        <w:t>.</w:t>
      </w:r>
      <w:r>
        <w:tab/>
        <w:t>Licences may be surrendered</w:t>
      </w:r>
      <w:bookmarkEnd w:id="694"/>
      <w:bookmarkEnd w:id="695"/>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696" w:name="_Toc238547972"/>
      <w:bookmarkStart w:id="697" w:name="_Toc233693187"/>
      <w:r>
        <w:rPr>
          <w:rStyle w:val="CharSectno"/>
        </w:rPr>
        <w:t>171</w:t>
      </w:r>
      <w:r>
        <w:t>.</w:t>
      </w:r>
      <w:r>
        <w:tab/>
        <w:t>Lost licences and cards may be replaced</w:t>
      </w:r>
      <w:bookmarkEnd w:id="696"/>
      <w:bookmarkEnd w:id="697"/>
    </w:p>
    <w:p>
      <w:pPr>
        <w:pStyle w:val="Subsection"/>
      </w:pPr>
      <w:r>
        <w:tab/>
        <w:t>(1)</w:t>
      </w:r>
      <w:r>
        <w:tab/>
        <w:t>If the Chief Officer is satisfied that a licence has been destroyed, lost or stolen, the Chief Officer may issue a replacement.</w:t>
      </w:r>
    </w:p>
    <w:p>
      <w:pPr>
        <w:pStyle w:val="Subsection"/>
      </w:pPr>
      <w:r>
        <w:tab/>
        <w:t>(2)</w:t>
      </w:r>
      <w:r>
        <w:tab/>
        <w:t>If the Chief Officer is satisfied that a card issued to a person under regulation 168(2) has been destroyed or lost, the Chief Officer may issue a replacement, on payment of the fee.</w:t>
      </w:r>
    </w:p>
    <w:p>
      <w:pPr>
        <w:pStyle w:val="Subsection"/>
      </w:pPr>
      <w:r>
        <w:tab/>
        <w:t>(3)</w:t>
      </w:r>
      <w:r>
        <w:tab/>
        <w:t>If the Chief Officer is satisfied that a card issued to a person under regulation 168(2) has been stolen, the Chief Officer may issue a replacement for no fee.</w:t>
      </w:r>
    </w:p>
    <w:p>
      <w:pPr>
        <w:pStyle w:val="Heading5"/>
      </w:pPr>
      <w:bookmarkStart w:id="698" w:name="_Toc238547973"/>
      <w:bookmarkStart w:id="699" w:name="_Toc233693188"/>
      <w:r>
        <w:rPr>
          <w:rStyle w:val="CharSectno"/>
        </w:rPr>
        <w:t>172</w:t>
      </w:r>
      <w:r>
        <w:t>.</w:t>
      </w:r>
      <w:r>
        <w:tab/>
        <w:t>Amending licences</w:t>
      </w:r>
      <w:bookmarkEnd w:id="698"/>
      <w:bookmarkEnd w:id="699"/>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amend the licence.</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fee (if any), unless a fee will be payable under regulation 184 if the licence is amended; and</w:t>
      </w:r>
    </w:p>
    <w:p>
      <w:pPr>
        <w:pStyle w:val="Indenta"/>
      </w:pPr>
      <w:r>
        <w:tab/>
        <w:t>(d)</w:t>
      </w:r>
      <w:r>
        <w:tab/>
        <w:t>be made to the Chief Officer.</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165 to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Heading5"/>
      </w:pPr>
      <w:bookmarkStart w:id="700" w:name="_Toc238547974"/>
      <w:bookmarkStart w:id="701" w:name="_Toc233693189"/>
      <w:r>
        <w:rPr>
          <w:rStyle w:val="CharSectno"/>
        </w:rPr>
        <w:t>173</w:t>
      </w:r>
      <w:r>
        <w:t>.</w:t>
      </w:r>
      <w:r>
        <w:tab/>
        <w:t>Renewing licences, procedure for</w:t>
      </w:r>
      <w:bookmarkEnd w:id="700"/>
      <w:bookmarkEnd w:id="701"/>
    </w:p>
    <w:p>
      <w:pPr>
        <w:pStyle w:val="Subsection"/>
      </w:pPr>
      <w:r>
        <w:tab/>
        <w:t>(1)</w:t>
      </w:r>
      <w:r>
        <w:tab/>
        <w:t>The holder of a licence that, under regulation 167(1)(a), will expire within 3 months may apply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keepNext/>
      </w:pPr>
      <w:r>
        <w:tab/>
        <w:t>(i)</w:t>
      </w:r>
      <w:r>
        <w:tab/>
        <w:t xml:space="preserve">be accompanied by — </w:t>
      </w:r>
    </w:p>
    <w:p>
      <w:pPr>
        <w:pStyle w:val="Indenti"/>
      </w:pPr>
      <w:r>
        <w:tab/>
        <w:t>(i)</w:t>
      </w:r>
      <w:r>
        <w:tab/>
        <w:t>the fee; or</w:t>
      </w:r>
    </w:p>
    <w:p>
      <w:pPr>
        <w:pStyle w:val="Indenti"/>
      </w:pPr>
      <w:r>
        <w:tab/>
        <w:t>(ii)</w:t>
      </w:r>
      <w:r>
        <w:tab/>
        <w:t>if a fee is payable under regulation 184, the instalment payable under that regulation;</w:t>
      </w:r>
    </w:p>
    <w:p>
      <w:pPr>
        <w:pStyle w:val="Indenta"/>
      </w:pPr>
      <w:r>
        <w:tab/>
      </w:r>
      <w:r>
        <w:tab/>
        <w:t>and</w:t>
      </w:r>
    </w:p>
    <w:p>
      <w:pPr>
        <w:pStyle w:val="Indenta"/>
      </w:pPr>
      <w:r>
        <w:tab/>
        <w:t>(j)</w:t>
      </w:r>
      <w:r>
        <w:tab/>
        <w:t>be made to the Chief Officer.</w:t>
      </w:r>
    </w:p>
    <w:p>
      <w:pPr>
        <w:pStyle w:val="Subsection"/>
      </w:pPr>
      <w:r>
        <w:tab/>
        <w:t>(4)</w:t>
      </w:r>
      <w:r>
        <w:tab/>
        <w:t>If the application is in respect of a licence referred to in regulation 157(7), it need not be accompanied by an explosives management plan but, if it is not, must certify when the explosives management plan that relates to the licence was last reviewed.</w:t>
      </w:r>
    </w:p>
    <w:p>
      <w:pPr>
        <w:pStyle w:val="Subsection"/>
      </w:pPr>
      <w:r>
        <w:tab/>
        <w:t>(5)</w:t>
      </w:r>
      <w:r>
        <w:tab/>
        <w:t>Regulations 162 to 164, with any necessary changes, apply in relation to dealing with a renewal application as if it were an application for a licence.</w:t>
      </w:r>
    </w:p>
    <w:p>
      <w:pPr>
        <w:pStyle w:val="Subsection"/>
      </w:pPr>
      <w:r>
        <w:tab/>
        <w:t>(6)</w:t>
      </w:r>
      <w:r>
        <w:tab/>
        <w:t>Regulations 165 to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Heading3"/>
      </w:pPr>
      <w:bookmarkStart w:id="702" w:name="_Toc191960695"/>
      <w:bookmarkStart w:id="703" w:name="_Toc191982276"/>
      <w:bookmarkStart w:id="704" w:name="_Toc233693190"/>
      <w:bookmarkStart w:id="705" w:name="_Toc238546541"/>
      <w:bookmarkStart w:id="706" w:name="_Toc238546846"/>
      <w:bookmarkStart w:id="707" w:name="_Toc238547975"/>
      <w:r>
        <w:rPr>
          <w:rStyle w:val="CharDivNo"/>
        </w:rPr>
        <w:t>Division 3</w:t>
      </w:r>
      <w:r>
        <w:t> — </w:t>
      </w:r>
      <w:r>
        <w:rPr>
          <w:rStyle w:val="CharDivText"/>
        </w:rPr>
        <w:t>Suspending and cancelling licences</w:t>
      </w:r>
      <w:bookmarkEnd w:id="702"/>
      <w:bookmarkEnd w:id="703"/>
      <w:bookmarkEnd w:id="704"/>
      <w:bookmarkEnd w:id="705"/>
      <w:bookmarkEnd w:id="706"/>
      <w:bookmarkEnd w:id="707"/>
    </w:p>
    <w:p>
      <w:pPr>
        <w:pStyle w:val="Heading5"/>
      </w:pPr>
      <w:bookmarkStart w:id="708" w:name="_Toc238547976"/>
      <w:bookmarkStart w:id="709" w:name="_Toc233693191"/>
      <w:r>
        <w:rPr>
          <w:rStyle w:val="CharSectno"/>
        </w:rPr>
        <w:t>174</w:t>
      </w:r>
      <w:r>
        <w:t>.</w:t>
      </w:r>
      <w:r>
        <w:tab/>
        <w:t>Grounds for suspending or cancelling</w:t>
      </w:r>
      <w:bookmarkEnd w:id="708"/>
      <w:bookmarkEnd w:id="709"/>
    </w:p>
    <w:p>
      <w:pPr>
        <w:pStyle w:val="Subsection"/>
      </w:pPr>
      <w:r>
        <w:tab/>
        <w:t>(1)</w:t>
      </w:r>
      <w:r>
        <w:tab/>
        <w:t>Grounds to suspend a licence exist if —</w:t>
      </w:r>
    </w:p>
    <w:p>
      <w:pPr>
        <w:pStyle w:val="Indenta"/>
      </w:pPr>
      <w:r>
        <w:tab/>
        <w:t>(a)</w:t>
      </w:r>
      <w:r>
        <w:tab/>
        <w:t>the holder, or an individual specified in the licence under regulation 165, 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and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162.</w:t>
      </w:r>
    </w:p>
    <w:p>
      <w:pPr>
        <w:pStyle w:val="Subsection"/>
      </w:pPr>
      <w:r>
        <w:tab/>
        <w:t>(2)</w:t>
      </w:r>
      <w:r>
        <w:tab/>
        <w:t xml:space="preserve">Grounds to suspend or cancel a licence exist if — </w:t>
      </w:r>
    </w:p>
    <w:p>
      <w:pPr>
        <w:pStyle w:val="Indenta"/>
      </w:pPr>
      <w:r>
        <w:tab/>
        <w:t>(a)</w:t>
      </w:r>
      <w:r>
        <w:tab/>
        <w:t>the holder is convicted in this State or elsewhere of a relevant offence; or</w:t>
      </w:r>
    </w:p>
    <w:p>
      <w:pPr>
        <w:pStyle w:val="Indenta"/>
      </w:pPr>
      <w:r>
        <w:tab/>
        <w:t>(b)</w:t>
      </w:r>
      <w:r>
        <w:tab/>
        <w:t>the holder has not paid any fee payable under these regulations.</w:t>
      </w:r>
    </w:p>
    <w:p>
      <w:pPr>
        <w:pStyle w:val="Heading5"/>
      </w:pPr>
      <w:bookmarkStart w:id="710" w:name="_Toc238547977"/>
      <w:bookmarkStart w:id="711" w:name="_Toc233693192"/>
      <w:r>
        <w:rPr>
          <w:rStyle w:val="CharSectno"/>
        </w:rPr>
        <w:t>175</w:t>
      </w:r>
      <w:r>
        <w:t>.</w:t>
      </w:r>
      <w:r>
        <w:tab/>
        <w:t>Procedure for suspending or cancelling</w:t>
      </w:r>
      <w:bookmarkEnd w:id="710"/>
      <w:bookmarkEnd w:id="711"/>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712" w:name="_Toc238547978"/>
      <w:bookmarkStart w:id="713" w:name="_Toc233693193"/>
      <w:r>
        <w:rPr>
          <w:rStyle w:val="CharSectno"/>
        </w:rPr>
        <w:t>176</w:t>
      </w:r>
      <w:r>
        <w:t>.</w:t>
      </w:r>
      <w:r>
        <w:tab/>
        <w:t>Suspension in urgent circumstances</w:t>
      </w:r>
      <w:bookmarkEnd w:id="712"/>
      <w:bookmarkEnd w:id="713"/>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175 to cancel a licence.</w:t>
      </w:r>
    </w:p>
    <w:p>
      <w:pPr>
        <w:pStyle w:val="Heading5"/>
      </w:pPr>
      <w:bookmarkStart w:id="714" w:name="_Toc238547979"/>
      <w:bookmarkStart w:id="715" w:name="_Toc233693194"/>
      <w:r>
        <w:rPr>
          <w:rStyle w:val="CharSectno"/>
        </w:rPr>
        <w:t>177</w:t>
      </w:r>
      <w:r>
        <w:t>.</w:t>
      </w:r>
      <w:r>
        <w:tab/>
        <w:t>Licences etc. to be returned on cancellation etc.</w:t>
      </w:r>
      <w:bookmarkEnd w:id="714"/>
      <w:bookmarkEnd w:id="715"/>
    </w:p>
    <w:p>
      <w:pPr>
        <w:pStyle w:val="Subsection"/>
      </w:pPr>
      <w:r>
        <w:tab/>
      </w:r>
      <w:r>
        <w:tab/>
        <w:t>If the Chief Officer suspends or cancels a licence, the holder must return it, and any card issued under regulation 168(2) in relation to it, to the Chief Officer within 14 days after the date of receiving notice of the suspension or cancellation.</w:t>
      </w:r>
    </w:p>
    <w:p>
      <w:pPr>
        <w:pStyle w:val="Penstart"/>
      </w:pPr>
      <w:r>
        <w:tab/>
        <w:t>Penalty: a level 3 fine.</w:t>
      </w:r>
    </w:p>
    <w:p>
      <w:pPr>
        <w:pStyle w:val="Heading5"/>
      </w:pPr>
      <w:bookmarkStart w:id="716" w:name="_Toc238547980"/>
      <w:bookmarkStart w:id="717" w:name="_Toc233693195"/>
      <w:r>
        <w:rPr>
          <w:rStyle w:val="CharSectno"/>
        </w:rPr>
        <w:t>178</w:t>
      </w:r>
      <w:r>
        <w:t>.</w:t>
      </w:r>
      <w:r>
        <w:tab/>
        <w:t>Suspension may be terminated</w:t>
      </w:r>
      <w:bookmarkEnd w:id="716"/>
      <w:bookmarkEnd w:id="717"/>
    </w:p>
    <w:p>
      <w:pPr>
        <w:pStyle w:val="Subsection"/>
      </w:pPr>
      <w:r>
        <w:tab/>
      </w:r>
      <w:r>
        <w:tab/>
        <w:t>The Chief Officer may terminate the suspension of a licence at any time by giving the holder a written notice of the fact.</w:t>
      </w:r>
    </w:p>
    <w:p>
      <w:pPr>
        <w:pStyle w:val="Heading3"/>
      </w:pPr>
      <w:bookmarkStart w:id="718" w:name="_Toc191960701"/>
      <w:bookmarkStart w:id="719" w:name="_Toc191982282"/>
      <w:bookmarkStart w:id="720" w:name="_Toc233693196"/>
      <w:bookmarkStart w:id="721" w:name="_Toc238546547"/>
      <w:bookmarkStart w:id="722" w:name="_Toc238546852"/>
      <w:bookmarkStart w:id="723" w:name="_Toc238547981"/>
      <w:r>
        <w:rPr>
          <w:rStyle w:val="CharDivNo"/>
        </w:rPr>
        <w:t>Division 4</w:t>
      </w:r>
      <w:r>
        <w:t> — </w:t>
      </w:r>
      <w:r>
        <w:rPr>
          <w:rStyle w:val="CharDivText"/>
        </w:rPr>
        <w:t>Duties of licence holders</w:t>
      </w:r>
      <w:bookmarkEnd w:id="718"/>
      <w:bookmarkEnd w:id="719"/>
      <w:bookmarkEnd w:id="720"/>
      <w:bookmarkEnd w:id="721"/>
      <w:bookmarkEnd w:id="722"/>
      <w:bookmarkEnd w:id="723"/>
    </w:p>
    <w:p>
      <w:pPr>
        <w:pStyle w:val="Heading5"/>
      </w:pPr>
      <w:bookmarkStart w:id="724" w:name="_Toc238547982"/>
      <w:bookmarkStart w:id="725" w:name="_Toc233693197"/>
      <w:r>
        <w:rPr>
          <w:rStyle w:val="CharSectno"/>
        </w:rPr>
        <w:t>179</w:t>
      </w:r>
      <w:r>
        <w:t>.</w:t>
      </w:r>
      <w:r>
        <w:tab/>
        <w:t>Wrong information, duty to correct</w:t>
      </w:r>
      <w:bookmarkEnd w:id="724"/>
      <w:bookmarkEnd w:id="725"/>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726" w:name="_Toc238547983"/>
      <w:bookmarkStart w:id="727" w:name="_Toc233693198"/>
      <w:r>
        <w:rPr>
          <w:rStyle w:val="CharSectno"/>
        </w:rPr>
        <w:t>180</w:t>
      </w:r>
      <w:r>
        <w:t>.</w:t>
      </w:r>
      <w:r>
        <w:tab/>
        <w:t>Licence holder charged with or convicted of relevant offence to notify Chief Officer</w:t>
      </w:r>
      <w:bookmarkEnd w:id="726"/>
      <w:bookmarkEnd w:id="727"/>
    </w:p>
    <w:p>
      <w:pPr>
        <w:pStyle w:val="Subsection"/>
      </w:pPr>
      <w:r>
        <w:tab/>
      </w:r>
      <w:r>
        <w:tab/>
        <w:t>A licence holder who is charged with or convicted of a relevant offence, in this State or elsewhere, must give the Chief Officer written notice of the fact as soon as practicable.</w:t>
      </w:r>
    </w:p>
    <w:p>
      <w:pPr>
        <w:pStyle w:val="Penstart"/>
      </w:pPr>
      <w:r>
        <w:tab/>
        <w:t>Penalty: a level 3 fine.</w:t>
      </w:r>
    </w:p>
    <w:p>
      <w:pPr>
        <w:pStyle w:val="Heading5"/>
      </w:pPr>
      <w:bookmarkStart w:id="728" w:name="_Toc238547984"/>
      <w:bookmarkStart w:id="729" w:name="_Toc233693199"/>
      <w:r>
        <w:rPr>
          <w:rStyle w:val="CharSectno"/>
        </w:rPr>
        <w:t>181</w:t>
      </w:r>
      <w:r>
        <w:t>.</w:t>
      </w:r>
      <w:r>
        <w:tab/>
        <w:t>Licences relating to places, notification of development</w:t>
      </w:r>
      <w:bookmarkEnd w:id="728"/>
      <w:bookmarkEnd w:id="729"/>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pPr>
      <w:r>
        <w:tab/>
        <w:t>(2)</w:t>
      </w:r>
      <w:r>
        <w:tab/>
        <w:t>The holder of a licence that relates to a place specified in it must give the Chief Officer written notice of any proposed development at the place.</w:t>
      </w:r>
    </w:p>
    <w:p>
      <w:pPr>
        <w:pStyle w:val="Penstart"/>
      </w:pPr>
      <w:r>
        <w:tab/>
        <w:t>Penalty: a level 3 fine.</w:t>
      </w:r>
    </w:p>
    <w:p>
      <w:pPr>
        <w:pStyle w:val="Heading5"/>
      </w:pPr>
      <w:bookmarkStart w:id="730" w:name="_Toc238547985"/>
      <w:bookmarkStart w:id="731" w:name="_Toc233693200"/>
      <w:r>
        <w:rPr>
          <w:rStyle w:val="CharSectno"/>
        </w:rPr>
        <w:t>182</w:t>
      </w:r>
      <w:r>
        <w:t>.</w:t>
      </w:r>
      <w:r>
        <w:tab/>
        <w:t>Condition of licence, contravening</w:t>
      </w:r>
      <w:bookmarkEnd w:id="730"/>
      <w:bookmarkEnd w:id="731"/>
    </w:p>
    <w:p>
      <w:pPr>
        <w:pStyle w:val="Subsection"/>
      </w:pPr>
      <w:r>
        <w:tab/>
        <w:t>(1)</w:t>
      </w:r>
      <w:r>
        <w:tab/>
        <w:t>A licence holder must not contravene a condition of the licence.</w:t>
      </w:r>
    </w:p>
    <w:p>
      <w:pPr>
        <w:pStyle w:val="Penstart"/>
      </w:pPr>
      <w:r>
        <w:tab/>
        <w:t>Penalty: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Subsection"/>
      </w:pPr>
      <w:r>
        <w:tab/>
        <w:t>(3)</w:t>
      </w:r>
      <w:r>
        <w:tab/>
        <w:t xml:space="preserve">A person convicted of an offence under subregulation (1) may be punished for the offence even if the condition contravened is subsequently amended or cancelled, despite </w:t>
      </w:r>
      <w:r>
        <w:rPr>
          <w:i/>
          <w:iCs/>
        </w:rPr>
        <w:t xml:space="preserve">The Criminal Code </w:t>
      </w:r>
      <w:r>
        <w:t>section 11.</w:t>
      </w:r>
    </w:p>
    <w:p>
      <w:pPr>
        <w:pStyle w:val="Heading3"/>
      </w:pPr>
      <w:bookmarkStart w:id="732" w:name="_Toc191960706"/>
      <w:bookmarkStart w:id="733" w:name="_Toc191982287"/>
      <w:bookmarkStart w:id="734" w:name="_Toc233693201"/>
      <w:bookmarkStart w:id="735" w:name="_Toc238546552"/>
      <w:bookmarkStart w:id="736" w:name="_Toc238546857"/>
      <w:bookmarkStart w:id="737" w:name="_Toc238547986"/>
      <w:r>
        <w:rPr>
          <w:rStyle w:val="CharDivNo"/>
        </w:rPr>
        <w:t>Division 5</w:t>
      </w:r>
      <w:r>
        <w:t> — </w:t>
      </w:r>
      <w:r>
        <w:rPr>
          <w:rStyle w:val="CharDivText"/>
        </w:rPr>
        <w:t>Miscellaneous matters</w:t>
      </w:r>
      <w:bookmarkEnd w:id="732"/>
      <w:bookmarkEnd w:id="733"/>
      <w:bookmarkEnd w:id="734"/>
      <w:bookmarkEnd w:id="735"/>
      <w:bookmarkEnd w:id="736"/>
      <w:bookmarkEnd w:id="737"/>
    </w:p>
    <w:p>
      <w:pPr>
        <w:pStyle w:val="Heading5"/>
      </w:pPr>
      <w:bookmarkStart w:id="738" w:name="_Toc238547987"/>
      <w:bookmarkStart w:id="739" w:name="_Toc233693202"/>
      <w:r>
        <w:rPr>
          <w:rStyle w:val="CharSectno"/>
        </w:rPr>
        <w:t>183</w:t>
      </w:r>
      <w:r>
        <w:t>.</w:t>
      </w:r>
      <w:r>
        <w:tab/>
        <w:t>Register of licences</w:t>
      </w:r>
      <w:bookmarkEnd w:id="738"/>
      <w:bookmarkEnd w:id="739"/>
    </w:p>
    <w:p>
      <w:pPr>
        <w:pStyle w:val="Subsection"/>
      </w:pPr>
      <w:r>
        <w:tab/>
        <w:t>(1)</w:t>
      </w:r>
      <w:r>
        <w:tab/>
        <w:t>The Chief Officer must keep a register of all licences.</w:t>
      </w:r>
    </w:p>
    <w:p>
      <w:pPr>
        <w:pStyle w:val="Subsection"/>
      </w:pPr>
      <w:r>
        <w:tab/>
        <w:t>(2)</w:t>
      </w:r>
      <w:r>
        <w:tab/>
        <w:t>The register must record all information relevant to the issue, amendment and renewal,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Heading5"/>
      </w:pPr>
      <w:bookmarkStart w:id="740" w:name="_Toc238547988"/>
      <w:bookmarkStart w:id="741" w:name="_Toc233693203"/>
      <w:r>
        <w:rPr>
          <w:rStyle w:val="CharSectno"/>
        </w:rPr>
        <w:t>184</w:t>
      </w:r>
      <w:r>
        <w:t>.</w:t>
      </w:r>
      <w:r>
        <w:tab/>
        <w:t>Annual fee for major hazard facilities</w:t>
      </w:r>
      <w:bookmarkEnd w:id="740"/>
      <w:bookmarkEnd w:id="741"/>
    </w:p>
    <w:p>
      <w:pPr>
        <w:pStyle w:val="Subsection"/>
      </w:pPr>
      <w:r>
        <w:tab/>
        <w:t>(1)</w:t>
      </w:r>
      <w:r>
        <w:tab/>
        <w:t xml:space="preserve">The holder of an explosives manufacture licence issued in respect of a dangerous goods site that, under the </w:t>
      </w:r>
      <w:r>
        <w:rPr>
          <w:i/>
          <w:iCs/>
        </w:rPr>
        <w:t>Dangerous Goods Safety (Major Hazard Facilities) Regulations 2007</w:t>
      </w:r>
      <w:r>
        <w:t xml:space="preserve">, is a major hazard facility must pay for each year — </w:t>
      </w:r>
    </w:p>
    <w:p>
      <w:pPr>
        <w:pStyle w:val="Indenta"/>
      </w:pPr>
      <w:r>
        <w:tab/>
        <w:t>(a)</w:t>
      </w:r>
      <w:r>
        <w:tab/>
        <w:t>if under Schedule 3 of those regulations the site is a Class A place, a fee of $15 000;</w:t>
      </w:r>
    </w:p>
    <w:p>
      <w:pPr>
        <w:pStyle w:val="Indenta"/>
      </w:pPr>
      <w:r>
        <w:tab/>
        <w:t>(b)</w:t>
      </w:r>
      <w:r>
        <w:tab/>
        <w:t>if under Schedule 3 of those regulations the site is a Class B place, a fee of $10 000;</w:t>
      </w:r>
    </w:p>
    <w:p>
      <w:pPr>
        <w:pStyle w:val="Indenta"/>
      </w:pPr>
      <w:r>
        <w:tab/>
        <w:t>(c)</w:t>
      </w:r>
      <w:r>
        <w:tab/>
        <w:t>if under Schedule 3 of those regulations the site is a Class C place, a fee of $7 000;</w:t>
      </w:r>
    </w:p>
    <w:p>
      <w:pPr>
        <w:pStyle w:val="Indenta"/>
      </w:pPr>
      <w:r>
        <w:tab/>
        <w:t>(d)</w:t>
      </w:r>
      <w:r>
        <w:tab/>
        <w:t>if under Schedule 3 of those regulations the site is a Class D place, a fee of $4 000.</w:t>
      </w:r>
    </w:p>
    <w:p>
      <w:pPr>
        <w:pStyle w:val="Subsection"/>
      </w:pPr>
      <w:r>
        <w:tab/>
        <w:t>(2)</w:t>
      </w:r>
      <w:r>
        <w:tab/>
        <w:t xml:space="preserve">A fee payable under subregulation (1) must be paid quarterly in 4 equal instalments, the first instalment being due on the first date on which both of these conditions are satisfied — </w:t>
      </w:r>
    </w:p>
    <w:p>
      <w:pPr>
        <w:pStyle w:val="Indenta"/>
      </w:pPr>
      <w:r>
        <w:tab/>
        <w:t>(a)</w:t>
      </w:r>
      <w:r>
        <w:tab/>
        <w:t>the site is subject to the explosives manufacture licence; and</w:t>
      </w:r>
    </w:p>
    <w:p>
      <w:pPr>
        <w:pStyle w:val="Indenta"/>
      </w:pPr>
      <w:r>
        <w:tab/>
        <w:t>(b)</w:t>
      </w:r>
      <w:r>
        <w:tab/>
        <w:t xml:space="preserve">the </w:t>
      </w:r>
      <w:r>
        <w:rPr>
          <w:i/>
          <w:iCs/>
        </w:rPr>
        <w:t>Dangerous Goods Safety (Major Hazard Facilities) Regulations 2007</w:t>
      </w:r>
      <w:r>
        <w:t xml:space="preserve"> require a safety report to have been approved for the site.</w:t>
      </w:r>
    </w:p>
    <w:p>
      <w:pPr>
        <w:pStyle w:val="Heading2"/>
      </w:pPr>
      <w:bookmarkStart w:id="742" w:name="_Toc191960709"/>
      <w:bookmarkStart w:id="743" w:name="_Toc191982290"/>
      <w:bookmarkStart w:id="744" w:name="_Toc233693204"/>
      <w:bookmarkStart w:id="745" w:name="_Toc238546555"/>
      <w:bookmarkStart w:id="746" w:name="_Toc238546860"/>
      <w:bookmarkStart w:id="747" w:name="_Toc238547989"/>
      <w:r>
        <w:rPr>
          <w:rStyle w:val="CharPartNo"/>
        </w:rPr>
        <w:t>Part 16</w:t>
      </w:r>
      <w:r>
        <w:rPr>
          <w:rStyle w:val="CharDivNo"/>
        </w:rPr>
        <w:t> </w:t>
      </w:r>
      <w:r>
        <w:t>—</w:t>
      </w:r>
      <w:r>
        <w:rPr>
          <w:rStyle w:val="CharDivText"/>
        </w:rPr>
        <w:t> </w:t>
      </w:r>
      <w:r>
        <w:rPr>
          <w:rStyle w:val="CharPartText"/>
        </w:rPr>
        <w:t>Fees for using State explosives facilities</w:t>
      </w:r>
      <w:bookmarkEnd w:id="742"/>
      <w:bookmarkEnd w:id="743"/>
      <w:bookmarkEnd w:id="744"/>
      <w:bookmarkEnd w:id="745"/>
      <w:bookmarkEnd w:id="746"/>
      <w:bookmarkEnd w:id="747"/>
    </w:p>
    <w:p>
      <w:pPr>
        <w:pStyle w:val="Heading5"/>
      </w:pPr>
      <w:bookmarkStart w:id="748" w:name="_Toc238547990"/>
      <w:bookmarkStart w:id="749" w:name="_Toc233693205"/>
      <w:r>
        <w:rPr>
          <w:rStyle w:val="CharSectno"/>
        </w:rPr>
        <w:t>185</w:t>
      </w:r>
      <w:r>
        <w:t>.</w:t>
      </w:r>
      <w:r>
        <w:tab/>
        <w:t>Terms used in this Part</w:t>
      </w:r>
      <w:bookmarkEnd w:id="748"/>
      <w:bookmarkEnd w:id="749"/>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r>
        <w:rPr>
          <w:rStyle w:val="CharDefText"/>
        </w:rPr>
        <w:t>Kalgoorlie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Kalgoorlie facility;</w:t>
      </w:r>
    </w:p>
    <w:p>
      <w:pPr>
        <w:pStyle w:val="Defstart"/>
      </w:pPr>
      <w:r>
        <w:rPr>
          <w:b/>
        </w:rPr>
        <w:tab/>
      </w:r>
      <w:r>
        <w:rPr>
          <w:rStyle w:val="CharDefText"/>
        </w:rPr>
        <w:t>type B facility</w:t>
      </w:r>
      <w:r>
        <w:t xml:space="preserve"> means an SEF other than the Baldivis facility or the Kalgoorlie facility.</w:t>
      </w:r>
    </w:p>
    <w:p>
      <w:pPr>
        <w:pStyle w:val="Heading5"/>
      </w:pPr>
      <w:bookmarkStart w:id="750" w:name="_Toc238547991"/>
      <w:bookmarkStart w:id="751" w:name="_Toc233693206"/>
      <w:r>
        <w:rPr>
          <w:rStyle w:val="CharSectno"/>
        </w:rPr>
        <w:t>186</w:t>
      </w:r>
      <w:r>
        <w:t>.</w:t>
      </w:r>
      <w:r>
        <w:tab/>
        <w:t>Application of this Part</w:t>
      </w:r>
      <w:bookmarkEnd w:id="750"/>
      <w:bookmarkEnd w:id="751"/>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752" w:name="_Toc238547992"/>
      <w:bookmarkStart w:id="753" w:name="_Toc233693207"/>
      <w:r>
        <w:rPr>
          <w:rStyle w:val="CharSectno"/>
        </w:rPr>
        <w:t>187</w:t>
      </w:r>
      <w:r>
        <w:t>.</w:t>
      </w:r>
      <w:r>
        <w:tab/>
        <w:t>Fees to be paid quarterly</w:t>
      </w:r>
      <w:bookmarkEnd w:id="752"/>
      <w:bookmarkEnd w:id="753"/>
    </w:p>
    <w:p>
      <w:pPr>
        <w:pStyle w:val="Subsection"/>
      </w:pPr>
      <w:r>
        <w:tab/>
      </w:r>
      <w:r>
        <w:tab/>
        <w:t>The fees payable under this Part must be paid in advance before 1 January, 1 April, 1 July and 1 October of each year for the quarter that begins on that date.</w:t>
      </w:r>
    </w:p>
    <w:p>
      <w:pPr>
        <w:pStyle w:val="Heading5"/>
      </w:pPr>
      <w:bookmarkStart w:id="754" w:name="_Toc238547993"/>
      <w:bookmarkStart w:id="755" w:name="_Toc233693208"/>
      <w:r>
        <w:rPr>
          <w:rStyle w:val="CharSectno"/>
        </w:rPr>
        <w:t>188</w:t>
      </w:r>
      <w:r>
        <w:t>.</w:t>
      </w:r>
      <w:r>
        <w:tab/>
        <w:t>Fees for using SEF to manufacture explosives</w:t>
      </w:r>
      <w:bookmarkEnd w:id="754"/>
      <w:bookmarkEnd w:id="755"/>
    </w:p>
    <w:p>
      <w:pPr>
        <w:pStyle w:val="Subsection"/>
      </w:pPr>
      <w:r>
        <w:tab/>
      </w:r>
      <w:r>
        <w:tab/>
        <w:t>The holder of an explosives manufacture licence that authorises the manufacture of an explosive at an SEF must pay for each year or part of a year a fee being —</w:t>
      </w:r>
    </w:p>
    <w:p>
      <w:pPr>
        <w:pStyle w:val="Indenta"/>
        <w:keepNext/>
      </w:pPr>
      <w:r>
        <w:tab/>
        <w:t>(a)</w:t>
      </w:r>
      <w:r>
        <w:tab/>
        <w:t>if the SEF is a type A facility — the greater of —</w:t>
      </w:r>
    </w:p>
    <w:p>
      <w:pPr>
        <w:pStyle w:val="Indenti"/>
      </w:pPr>
      <w:r>
        <w:tab/>
        <w:t>(i)</w:t>
      </w:r>
      <w:r>
        <w:tab/>
        <w:t>$2 400; or</w:t>
      </w:r>
    </w:p>
    <w:p>
      <w:pPr>
        <w:pStyle w:val="Indenti"/>
      </w:pPr>
      <w:r>
        <w:tab/>
        <w:t>(ii)</w:t>
      </w:r>
      <w:r>
        <w:tab/>
        <w:t>$6.40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Heading5"/>
      </w:pPr>
      <w:bookmarkStart w:id="756" w:name="_Toc238547994"/>
      <w:bookmarkStart w:id="757" w:name="_Toc233693209"/>
      <w:r>
        <w:rPr>
          <w:rStyle w:val="CharSectno"/>
        </w:rPr>
        <w:t>189</w:t>
      </w:r>
      <w:r>
        <w:t>.</w:t>
      </w:r>
      <w:r>
        <w:tab/>
        <w:t>Fees for using SEF to store explosives</w:t>
      </w:r>
      <w:bookmarkEnd w:id="756"/>
      <w:bookmarkEnd w:id="757"/>
    </w:p>
    <w:p>
      <w:pPr>
        <w:pStyle w:val="Subsection"/>
      </w:pPr>
      <w:r>
        <w:tab/>
      </w:r>
      <w:r>
        <w:tab/>
        <w:t>The holder of an explosives storage licence that authorises the storage of an explosive at an SEF must pay for each year or part thereof a fee being —</w:t>
      </w:r>
    </w:p>
    <w:p>
      <w:pPr>
        <w:pStyle w:val="Indenta"/>
      </w:pPr>
      <w:r>
        <w:tab/>
        <w:t>(a)</w:t>
      </w:r>
      <w:r>
        <w:tab/>
        <w:t>if the explosive is stored in a magazine provided by the State at a type A facility —</w:t>
      </w:r>
    </w:p>
    <w:p>
      <w:pPr>
        <w:pStyle w:val="Indenti"/>
      </w:pPr>
      <w:r>
        <w:tab/>
        <w:t>(i)</w:t>
      </w:r>
      <w:r>
        <w:tab/>
        <w:t>if the licence authorises the storage of less than 100 kg of explosive — $150;</w:t>
      </w:r>
    </w:p>
    <w:p>
      <w:pPr>
        <w:pStyle w:val="Indenti"/>
      </w:pPr>
      <w:r>
        <w:tab/>
        <w:t>(ii)</w:t>
      </w:r>
      <w:r>
        <w:tab/>
        <w:t>if the licence authorises the storage of 100 kg or more but not more than 1 000 kg of explosive — $150 plus $1.25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$230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Heading5"/>
      </w:pPr>
      <w:bookmarkStart w:id="758" w:name="_Toc238547995"/>
      <w:bookmarkStart w:id="759" w:name="_Toc233693210"/>
      <w:r>
        <w:rPr>
          <w:rStyle w:val="CharSectno"/>
        </w:rPr>
        <w:t>190</w:t>
      </w:r>
      <w:r>
        <w:t>.</w:t>
      </w:r>
      <w:r>
        <w:tab/>
        <w:t>Fees for using SEF to manufacture or store SRSs</w:t>
      </w:r>
      <w:bookmarkEnd w:id="758"/>
      <w:bookmarkEnd w:id="759"/>
    </w:p>
    <w:p>
      <w:pPr>
        <w:pStyle w:val="Subsection"/>
        <w:keepNext/>
      </w:pPr>
      <w:r>
        <w:tab/>
        <w:t>(1)</w:t>
      </w:r>
      <w:r>
        <w:tab/>
        <w:t>In this regulation —</w:t>
      </w:r>
    </w:p>
    <w:p>
      <w:pPr>
        <w:pStyle w:val="Defstart"/>
      </w:pPr>
      <w:r>
        <w:tab/>
      </w:r>
      <w:r>
        <w:rPr>
          <w:rStyle w:val="CharDefText"/>
        </w:rPr>
        <w:t>SRS licence</w:t>
      </w:r>
      <w:r>
        <w:t xml:space="preserve"> means — </w:t>
      </w:r>
    </w:p>
    <w:p>
      <w:pPr>
        <w:pStyle w:val="Defpara"/>
      </w:pPr>
      <w:r>
        <w:tab/>
        <w:t>(a)</w:t>
      </w:r>
      <w:r>
        <w:tab/>
        <w:t>an SRS manufacture licence; or</w:t>
      </w:r>
    </w:p>
    <w:p>
      <w:pPr>
        <w:pStyle w:val="Defpara"/>
      </w:pPr>
      <w:r>
        <w:tab/>
        <w:t>(b)</w:t>
      </w:r>
      <w:r>
        <w:tab/>
        <w:t>an SRS storage licence,</w:t>
      </w:r>
    </w:p>
    <w:p>
      <w:pPr>
        <w:pStyle w:val="Defstart"/>
      </w:pPr>
      <w:r>
        <w:tab/>
        <w:t xml:space="preserve">issued under the </w:t>
      </w:r>
      <w:r>
        <w:rPr>
          <w:i/>
          <w:iCs/>
        </w:rPr>
        <w:t>Dangerous Goods Safety (Security Risk Substances) Regulations 2007</w:t>
      </w:r>
      <w:r>
        <w:t>.</w:t>
      </w:r>
    </w:p>
    <w:p>
      <w:pPr>
        <w:pStyle w:val="Subsection"/>
      </w:pPr>
      <w:r>
        <w:tab/>
        <w:t>(2)</w:t>
      </w:r>
      <w:r>
        <w:tab/>
        <w:t>The holder of an SRS licence that authorises the manufacture or storage of an SRS at an SEF must pay for each year or part thereof a fee being —</w:t>
      </w:r>
    </w:p>
    <w:p>
      <w:pPr>
        <w:pStyle w:val="Indenta"/>
        <w:keepNext/>
      </w:pPr>
      <w:r>
        <w:tab/>
        <w:t>(a)</w:t>
      </w:r>
      <w:r>
        <w:tab/>
        <w:t>if the SEF is a type A facility — the greater of —</w:t>
      </w:r>
    </w:p>
    <w:p>
      <w:pPr>
        <w:pStyle w:val="Indenti"/>
      </w:pPr>
      <w:r>
        <w:tab/>
        <w:t>(i)</w:t>
      </w:r>
      <w:r>
        <w:tab/>
        <w:t>$2 400; or</w:t>
      </w:r>
    </w:p>
    <w:p>
      <w:pPr>
        <w:pStyle w:val="Indenti"/>
      </w:pPr>
      <w:r>
        <w:tab/>
        <w:t>(ii)</w:t>
      </w:r>
      <w:r>
        <w:tab/>
        <w:t>$6.40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Heading2"/>
      </w:pPr>
      <w:bookmarkStart w:id="760" w:name="_Toc191960716"/>
      <w:bookmarkStart w:id="761" w:name="_Toc191982297"/>
      <w:bookmarkStart w:id="762" w:name="_Toc233693211"/>
      <w:bookmarkStart w:id="763" w:name="_Toc238546562"/>
      <w:bookmarkStart w:id="764" w:name="_Toc238546867"/>
      <w:bookmarkStart w:id="765" w:name="_Toc238547996"/>
      <w:r>
        <w:rPr>
          <w:rStyle w:val="CharPartNo"/>
        </w:rPr>
        <w:t>Part 17</w:t>
      </w:r>
      <w:r>
        <w:rPr>
          <w:rStyle w:val="CharDivNo"/>
        </w:rPr>
        <w:t> </w:t>
      </w:r>
      <w:r>
        <w:t>—</w:t>
      </w:r>
      <w:r>
        <w:rPr>
          <w:rStyle w:val="CharDivText"/>
        </w:rPr>
        <w:t> </w:t>
      </w:r>
      <w:r>
        <w:rPr>
          <w:rStyle w:val="CharPartText"/>
        </w:rPr>
        <w:t>Miscellaneous matters</w:t>
      </w:r>
      <w:bookmarkEnd w:id="760"/>
      <w:bookmarkEnd w:id="761"/>
      <w:bookmarkEnd w:id="762"/>
      <w:bookmarkEnd w:id="763"/>
      <w:bookmarkEnd w:id="764"/>
      <w:bookmarkEnd w:id="765"/>
    </w:p>
    <w:p>
      <w:pPr>
        <w:pStyle w:val="Heading5"/>
      </w:pPr>
      <w:bookmarkStart w:id="766" w:name="_Toc238547997"/>
      <w:bookmarkStart w:id="767" w:name="_Toc233693212"/>
      <w:r>
        <w:rPr>
          <w:rStyle w:val="CharSectno"/>
        </w:rPr>
        <w:t>191</w:t>
      </w:r>
      <w:r>
        <w:t>.</w:t>
      </w:r>
      <w:r>
        <w:tab/>
        <w:t>State land, manufacture or storage on</w:t>
      </w:r>
      <w:bookmarkEnd w:id="766"/>
      <w:bookmarkEnd w:id="767"/>
    </w:p>
    <w:p>
      <w:pPr>
        <w:pStyle w:val="Subsection"/>
      </w:pPr>
      <w:r>
        <w:tab/>
      </w:r>
      <w:r>
        <w:tab/>
        <w:t>A person must not manufacture or store an explosive or SRS on State land that the Minister controls and manages without the prior written approval of the Chief Officer.</w:t>
      </w:r>
    </w:p>
    <w:p>
      <w:pPr>
        <w:pStyle w:val="Penstart"/>
      </w:pPr>
      <w:r>
        <w:tab/>
        <w:t>Penalty: a level 2 fine.</w:t>
      </w:r>
    </w:p>
    <w:p>
      <w:pPr>
        <w:pStyle w:val="Heading5"/>
      </w:pPr>
      <w:bookmarkStart w:id="768" w:name="_Toc238547998"/>
      <w:bookmarkStart w:id="769" w:name="_Toc233693213"/>
      <w:r>
        <w:rPr>
          <w:rStyle w:val="CharSectno"/>
        </w:rPr>
        <w:t>192</w:t>
      </w:r>
      <w:r>
        <w:t>.</w:t>
      </w:r>
      <w:r>
        <w:tab/>
        <w:t>“Safety management documents” prescribed (Act s. 3)</w:t>
      </w:r>
      <w:bookmarkEnd w:id="768"/>
      <w:bookmarkEnd w:id="769"/>
    </w:p>
    <w:p>
      <w:pPr>
        <w:pStyle w:val="Subsection"/>
      </w:pPr>
      <w:r>
        <w:tab/>
      </w:r>
      <w:r>
        <w:tab/>
        <w:t>Each of the following documents is prescribed to be a safety management document for the purposes of the definition of “safety management document” in the Act section 3 —</w:t>
      </w:r>
    </w:p>
    <w:p>
      <w:pPr>
        <w:pStyle w:val="Indenta"/>
      </w:pPr>
      <w:r>
        <w:tab/>
        <w:t>(a)</w:t>
      </w:r>
      <w:r>
        <w:tab/>
        <w:t>an explosives management plan referred to in regulation 161 that relates to a licence referred to in regulation 157(7);</w:t>
      </w:r>
    </w:p>
    <w:p>
      <w:pPr>
        <w:pStyle w:val="Indenta"/>
      </w:pPr>
      <w:r>
        <w:tab/>
        <w:t>(b)</w:t>
      </w:r>
      <w:r>
        <w:tab/>
        <w:t>a blast plan referred to in regulation 130 and required to be prepared for the use of an explosive.</w:t>
      </w:r>
    </w:p>
    <w:p>
      <w:pPr>
        <w:pStyle w:val="Heading5"/>
      </w:pPr>
      <w:bookmarkStart w:id="770" w:name="_Toc238547999"/>
      <w:bookmarkStart w:id="771" w:name="_Toc233693214"/>
      <w:r>
        <w:rPr>
          <w:rStyle w:val="CharSectno"/>
        </w:rPr>
        <w:t>193</w:t>
      </w:r>
      <w:r>
        <w:t>.</w:t>
      </w:r>
      <w:r>
        <w:tab/>
        <w:t>False or misleading information, offences</w:t>
      </w:r>
      <w:bookmarkEnd w:id="770"/>
      <w:bookmarkEnd w:id="771"/>
    </w:p>
    <w:p>
      <w:pPr>
        <w:pStyle w:val="Subsection"/>
      </w:pPr>
      <w:r>
        <w:tab/>
        <w:t>(1)</w:t>
      </w:r>
      <w:r>
        <w:tab/>
        <w:t>A person must not record any information that the person knows is false or misleading in a plan, record or report that is required to be kept or made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772" w:name="_Toc238548000"/>
      <w:bookmarkStart w:id="773" w:name="_Toc233693215"/>
      <w:r>
        <w:rPr>
          <w:rStyle w:val="CharSectno"/>
        </w:rPr>
        <w:t>194</w:t>
      </w:r>
      <w:r>
        <w:t>.</w:t>
      </w:r>
      <w:r>
        <w:tab/>
        <w:t>Explosives management plan, duties in respect of</w:t>
      </w:r>
      <w:bookmarkEnd w:id="772"/>
      <w:bookmarkEnd w:id="773"/>
    </w:p>
    <w:p>
      <w:pPr>
        <w:pStyle w:val="Subsection"/>
      </w:pPr>
      <w:r>
        <w:tab/>
        <w:t>(1)</w:t>
      </w:r>
      <w:r>
        <w:tab/>
        <w:t>In this regulation —</w:t>
      </w:r>
    </w:p>
    <w:p>
      <w:pPr>
        <w:pStyle w:val="Defstart"/>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the holder of a licence is a body corporate or a partnership, each individual specified in the licence under regulation 165 is responsible for the implementation of the explosives management plan that relates to the licence.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Subsection"/>
      </w:pPr>
      <w:r>
        <w:tab/>
        <w:t>(6)</w:t>
      </w:r>
      <w:r>
        <w:tab/>
        <w:t>The holder of a licence must promptly give the Chief Officer written notice of any change of the identity or personal details of the individual responsible for ensuring the explosives management plan that relates to the licence is implemented.</w:t>
      </w:r>
    </w:p>
    <w:p>
      <w:pPr>
        <w:pStyle w:val="Penstart"/>
      </w:pPr>
      <w:r>
        <w:tab/>
        <w:t>Penalty: a level 3 fine.</w:t>
      </w:r>
    </w:p>
    <w:p>
      <w:pPr>
        <w:pStyle w:val="Heading5"/>
      </w:pPr>
      <w:bookmarkStart w:id="774" w:name="_Toc238548001"/>
      <w:bookmarkStart w:id="775" w:name="_Toc233693216"/>
      <w:r>
        <w:rPr>
          <w:rStyle w:val="CharSectno"/>
        </w:rPr>
        <w:t>195</w:t>
      </w:r>
      <w:r>
        <w:t>.</w:t>
      </w:r>
      <w:r>
        <w:tab/>
        <w:t>Conditions of a permit, contravening</w:t>
      </w:r>
      <w:bookmarkEnd w:id="774"/>
      <w:bookmarkEnd w:id="775"/>
    </w:p>
    <w:p>
      <w:pPr>
        <w:pStyle w:val="Subsection"/>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pPr>
      <w:r>
        <w:tab/>
        <w:t>(c)</w:t>
      </w:r>
      <w:r>
        <w:tab/>
        <w:t>a permit issued under regulation 131; or</w:t>
      </w:r>
    </w:p>
    <w:p>
      <w:pPr>
        <w:pStyle w:val="Indenta"/>
      </w:pPr>
      <w:r>
        <w:tab/>
        <w:t>(d)</w:t>
      </w:r>
      <w:r>
        <w:tab/>
        <w:t>a permit issued under regulation 139; or</w:t>
      </w:r>
    </w:p>
    <w:p>
      <w:pPr>
        <w:pStyle w:val="Indenta"/>
      </w:pPr>
      <w:r>
        <w:tab/>
        <w:t>(e)</w:t>
      </w:r>
      <w:r>
        <w:tab/>
        <w:t>a permit issued under regulation 140,</w:t>
      </w:r>
    </w:p>
    <w:p>
      <w:pPr>
        <w:pStyle w:val="Subsection"/>
      </w:pPr>
      <w:r>
        <w:tab/>
      </w:r>
      <w:r>
        <w:tab/>
        <w:t>must obey any condition that is in the permit.</w:t>
      </w:r>
    </w:p>
    <w:p>
      <w:pPr>
        <w:pStyle w:val="Penstart"/>
      </w:pPr>
      <w:r>
        <w:tab/>
        <w:t>Penalty: a level 1 fine and imprisonment for 10 months.</w:t>
      </w:r>
    </w:p>
    <w:p>
      <w:pPr>
        <w:pStyle w:val="Subsection"/>
      </w:pPr>
      <w:r>
        <w:tab/>
        <w:t>(2)</w:t>
      </w:r>
      <w:r>
        <w:tab/>
        <w:t xml:space="preserve">Despite </w:t>
      </w:r>
      <w:r>
        <w:rPr>
          <w:i/>
          <w:iCs/>
        </w:rPr>
        <w:t>The Criminal Code</w:t>
      </w:r>
      <w:r>
        <w:t xml:space="preserve"> section 11, a person convicted of an offence under subregulation (1) may be punished for the offence even if the condition contravened was amended or cancelled after the offence was committed.</w:t>
      </w:r>
    </w:p>
    <w:p>
      <w:pPr>
        <w:pStyle w:val="Heading5"/>
      </w:pPr>
      <w:bookmarkStart w:id="776" w:name="_Toc238548002"/>
      <w:bookmarkStart w:id="777" w:name="_Toc233693217"/>
      <w:r>
        <w:rPr>
          <w:rStyle w:val="CharSectno"/>
        </w:rPr>
        <w:t>196</w:t>
      </w:r>
      <w:r>
        <w:t>.</w:t>
      </w:r>
      <w:r>
        <w:tab/>
        <w:t>Permits have no effect if holder’s licence ceases to have effect</w:t>
      </w:r>
      <w:bookmarkEnd w:id="776"/>
      <w:bookmarkEnd w:id="777"/>
    </w:p>
    <w:p>
      <w:pPr>
        <w:pStyle w:val="Subsection"/>
      </w:pPr>
      <w:r>
        <w:tab/>
      </w:r>
      <w:r>
        <w:tab/>
        <w:t>If, when a licence ceases to have effect, the holder also holds a permit issued under these regulations, the permit ceases to have effect at the same time.</w:t>
      </w:r>
    </w:p>
    <w:p>
      <w:pPr>
        <w:pStyle w:val="Heading5"/>
      </w:pPr>
      <w:bookmarkStart w:id="778" w:name="_Toc238548003"/>
      <w:bookmarkStart w:id="779" w:name="_Toc233693218"/>
      <w:r>
        <w:rPr>
          <w:rStyle w:val="CharSectno"/>
        </w:rPr>
        <w:t>197</w:t>
      </w:r>
      <w:r>
        <w:t>.</w:t>
      </w:r>
      <w:r>
        <w:tab/>
        <w:t>Prescribed offences and modified penalties (Act s. 56)</w:t>
      </w:r>
      <w:bookmarkEnd w:id="778"/>
      <w:bookmarkEnd w:id="779"/>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prescribed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Heading2"/>
      </w:pPr>
      <w:bookmarkStart w:id="780" w:name="_Toc191960724"/>
      <w:bookmarkStart w:id="781" w:name="_Toc191982305"/>
      <w:bookmarkStart w:id="782" w:name="_Toc233693219"/>
      <w:bookmarkStart w:id="783" w:name="_Toc238546570"/>
      <w:bookmarkStart w:id="784" w:name="_Toc238546875"/>
      <w:bookmarkStart w:id="785" w:name="_Toc238548004"/>
      <w:r>
        <w:rPr>
          <w:rStyle w:val="CharPartNo"/>
        </w:rPr>
        <w:t>Part 18</w:t>
      </w:r>
      <w:r>
        <w:rPr>
          <w:rStyle w:val="CharDivNo"/>
        </w:rPr>
        <w:t> </w:t>
      </w:r>
      <w:r>
        <w:t>—</w:t>
      </w:r>
      <w:r>
        <w:rPr>
          <w:rStyle w:val="CharDivText"/>
        </w:rPr>
        <w:t> </w:t>
      </w:r>
      <w:r>
        <w:rPr>
          <w:rStyle w:val="CharPartText"/>
        </w:rPr>
        <w:t>Transitional matters</w:t>
      </w:r>
      <w:bookmarkEnd w:id="780"/>
      <w:bookmarkEnd w:id="781"/>
      <w:bookmarkEnd w:id="782"/>
      <w:bookmarkEnd w:id="783"/>
      <w:bookmarkEnd w:id="784"/>
      <w:bookmarkEnd w:id="785"/>
    </w:p>
    <w:p>
      <w:pPr>
        <w:pStyle w:val="Heading5"/>
      </w:pPr>
      <w:bookmarkStart w:id="786" w:name="_Toc238548005"/>
      <w:bookmarkStart w:id="787" w:name="_Toc233693220"/>
      <w:r>
        <w:rPr>
          <w:rStyle w:val="CharSectno"/>
        </w:rPr>
        <w:t>198</w:t>
      </w:r>
      <w:r>
        <w:t>.</w:t>
      </w:r>
      <w:r>
        <w:tab/>
        <w:t>Term used in this Part</w:t>
      </w:r>
      <w:bookmarkEnd w:id="786"/>
      <w:bookmarkEnd w:id="787"/>
    </w:p>
    <w:p>
      <w:pPr>
        <w:pStyle w:val="Subsection"/>
      </w:pPr>
      <w:r>
        <w:tab/>
      </w:r>
      <w:r>
        <w:tab/>
        <w:t xml:space="preserve">In this Part — </w:t>
      </w:r>
    </w:p>
    <w:p>
      <w:pPr>
        <w:pStyle w:val="Defstart"/>
      </w:pPr>
      <w:r>
        <w:rPr>
          <w:b/>
        </w:rPr>
        <w:tab/>
      </w:r>
      <w:r>
        <w:rPr>
          <w:rStyle w:val="CharDefText"/>
        </w:rPr>
        <w:t>commencement</w:t>
      </w:r>
      <w:r>
        <w:t xml:space="preserve"> means the day on which this Part comes into operation.</w:t>
      </w:r>
    </w:p>
    <w:p>
      <w:pPr>
        <w:pStyle w:val="Heading5"/>
      </w:pPr>
      <w:bookmarkStart w:id="788" w:name="_Toc238548006"/>
      <w:bookmarkStart w:id="789" w:name="_Toc233693221"/>
      <w:r>
        <w:rPr>
          <w:rStyle w:val="CharSectno"/>
        </w:rPr>
        <w:t>199</w:t>
      </w:r>
      <w:r>
        <w:t>.</w:t>
      </w:r>
      <w:r>
        <w:tab/>
        <w:t>Authorised explosives</w:t>
      </w:r>
      <w:bookmarkEnd w:id="788"/>
      <w:bookmarkEnd w:id="789"/>
    </w:p>
    <w:p>
      <w:pPr>
        <w:pStyle w:val="Subsection"/>
      </w:pPr>
      <w:r>
        <w:tab/>
      </w:r>
      <w:r>
        <w:tab/>
        <w:t xml:space="preserve">If immediately before commencement an explosive is declared under the </w:t>
      </w:r>
      <w:r>
        <w:rPr>
          <w:i/>
        </w:rPr>
        <w:t>Explosives and Dangerous Goods Act 1961</w:t>
      </w:r>
      <w:r>
        <w:rPr>
          <w:iCs/>
        </w:rPr>
        <w:t xml:space="preserve"> section 14 </w:t>
      </w:r>
      <w:r>
        <w:t>to be an authorised explosive for the purposes of that Act, then on commencement the explosive is to be taken to be an explosive that has been authorised under regulation 31.</w:t>
      </w:r>
    </w:p>
    <w:p>
      <w:pPr>
        <w:pStyle w:val="Heading5"/>
      </w:pPr>
      <w:bookmarkStart w:id="790" w:name="_Toc238548007"/>
      <w:bookmarkStart w:id="791" w:name="_Toc233693222"/>
      <w:r>
        <w:rPr>
          <w:rStyle w:val="CharSectno"/>
        </w:rPr>
        <w:t>200</w:t>
      </w:r>
      <w:r>
        <w:t>.</w:t>
      </w:r>
      <w:r>
        <w:tab/>
        <w:t xml:space="preserve">Licences issued under </w:t>
      </w:r>
      <w:r>
        <w:rPr>
          <w:i/>
        </w:rPr>
        <w:t>Explosives and Dangerous Goods Act 1961</w:t>
      </w:r>
      <w:bookmarkEnd w:id="790"/>
      <w:bookmarkEnd w:id="791"/>
    </w:p>
    <w:p>
      <w:pPr>
        <w:pStyle w:val="Subsection"/>
      </w:pPr>
      <w:r>
        <w:tab/>
      </w:r>
      <w:r>
        <w:tab/>
        <w:t xml:space="preserve">If immediately before commencement a person holds a valid licence issued under the </w:t>
      </w:r>
      <w:r>
        <w:rPr>
          <w:i/>
        </w:rPr>
        <w:t>Explosives and Dangerous Goods Act 1961</w:t>
      </w:r>
      <w:r>
        <w:rPr>
          <w:iCs/>
        </w:rPr>
        <w:t xml:space="preserve"> (the </w:t>
      </w:r>
      <w:r>
        <w:rPr>
          <w:rStyle w:val="CharDefText"/>
        </w:rPr>
        <w:t>old law licence</w:t>
      </w:r>
      <w:r>
        <w:rPr>
          <w:bCs/>
          <w:iCs/>
        </w:rPr>
        <w:t xml:space="preserve">) that is described in column 1 of the Table to this regulation, then on commencement </w:t>
      </w:r>
      <w:r>
        <w:t xml:space="preserve">the person is to be taken to hold the licence issued under these regulations described in column 2 of the Table (the </w:t>
      </w:r>
      <w:r>
        <w:rPr>
          <w:rStyle w:val="CharDefText"/>
        </w:rPr>
        <w:t>new law licence</w:t>
      </w:r>
      <w:r>
        <w:rPr>
          <w:bCs/>
        </w:rPr>
        <w:t xml:space="preserve">) </w:t>
      </w:r>
      <w:r>
        <w:t>and to do so —</w:t>
      </w:r>
    </w:p>
    <w:p>
      <w:pPr>
        <w:pStyle w:val="Indenta"/>
      </w:pPr>
      <w:r>
        <w:tab/>
        <w:t>(a)</w:t>
      </w:r>
      <w:r>
        <w:tab/>
        <w:t>subject to these regulations; and</w:t>
      </w:r>
    </w:p>
    <w:p>
      <w:pPr>
        <w:pStyle w:val="Indenta"/>
      </w:pPr>
      <w:r>
        <w:tab/>
        <w:t>(b)</w:t>
      </w:r>
      <w:r>
        <w:tab/>
        <w:t>subject to any condition to which the old law licence is subject; and</w:t>
      </w:r>
    </w:p>
    <w:p>
      <w:pPr>
        <w:pStyle w:val="Indenta"/>
        <w:rPr>
          <w:bCs/>
          <w:iCs/>
        </w:rPr>
      </w:pPr>
      <w:r>
        <w:tab/>
        <w:t>(c)</w:t>
      </w:r>
      <w:r>
        <w:tab/>
        <w:t>u</w:t>
      </w:r>
      <w:r>
        <w:rPr>
          <w:bCs/>
          <w:iCs/>
        </w:rPr>
        <w:t>ntil the old law licence would have expired under that Act.</w:t>
      </w:r>
    </w:p>
    <w:p>
      <w:pPr>
        <w:pStyle w:val="MiscellaneousHeading"/>
        <w:rPr>
          <w:b/>
          <w:bCs/>
        </w:rPr>
      </w:pPr>
      <w:r>
        <w:rPr>
          <w:b/>
          <w:bCs/>
        </w:rPr>
        <w:t>Table</w:t>
      </w:r>
    </w:p>
    <w:tbl>
      <w:tblPr>
        <w:tblW w:w="6237" w:type="dxa"/>
        <w:tblInd w:w="908" w:type="dxa"/>
        <w:tblLayout w:type="fixed"/>
        <w:tblCellMar>
          <w:left w:w="57" w:type="dxa"/>
          <w:right w:w="57" w:type="dxa"/>
        </w:tblCellMar>
        <w:tblLook w:val="0000" w:firstRow="0" w:lastRow="0" w:firstColumn="0" w:lastColumn="0" w:noHBand="0" w:noVBand="0"/>
      </w:tblPr>
      <w:tblGrid>
        <w:gridCol w:w="2835"/>
        <w:gridCol w:w="3402"/>
      </w:tblGrid>
      <w:tr>
        <w:trPr>
          <w:tblHeader/>
        </w:trPr>
        <w:tc>
          <w:tcPr>
            <w:tcW w:w="2835" w:type="dxa"/>
            <w:tcBorders>
              <w:top w:val="single" w:sz="4" w:space="0" w:color="auto"/>
              <w:bottom w:val="single" w:sz="4" w:space="0" w:color="auto"/>
            </w:tcBorders>
          </w:tcPr>
          <w:p>
            <w:pPr>
              <w:pStyle w:val="Table"/>
              <w:spacing w:before="0" w:line="240" w:lineRule="auto"/>
              <w:rPr>
                <w:b/>
              </w:rPr>
            </w:pPr>
            <w:r>
              <w:rPr>
                <w:b/>
              </w:rPr>
              <w:t>Old law licence</w:t>
            </w:r>
          </w:p>
        </w:tc>
        <w:tc>
          <w:tcPr>
            <w:tcW w:w="3402" w:type="dxa"/>
            <w:tcBorders>
              <w:top w:val="single" w:sz="4" w:space="0" w:color="auto"/>
              <w:bottom w:val="single" w:sz="4" w:space="0" w:color="auto"/>
            </w:tcBorders>
          </w:tcPr>
          <w:p>
            <w:pPr>
              <w:pStyle w:val="Table"/>
              <w:spacing w:before="0" w:line="240" w:lineRule="auto"/>
              <w:rPr>
                <w:b/>
              </w:rPr>
            </w:pPr>
            <w:r>
              <w:rPr>
                <w:b/>
              </w:rPr>
              <w:t>New law licence</w:t>
            </w:r>
          </w:p>
        </w:tc>
      </w:tr>
      <w:tr>
        <w:tc>
          <w:tcPr>
            <w:tcW w:w="2835" w:type="dxa"/>
          </w:tcPr>
          <w:p>
            <w:pPr>
              <w:pStyle w:val="Table"/>
            </w:pPr>
            <w:r>
              <w:t>Licence to Import Explosives</w:t>
            </w:r>
          </w:p>
        </w:tc>
        <w:tc>
          <w:tcPr>
            <w:tcW w:w="3402" w:type="dxa"/>
          </w:tcPr>
          <w:p>
            <w:pPr>
              <w:pStyle w:val="Table"/>
            </w:pPr>
            <w:r>
              <w:t>Explosives import/export licence</w:t>
            </w:r>
          </w:p>
        </w:tc>
      </w:tr>
      <w:tr>
        <w:tc>
          <w:tcPr>
            <w:tcW w:w="2835" w:type="dxa"/>
          </w:tcPr>
          <w:p>
            <w:pPr>
              <w:pStyle w:val="Table"/>
            </w:pPr>
            <w:r>
              <w:t>Licence to Manufacture Explosives</w:t>
            </w:r>
          </w:p>
        </w:tc>
        <w:tc>
          <w:tcPr>
            <w:tcW w:w="3402" w:type="dxa"/>
          </w:tcPr>
          <w:p>
            <w:pPr>
              <w:pStyle w:val="Table"/>
            </w:pPr>
            <w:r>
              <w:t>Explosives manufacture licence</w:t>
            </w:r>
          </w:p>
        </w:tc>
      </w:tr>
      <w:tr>
        <w:tc>
          <w:tcPr>
            <w:tcW w:w="2835" w:type="dxa"/>
          </w:tcPr>
          <w:p>
            <w:pPr>
              <w:pStyle w:val="Table"/>
            </w:pPr>
            <w:r>
              <w:t>Licence to Store Explosives</w:t>
            </w:r>
          </w:p>
        </w:tc>
        <w:tc>
          <w:tcPr>
            <w:tcW w:w="3402" w:type="dxa"/>
          </w:tcPr>
          <w:p>
            <w:pPr>
              <w:pStyle w:val="Table"/>
            </w:pPr>
            <w:r>
              <w:t>Explosives storage licence</w:t>
            </w:r>
          </w:p>
        </w:tc>
      </w:tr>
      <w:tr>
        <w:tc>
          <w:tcPr>
            <w:tcW w:w="2835" w:type="dxa"/>
          </w:tcPr>
          <w:p>
            <w:pPr>
              <w:pStyle w:val="Table"/>
            </w:pPr>
            <w:r>
              <w:t>Licence to Sell Explosives</w:t>
            </w:r>
          </w:p>
        </w:tc>
        <w:tc>
          <w:tcPr>
            <w:tcW w:w="3402" w:type="dxa"/>
          </w:tcPr>
          <w:p>
            <w:pPr>
              <w:pStyle w:val="Table"/>
            </w:pPr>
            <w:r>
              <w:t>Explosives supply licence</w:t>
            </w:r>
          </w:p>
        </w:tc>
      </w:tr>
      <w:tr>
        <w:tc>
          <w:tcPr>
            <w:tcW w:w="2835" w:type="dxa"/>
          </w:tcPr>
          <w:p>
            <w:pPr>
              <w:pStyle w:val="Table"/>
            </w:pPr>
            <w:r>
              <w:t>Shotfirer’s Permit restricted to outdoor fireworks</w:t>
            </w:r>
          </w:p>
        </w:tc>
        <w:tc>
          <w:tcPr>
            <w:tcW w:w="3402" w:type="dxa"/>
          </w:tcPr>
          <w:p>
            <w:pPr>
              <w:pStyle w:val="Table"/>
            </w:pPr>
            <w:r>
              <w:t>Fireworks contractor licence</w:t>
            </w:r>
          </w:p>
        </w:tc>
      </w:tr>
      <w:tr>
        <w:tc>
          <w:tcPr>
            <w:tcW w:w="2835" w:type="dxa"/>
          </w:tcPr>
          <w:p>
            <w:pPr>
              <w:pStyle w:val="Table"/>
            </w:pPr>
            <w:r>
              <w:t>Shotfirer’s Permit restricted to theatrical fireworks</w:t>
            </w:r>
          </w:p>
        </w:tc>
        <w:tc>
          <w:tcPr>
            <w:tcW w:w="3402" w:type="dxa"/>
          </w:tcPr>
          <w:p>
            <w:pPr>
              <w:pStyle w:val="Table"/>
            </w:pPr>
            <w:r>
              <w:t>Pyrotechnics (special use) licence to use only theatrical fireworks (as defined in regulation 136)</w:t>
            </w:r>
          </w:p>
        </w:tc>
      </w:tr>
      <w:tr>
        <w:tc>
          <w:tcPr>
            <w:tcW w:w="2835" w:type="dxa"/>
          </w:tcPr>
          <w:p>
            <w:pPr>
              <w:pStyle w:val="Table"/>
            </w:pPr>
            <w:r>
              <w:t>Shotfirer’s Permit restricted to explosives specified in the licence</w:t>
            </w:r>
          </w:p>
        </w:tc>
        <w:tc>
          <w:tcPr>
            <w:tcW w:w="3402" w:type="dxa"/>
          </w:tcPr>
          <w:p>
            <w:pPr>
              <w:pStyle w:val="Table"/>
            </w:pPr>
            <w:r>
              <w:t>Pyrotechnics (special use) licence to use the same explosives as those permitted under the old licence</w:t>
            </w:r>
          </w:p>
        </w:tc>
      </w:tr>
      <w:tr>
        <w:tc>
          <w:tcPr>
            <w:tcW w:w="2835" w:type="dxa"/>
            <w:tcBorders>
              <w:bottom w:val="single" w:sz="4" w:space="0" w:color="auto"/>
            </w:tcBorders>
          </w:tcPr>
          <w:p>
            <w:pPr>
              <w:pStyle w:val="Table"/>
            </w:pPr>
            <w:r>
              <w:t>Shotfirer’s Permit restricted to using explosives to blast</w:t>
            </w:r>
          </w:p>
        </w:tc>
        <w:tc>
          <w:tcPr>
            <w:tcW w:w="3402" w:type="dxa"/>
            <w:tcBorders>
              <w:bottom w:val="single" w:sz="4" w:space="0" w:color="auto"/>
            </w:tcBorders>
          </w:tcPr>
          <w:p>
            <w:pPr>
              <w:pStyle w:val="Table"/>
            </w:pPr>
            <w:r>
              <w:t>Shotfiring licence</w:t>
            </w:r>
          </w:p>
        </w:tc>
      </w:tr>
    </w:tbl>
    <w:p>
      <w:pPr>
        <w:pStyle w:val="Heading5"/>
      </w:pPr>
      <w:bookmarkStart w:id="792" w:name="_Toc238548008"/>
      <w:bookmarkStart w:id="793" w:name="_Toc233693223"/>
      <w:r>
        <w:rPr>
          <w:rStyle w:val="CharSectno"/>
        </w:rPr>
        <w:t>201</w:t>
      </w:r>
      <w:r>
        <w:t>.</w:t>
      </w:r>
      <w:r>
        <w:tab/>
        <w:t xml:space="preserve">Explosive vehicle licences issued under </w:t>
      </w:r>
      <w:r>
        <w:rPr>
          <w:i/>
        </w:rPr>
        <w:t>Dangerous Goods (Transport) Act 1998</w:t>
      </w:r>
      <w:bookmarkEnd w:id="792"/>
      <w:bookmarkEnd w:id="793"/>
    </w:p>
    <w:p>
      <w:pPr>
        <w:pStyle w:val="Subsection"/>
        <w:rPr>
          <w:bCs/>
          <w:iCs/>
        </w:rPr>
      </w:pPr>
      <w:r>
        <w:tab/>
      </w:r>
      <w:r>
        <w:tab/>
        <w:t xml:space="preserve">If immediately before commencement a person holds one or more valid licences for a vehicle issued under the </w:t>
      </w:r>
      <w:r>
        <w:rPr>
          <w:i/>
        </w:rPr>
        <w:t>Dangerous Goods (Transport) (Explosives by Road and Rail) Regulations 1999</w:t>
      </w:r>
      <w:r>
        <w:rPr>
          <w:iCs/>
        </w:rPr>
        <w:t xml:space="preserve"> Part 5 Division 4 (an </w:t>
      </w:r>
      <w:r>
        <w:rPr>
          <w:rStyle w:val="CharDefText"/>
        </w:rPr>
        <w:t>old vehicle licence</w:t>
      </w:r>
      <w:r>
        <w:rPr>
          <w:bCs/>
          <w:iCs/>
        </w:rPr>
        <w:t>), then on commencement the person is to be taken to hold —</w:t>
      </w:r>
    </w:p>
    <w:p>
      <w:pPr>
        <w:pStyle w:val="Indenta"/>
      </w:pPr>
      <w:r>
        <w:tab/>
        <w:t>(a)</w:t>
      </w:r>
      <w:r>
        <w:tab/>
        <w:t>if one or more old vehicle licences relates to an MPU, an explosives manufacture (MPU) licence issued under these regulations; and</w:t>
      </w:r>
    </w:p>
    <w:p>
      <w:pPr>
        <w:pStyle w:val="Indenta"/>
      </w:pPr>
      <w:r>
        <w:tab/>
        <w:t>(b)</w:t>
      </w:r>
      <w:r>
        <w:tab/>
        <w:t>if one or more old vehicle licences relates to a vehicle that is not an MPU, an explosives transport licence issued under these regulations,</w:t>
      </w:r>
    </w:p>
    <w:p>
      <w:pPr>
        <w:pStyle w:val="Subsection"/>
        <w:rPr>
          <w:bCs/>
          <w:iCs/>
        </w:rPr>
      </w:pPr>
      <w:r>
        <w:rPr>
          <w:bCs/>
          <w:iCs/>
        </w:rPr>
        <w:tab/>
      </w:r>
      <w:r>
        <w:rPr>
          <w:bCs/>
          <w:iCs/>
        </w:rPr>
        <w:tab/>
        <w:t>and to hold that licence or those licences, as the case may be —</w:t>
      </w:r>
    </w:p>
    <w:p>
      <w:pPr>
        <w:pStyle w:val="Indenta"/>
      </w:pPr>
      <w:r>
        <w:tab/>
        <w:t>(c)</w:t>
      </w:r>
      <w:r>
        <w:tab/>
        <w:t>subject to these regulations; and</w:t>
      </w:r>
    </w:p>
    <w:p>
      <w:pPr>
        <w:pStyle w:val="Indenta"/>
      </w:pPr>
      <w:r>
        <w:tab/>
        <w:t>(d)</w:t>
      </w:r>
      <w:r>
        <w:tab/>
        <w:t>subject to any condition to which the old vehicle licence is subject; and</w:t>
      </w:r>
    </w:p>
    <w:p>
      <w:pPr>
        <w:pStyle w:val="Indenta"/>
        <w:rPr>
          <w:bCs/>
          <w:iCs/>
        </w:rPr>
      </w:pPr>
      <w:r>
        <w:tab/>
        <w:t>(e)</w:t>
      </w:r>
      <w:r>
        <w:tab/>
        <w:t>u</w:t>
      </w:r>
      <w:r>
        <w:rPr>
          <w:bCs/>
          <w:iCs/>
        </w:rPr>
        <w:t xml:space="preserve">ntil the old vehicle licence (or if there is more than one, the first of them) would have expired under the </w:t>
      </w:r>
      <w:r>
        <w:rPr>
          <w:i/>
        </w:rPr>
        <w:t>Dangerous Goods (Transport) (Explosives by Road and Rail) Regulations 1999</w:t>
      </w:r>
      <w:r>
        <w:rPr>
          <w:iCs/>
        </w:rPr>
        <w:t>.</w:t>
      </w:r>
    </w:p>
    <w:p>
      <w:pPr>
        <w:pStyle w:val="Heading5"/>
      </w:pPr>
      <w:bookmarkStart w:id="794" w:name="_Toc238548009"/>
      <w:bookmarkStart w:id="795" w:name="_Toc233693224"/>
      <w:r>
        <w:rPr>
          <w:rStyle w:val="CharSectno"/>
        </w:rPr>
        <w:t>202</w:t>
      </w:r>
      <w:r>
        <w:t>.</w:t>
      </w:r>
      <w:r>
        <w:tab/>
        <w:t>Security clearances required within one year after commencement</w:t>
      </w:r>
      <w:bookmarkEnd w:id="794"/>
      <w:bookmarkEnd w:id="795"/>
    </w:p>
    <w:p>
      <w:pPr>
        <w:pStyle w:val="Subsection"/>
      </w:pPr>
      <w:r>
        <w:tab/>
        <w:t>(1)</w:t>
      </w:r>
      <w:r>
        <w:tab/>
        <w:t xml:space="preserve">If — </w:t>
      </w:r>
    </w:p>
    <w:p>
      <w:pPr>
        <w:pStyle w:val="Indenta"/>
      </w:pPr>
      <w:r>
        <w:tab/>
        <w:t>(a)</w:t>
      </w:r>
      <w:r>
        <w:tab/>
        <w:t>under regulation 200 or 201 a person is taken to hold a licence issued under these regulations; and</w:t>
      </w:r>
    </w:p>
    <w:p>
      <w:pPr>
        <w:pStyle w:val="Indenta"/>
      </w:pPr>
      <w:r>
        <w:tab/>
        <w:t>(b)</w:t>
      </w:r>
      <w:r>
        <w:tab/>
        <w:t>under regulation 173 the person applies for a new such licence,</w:t>
      </w:r>
    </w:p>
    <w:p>
      <w:pPr>
        <w:pStyle w:val="Subsection"/>
      </w:pPr>
      <w:r>
        <w:tab/>
      </w:r>
      <w:r>
        <w:tab/>
        <w:t>then, despite regulation 164(2)(c)(ii) or (e)(iii) (as the case may be), the Chief Officer may issue a new licence despite the fact that the person does not have a security clearance.</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the person has a security clearance.</w:t>
      </w:r>
    </w:p>
    <w:p>
      <w:pPr>
        <w:pStyle w:val="Heading5"/>
      </w:pPr>
      <w:bookmarkStart w:id="796" w:name="_Toc238548010"/>
      <w:bookmarkStart w:id="797" w:name="_Toc233693225"/>
      <w:r>
        <w:rPr>
          <w:rStyle w:val="CharSectno"/>
        </w:rPr>
        <w:t>203</w:t>
      </w:r>
      <w:r>
        <w:t>.</w:t>
      </w:r>
      <w:r>
        <w:tab/>
        <w:t>Explosives management plans required within one year after commencement</w:t>
      </w:r>
      <w:bookmarkEnd w:id="796"/>
      <w:bookmarkEnd w:id="797"/>
    </w:p>
    <w:p>
      <w:pPr>
        <w:pStyle w:val="Subsection"/>
      </w:pPr>
      <w:r>
        <w:tab/>
        <w:t>(1)</w:t>
      </w:r>
      <w:r>
        <w:tab/>
        <w:t xml:space="preserve">If — </w:t>
      </w:r>
    </w:p>
    <w:p>
      <w:pPr>
        <w:pStyle w:val="Indenta"/>
      </w:pPr>
      <w:r>
        <w:tab/>
        <w:t>(a)</w:t>
      </w:r>
      <w:r>
        <w:tab/>
        <w:t>under regulation 200 or 201 a person is taken to hold a licence under these regulations; and</w:t>
      </w:r>
    </w:p>
    <w:p>
      <w:pPr>
        <w:pStyle w:val="Indenta"/>
      </w:pPr>
      <w:r>
        <w:tab/>
        <w:t>(b)</w:t>
      </w:r>
      <w:r>
        <w:tab/>
        <w:t>the licence is one referred to in regulation 157(7); and</w:t>
      </w:r>
    </w:p>
    <w:p>
      <w:pPr>
        <w:pStyle w:val="Indenta"/>
      </w:pPr>
      <w:r>
        <w:tab/>
        <w:t>(c)</w:t>
      </w:r>
      <w:r>
        <w:tab/>
        <w:t>under regulation 173 the person applies for a new such licence,</w:t>
      </w:r>
    </w:p>
    <w:p>
      <w:pPr>
        <w:pStyle w:val="Subsection"/>
      </w:pPr>
      <w:r>
        <w:tab/>
      </w:r>
      <w:r>
        <w:tab/>
        <w:t>then, despite regulation 173(4), the Chief Officer may issue a new licence despite the fact that the person has not given the Chief Officer an explosives management plan or a certificate under regulation 173(4).</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w:t>
      </w:r>
    </w:p>
    <w:p>
      <w:pPr>
        <w:pStyle w:val="Indenta"/>
      </w:pPr>
      <w:r>
        <w:tab/>
        <w:t>(a)</w:t>
      </w:r>
      <w:r>
        <w:tab/>
        <w:t>that the person has given the Chief Officer an explosives management plan for the purposes of the licence; and</w:t>
      </w:r>
    </w:p>
    <w:p>
      <w:pPr>
        <w:pStyle w:val="Indenta"/>
      </w:pPr>
      <w:r>
        <w:tab/>
        <w:t>(b)</w:t>
      </w:r>
      <w:r>
        <w:tab/>
        <w:t>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Heading5"/>
      </w:pPr>
      <w:bookmarkStart w:id="798" w:name="_Toc238548011"/>
      <w:bookmarkStart w:id="799" w:name="_Toc233693226"/>
      <w:r>
        <w:rPr>
          <w:rStyle w:val="CharSectno"/>
        </w:rPr>
        <w:t>204</w:t>
      </w:r>
      <w:r>
        <w:t>.</w:t>
      </w:r>
      <w:r>
        <w:tab/>
        <w:t>Explosives driver licence issued under</w:t>
      </w:r>
      <w:r>
        <w:rPr>
          <w:i/>
        </w:rPr>
        <w:t xml:space="preserve"> Dangerous Goods (Transport) Act 1998</w:t>
      </w:r>
      <w:bookmarkEnd w:id="798"/>
      <w:bookmarkEnd w:id="799"/>
    </w:p>
    <w:p>
      <w:pPr>
        <w:pStyle w:val="Subsection"/>
        <w:rPr>
          <w:bCs/>
          <w:iCs/>
        </w:rPr>
      </w:pPr>
      <w:r>
        <w:tab/>
        <w:t>(1)</w:t>
      </w:r>
      <w:r>
        <w:tab/>
        <w:t xml:space="preserve">If immediately before commencement a person holds a valid explosives driver licence issued under the </w:t>
      </w:r>
      <w:r>
        <w:rPr>
          <w:i/>
        </w:rPr>
        <w:t>Dangerous Goods (Transport) (Explosives by Road and Rail) Regulations 1999</w:t>
      </w:r>
      <w:r>
        <w:rPr>
          <w:iCs/>
        </w:rPr>
        <w:t xml:space="preserve"> Part 5 Division 3 (an </w:t>
      </w:r>
      <w:r>
        <w:rPr>
          <w:rStyle w:val="CharDefText"/>
        </w:rPr>
        <w:t>old driver licence</w:t>
      </w:r>
      <w:r>
        <w:rPr>
          <w:bCs/>
          <w:iCs/>
        </w:rPr>
        <w:t>), then on commencement the person is to be taken to hold an explosives driver licence issued under these regulations and to do so —</w:t>
      </w:r>
    </w:p>
    <w:p>
      <w:pPr>
        <w:pStyle w:val="Indenta"/>
      </w:pPr>
      <w:r>
        <w:tab/>
        <w:t>(a)</w:t>
      </w:r>
      <w:r>
        <w:tab/>
        <w:t>subject to these regulations; and</w:t>
      </w:r>
    </w:p>
    <w:p>
      <w:pPr>
        <w:pStyle w:val="Indenta"/>
      </w:pPr>
      <w:r>
        <w:tab/>
        <w:t>(b)</w:t>
      </w:r>
      <w:r>
        <w:tab/>
        <w:t>subject to any condition to which the old driver licence is subject; and</w:t>
      </w:r>
    </w:p>
    <w:p>
      <w:pPr>
        <w:pStyle w:val="Indenta"/>
        <w:rPr>
          <w:bCs/>
          <w:iCs/>
        </w:rPr>
      </w:pPr>
      <w:r>
        <w:tab/>
        <w:t>(c)</w:t>
      </w:r>
      <w:r>
        <w:tab/>
        <w:t>u</w:t>
      </w:r>
      <w:r>
        <w:rPr>
          <w:bCs/>
          <w:iCs/>
        </w:rPr>
        <w:t xml:space="preserve">ntil — </w:t>
      </w:r>
    </w:p>
    <w:p>
      <w:pPr>
        <w:pStyle w:val="Indenti"/>
      </w:pPr>
      <w:r>
        <w:rPr>
          <w:bCs/>
          <w:iCs/>
        </w:rPr>
        <w:tab/>
        <w:t>(i)</w:t>
      </w:r>
      <w:r>
        <w:rPr>
          <w:bCs/>
          <w:iCs/>
        </w:rPr>
        <w:tab/>
        <w:t xml:space="preserve">the old driver licence would have expired under the </w:t>
      </w:r>
      <w:r>
        <w:rPr>
          <w:i/>
          <w:iCs/>
        </w:rPr>
        <w:t>Dangerous Goods (Transport) (Explosives by Road and Rail) Regulations Act 1999</w:t>
      </w:r>
      <w:r>
        <w:t>; or</w:t>
      </w:r>
    </w:p>
    <w:p>
      <w:pPr>
        <w:pStyle w:val="Indenti"/>
      </w:pPr>
      <w:r>
        <w:tab/>
        <w:t>(ii)</w:t>
      </w:r>
      <w:r>
        <w:tab/>
        <w:t>the end of the 12 months that begin on commencement if at that time the Chief Officer is not satisfied the person has a security clearance,</w:t>
      </w:r>
    </w:p>
    <w:p>
      <w:pPr>
        <w:pStyle w:val="Indenta"/>
      </w:pPr>
      <w:r>
        <w:tab/>
      </w:r>
      <w:r>
        <w:tab/>
        <w:t>whichever occurs first.</w:t>
      </w:r>
    </w:p>
    <w:p>
      <w:pPr>
        <w:pStyle w:val="Subsection"/>
        <w:keepNext/>
      </w:pPr>
      <w:r>
        <w:tab/>
        <w:t>(2)</w:t>
      </w:r>
      <w:r>
        <w:tab/>
        <w:t xml:space="preserve">If — </w:t>
      </w:r>
    </w:p>
    <w:p>
      <w:pPr>
        <w:pStyle w:val="Indenta"/>
      </w:pPr>
      <w:r>
        <w:tab/>
        <w:t>(a)</w:t>
      </w:r>
      <w:r>
        <w:tab/>
        <w:t>under subregulation (1) a person is taken to hold an explosives driver licence issued under these regulations; and</w:t>
      </w:r>
    </w:p>
    <w:p>
      <w:pPr>
        <w:pStyle w:val="Indenta"/>
      </w:pPr>
      <w:r>
        <w:tab/>
        <w:t>(b)</w:t>
      </w:r>
      <w:r>
        <w:tab/>
        <w:t>under regulation 173 the person applies for a new explosives driver licence in the 12 months that begin on commencement,</w:t>
      </w:r>
    </w:p>
    <w:p>
      <w:pPr>
        <w:pStyle w:val="Subsection"/>
      </w:pPr>
      <w:r>
        <w:tab/>
      </w:r>
      <w:r>
        <w:tab/>
        <w:t>then, despite regulation 164(2)(c)(ii), the Chief Officer may issue a new explosives driver licence despite the fact that the person does not have a security clearance.</w:t>
      </w:r>
    </w:p>
    <w:p>
      <w:pPr>
        <w:pStyle w:val="Subsection"/>
      </w:pPr>
      <w:r>
        <w:tab/>
        <w:t>(3)</w:t>
      </w:r>
      <w:r>
        <w:tab/>
        <w:t>If under subregulation (2) the Chief Officer issues a new explosives driver licence to a person, then despite the term specified in it, the licence ceases to have effect if the person does not, in the 12 months that begin on commencement, satisfy the Chief Officer that the person has a security clearance.</w:t>
      </w:r>
    </w:p>
    <w:p>
      <w:pPr>
        <w:pStyle w:val="Heading5"/>
      </w:pPr>
      <w:bookmarkStart w:id="800" w:name="_Toc238548012"/>
      <w:bookmarkStart w:id="801" w:name="_Toc233693227"/>
      <w:r>
        <w:rPr>
          <w:rStyle w:val="CharSectno"/>
        </w:rPr>
        <w:t>205</w:t>
      </w:r>
      <w:r>
        <w:t>.</w:t>
      </w:r>
      <w:r>
        <w:tab/>
        <w:t>State explosive facilities, when new fees apply</w:t>
      </w:r>
      <w:bookmarkEnd w:id="800"/>
      <w:bookmarkEnd w:id="801"/>
    </w:p>
    <w:p>
      <w:pPr>
        <w:pStyle w:val="Subsection"/>
      </w:pPr>
      <w:r>
        <w:tab/>
      </w:r>
      <w:r>
        <w:tab/>
        <w:t xml:space="preserve">If immediately before commencement a person — </w:t>
      </w:r>
    </w:p>
    <w:p>
      <w:pPr>
        <w:pStyle w:val="Indenta"/>
      </w:pPr>
      <w:r>
        <w:tab/>
        <w:t>(a)</w:t>
      </w:r>
      <w:r>
        <w:tab/>
        <w:t xml:space="preserve">is a lessee under a lease to which the </w:t>
      </w:r>
      <w:r>
        <w:rPr>
          <w:i/>
        </w:rPr>
        <w:t>Explosives and Dangerous Goods (Explosives) Regulations 1963</w:t>
      </w:r>
      <w:r>
        <w:t xml:space="preserve"> regulation 59 applies; or</w:t>
      </w:r>
    </w:p>
    <w:p>
      <w:pPr>
        <w:pStyle w:val="Indenta"/>
      </w:pPr>
      <w:r>
        <w:tab/>
        <w:t>(b)</w:t>
      </w:r>
      <w:r>
        <w:tab/>
        <w:t>is otherwise entitled to occupy any part of a State explosives facility,</w:t>
      </w:r>
    </w:p>
    <w:p>
      <w:pPr>
        <w:pStyle w:val="Subsection"/>
      </w:pPr>
      <w:r>
        <w:tab/>
      </w:r>
      <w:r>
        <w:tab/>
        <w:t>then regulations 188 to 190 of these regulations apply to the person on and from the start of the quarter referred to in regulation 187 that first starts after commencement day.</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02" w:name="_Toc191960733"/>
      <w:bookmarkStart w:id="803" w:name="_Toc191982314"/>
      <w:bookmarkStart w:id="804" w:name="_Toc233693228"/>
      <w:bookmarkStart w:id="805" w:name="_Toc238546579"/>
      <w:bookmarkStart w:id="806" w:name="_Toc238546884"/>
      <w:bookmarkStart w:id="807" w:name="_Toc238548013"/>
      <w:bookmarkStart w:id="808" w:name="_Toc113695922"/>
      <w:bookmarkStart w:id="809" w:name="_Toc186857117"/>
      <w:bookmarkStart w:id="810" w:name="_Toc186857186"/>
      <w:bookmarkStart w:id="811" w:name="_Toc186872265"/>
      <w:r>
        <w:rPr>
          <w:rStyle w:val="CharSchNo"/>
        </w:rPr>
        <w:t>Schedule 1</w:t>
      </w:r>
      <w:r>
        <w:rPr>
          <w:rStyle w:val="CharSDivNo"/>
        </w:rPr>
        <w:t> </w:t>
      </w:r>
      <w:r>
        <w:t>—</w:t>
      </w:r>
      <w:r>
        <w:rPr>
          <w:rStyle w:val="CharSDivText"/>
        </w:rPr>
        <w:t> </w:t>
      </w:r>
      <w:r>
        <w:rPr>
          <w:rStyle w:val="CharSchText"/>
        </w:rPr>
        <w:t>Fees</w:t>
      </w:r>
      <w:bookmarkEnd w:id="802"/>
      <w:bookmarkEnd w:id="803"/>
      <w:bookmarkEnd w:id="804"/>
      <w:bookmarkEnd w:id="805"/>
      <w:bookmarkEnd w:id="806"/>
      <w:bookmarkEnd w:id="807"/>
    </w:p>
    <w:p>
      <w:pPr>
        <w:pStyle w:val="yShoulderClause"/>
        <w:spacing w:after="240"/>
      </w:pPr>
      <w:r>
        <w:t>[r. 3]</w:t>
      </w:r>
    </w:p>
    <w:tbl>
      <w:tblPr>
        <w:tblW w:w="7088" w:type="dxa"/>
        <w:tblInd w:w="57" w:type="dxa"/>
        <w:tblLayout w:type="fixed"/>
        <w:tblCellMar>
          <w:left w:w="57" w:type="dxa"/>
          <w:right w:w="57" w:type="dxa"/>
        </w:tblCellMar>
        <w:tblLook w:val="0000" w:firstRow="0" w:lastRow="0" w:firstColumn="0" w:lastColumn="0" w:noHBand="0" w:noVBand="0"/>
      </w:tblPr>
      <w:tblGrid>
        <w:gridCol w:w="567"/>
        <w:gridCol w:w="5529"/>
        <w:gridCol w:w="992"/>
      </w:tblGrid>
      <w:tr>
        <w:trPr>
          <w:cantSplit/>
          <w:tblHeader/>
        </w:trPr>
        <w:tc>
          <w:tcPr>
            <w:tcW w:w="567" w:type="dxa"/>
            <w:tcBorders>
              <w:top w:val="single" w:sz="4" w:space="0" w:color="auto"/>
              <w:bottom w:val="single" w:sz="4" w:space="0" w:color="auto"/>
            </w:tcBorders>
          </w:tcPr>
          <w:p>
            <w:pPr>
              <w:pStyle w:val="yTableNAm"/>
              <w:jc w:val="center"/>
              <w:rPr>
                <w:b/>
                <w:bCs/>
              </w:rPr>
            </w:pPr>
            <w:r>
              <w:rPr>
                <w:b/>
                <w:bCs/>
              </w:rPr>
              <w:t>Item</w:t>
            </w:r>
          </w:p>
        </w:tc>
        <w:tc>
          <w:tcPr>
            <w:tcW w:w="5529" w:type="dxa"/>
            <w:tcBorders>
              <w:top w:val="single" w:sz="4" w:space="0" w:color="auto"/>
              <w:bottom w:val="single" w:sz="4" w:space="0" w:color="auto"/>
            </w:tcBorders>
          </w:tcPr>
          <w:p>
            <w:pPr>
              <w:pStyle w:val="yTableNAm"/>
              <w:rPr>
                <w:b/>
                <w:bCs/>
              </w:rPr>
            </w:pPr>
            <w:r>
              <w:rPr>
                <w:b/>
                <w:bCs/>
              </w:rPr>
              <w:t>Fee for</w:t>
            </w:r>
          </w:p>
        </w:tc>
        <w:tc>
          <w:tcPr>
            <w:tcW w:w="992" w:type="dxa"/>
            <w:tcBorders>
              <w:top w:val="single" w:sz="4" w:space="0" w:color="auto"/>
              <w:bottom w:val="single" w:sz="4" w:space="0" w:color="auto"/>
            </w:tcBorders>
          </w:tcPr>
          <w:p>
            <w:pPr>
              <w:pStyle w:val="yTableNAm"/>
              <w:tabs>
                <w:tab w:val="clear" w:pos="567"/>
              </w:tabs>
              <w:ind w:right="-49"/>
              <w:jc w:val="center"/>
              <w:rPr>
                <w:b/>
                <w:bCs/>
              </w:rPr>
            </w:pPr>
            <w:r>
              <w:rPr>
                <w:b/>
                <w:bCs/>
              </w:rPr>
              <w:t>Fee ($)</w:t>
            </w:r>
          </w:p>
        </w:tc>
      </w:tr>
      <w:tr>
        <w:trPr>
          <w:cantSplit/>
        </w:trPr>
        <w:tc>
          <w:tcPr>
            <w:tcW w:w="567" w:type="dxa"/>
          </w:tcPr>
          <w:p>
            <w:pPr>
              <w:pStyle w:val="yTableNAm"/>
              <w:jc w:val="center"/>
            </w:pPr>
            <w:r>
              <w:t>1.</w:t>
            </w:r>
          </w:p>
        </w:tc>
        <w:tc>
          <w:tcPr>
            <w:tcW w:w="5529" w:type="dxa"/>
          </w:tcPr>
          <w:p>
            <w:pPr>
              <w:pStyle w:val="yTableNAm"/>
            </w:pPr>
            <w:r>
              <w:t>Application for a security card (r. 17(3))</w:t>
            </w:r>
          </w:p>
        </w:tc>
        <w:tc>
          <w:tcPr>
            <w:tcW w:w="992" w:type="dxa"/>
          </w:tcPr>
          <w:p>
            <w:pPr>
              <w:pStyle w:val="yTableNAm"/>
              <w:tabs>
                <w:tab w:val="clear" w:pos="567"/>
              </w:tabs>
              <w:ind w:right="71"/>
              <w:jc w:val="right"/>
            </w:pPr>
            <w:r>
              <w:t>156</w:t>
            </w:r>
          </w:p>
        </w:tc>
      </w:tr>
      <w:tr>
        <w:trPr>
          <w:cantSplit/>
        </w:trPr>
        <w:tc>
          <w:tcPr>
            <w:tcW w:w="567" w:type="dxa"/>
          </w:tcPr>
          <w:p>
            <w:pPr>
              <w:pStyle w:val="yTableNAm"/>
              <w:jc w:val="center"/>
            </w:pPr>
            <w:r>
              <w:t>2.</w:t>
            </w:r>
          </w:p>
        </w:tc>
        <w:tc>
          <w:tcPr>
            <w:tcW w:w="5529" w:type="dxa"/>
          </w:tcPr>
          <w:p>
            <w:pPr>
              <w:pStyle w:val="yTableNAm"/>
            </w:pPr>
            <w:r>
              <w:t>Application for a test permit (r. 27(2)(d))</w:t>
            </w:r>
          </w:p>
        </w:tc>
        <w:tc>
          <w:tcPr>
            <w:tcW w:w="992" w:type="dxa"/>
          </w:tcPr>
          <w:p>
            <w:pPr>
              <w:pStyle w:val="yTableNAm"/>
              <w:tabs>
                <w:tab w:val="clear" w:pos="567"/>
              </w:tabs>
              <w:ind w:right="71"/>
              <w:jc w:val="right"/>
            </w:pPr>
            <w:r>
              <w:t>160</w:t>
            </w:r>
          </w:p>
        </w:tc>
      </w:tr>
      <w:tr>
        <w:trPr>
          <w:cantSplit/>
        </w:trPr>
        <w:tc>
          <w:tcPr>
            <w:tcW w:w="567" w:type="dxa"/>
          </w:tcPr>
          <w:p>
            <w:pPr>
              <w:pStyle w:val="yTableNAm"/>
              <w:jc w:val="center"/>
            </w:pPr>
            <w:r>
              <w:t>3.</w:t>
            </w:r>
          </w:p>
        </w:tc>
        <w:tc>
          <w:tcPr>
            <w:tcW w:w="5529" w:type="dxa"/>
          </w:tcPr>
          <w:p>
            <w:pPr>
              <w:pStyle w:val="yTableNAm"/>
            </w:pPr>
            <w:r>
              <w:t>Application to have an explosive authorised (r. 30(2)(j))</w:t>
            </w:r>
          </w:p>
        </w:tc>
        <w:tc>
          <w:tcPr>
            <w:tcW w:w="992" w:type="dxa"/>
          </w:tcPr>
          <w:p>
            <w:pPr>
              <w:pStyle w:val="yTableNAm"/>
              <w:tabs>
                <w:tab w:val="clear" w:pos="567"/>
              </w:tabs>
              <w:ind w:right="71"/>
              <w:jc w:val="right"/>
            </w:pPr>
            <w:r>
              <w:t>138</w:t>
            </w:r>
          </w:p>
        </w:tc>
      </w:tr>
      <w:tr>
        <w:trPr>
          <w:cantSplit/>
        </w:trPr>
        <w:tc>
          <w:tcPr>
            <w:tcW w:w="567" w:type="dxa"/>
          </w:tcPr>
          <w:p>
            <w:pPr>
              <w:pStyle w:val="yTableNAm"/>
              <w:jc w:val="center"/>
            </w:pPr>
            <w:r>
              <w:t>4.</w:t>
            </w:r>
          </w:p>
        </w:tc>
        <w:tc>
          <w:tcPr>
            <w:tcW w:w="5529" w:type="dxa"/>
          </w:tcPr>
          <w:p>
            <w:pPr>
              <w:pStyle w:val="yTableNAm"/>
            </w:pPr>
            <w:r>
              <w:t>Application for a fireworks event permit (r. 149(1)(e)) — one fee being whichever of the following is the highest fee applicable to the event —</w:t>
            </w:r>
          </w:p>
        </w:tc>
        <w:tc>
          <w:tcPr>
            <w:tcW w:w="992" w:type="dxa"/>
          </w:tcPr>
          <w:p>
            <w:pPr>
              <w:pStyle w:val="yTableNAm"/>
              <w:tabs>
                <w:tab w:val="clear" w:pos="567"/>
              </w:tabs>
              <w:ind w:right="71"/>
              <w:jc w:val="right"/>
            </w:pPr>
          </w:p>
        </w:tc>
      </w:tr>
      <w:tr>
        <w:trPr>
          <w:cantSplit/>
        </w:trPr>
        <w:tc>
          <w:tcPr>
            <w:tcW w:w="567" w:type="dxa"/>
          </w:tcPr>
          <w:p>
            <w:pPr>
              <w:pStyle w:val="yTableNAm"/>
              <w:jc w:val="center"/>
            </w:pPr>
          </w:p>
        </w:tc>
        <w:tc>
          <w:tcPr>
            <w:tcW w:w="5529" w:type="dxa"/>
          </w:tcPr>
          <w:p>
            <w:pPr>
              <w:pStyle w:val="yTableNAm"/>
            </w:pPr>
            <w:r>
              <w:t>(a)</w:t>
            </w:r>
            <w:r>
              <w:tab/>
              <w:t>if the event fireworks include ground fireworks</w:t>
            </w:r>
          </w:p>
        </w:tc>
        <w:tc>
          <w:tcPr>
            <w:tcW w:w="992" w:type="dxa"/>
          </w:tcPr>
          <w:p>
            <w:pPr>
              <w:pStyle w:val="yTableNAm"/>
              <w:tabs>
                <w:tab w:val="clear" w:pos="567"/>
              </w:tabs>
              <w:ind w:right="71"/>
              <w:jc w:val="right"/>
            </w:pPr>
            <w:r>
              <w:t>50</w:t>
            </w:r>
          </w:p>
        </w:tc>
      </w:tr>
      <w:tr>
        <w:trPr>
          <w:cantSplit/>
        </w:trPr>
        <w:tc>
          <w:tcPr>
            <w:tcW w:w="567" w:type="dxa"/>
          </w:tcPr>
          <w:p>
            <w:pPr>
              <w:pStyle w:val="yTableNAm"/>
              <w:jc w:val="center"/>
            </w:pPr>
          </w:p>
        </w:tc>
        <w:tc>
          <w:tcPr>
            <w:tcW w:w="5529" w:type="dxa"/>
          </w:tcPr>
          <w:p>
            <w:pPr>
              <w:pStyle w:val="yTableNAm"/>
            </w:pPr>
            <w:r>
              <w:t>(b)</w:t>
            </w:r>
            <w:r>
              <w:tab/>
              <w:t>if the event fireworks include aerial shells of not more than 125 mm diameter</w:t>
            </w:r>
          </w:p>
        </w:tc>
        <w:tc>
          <w:tcPr>
            <w:tcW w:w="992" w:type="dxa"/>
          </w:tcPr>
          <w:p>
            <w:pPr>
              <w:pStyle w:val="yTableNAm"/>
              <w:tabs>
                <w:tab w:val="clear" w:pos="567"/>
              </w:tabs>
              <w:ind w:right="71"/>
              <w:jc w:val="right"/>
            </w:pPr>
          </w:p>
          <w:p>
            <w:pPr>
              <w:pStyle w:val="yTableNAm"/>
              <w:tabs>
                <w:tab w:val="clear" w:pos="567"/>
              </w:tabs>
              <w:ind w:right="71"/>
              <w:jc w:val="right"/>
            </w:pPr>
            <w:r>
              <w:t>100</w:t>
            </w:r>
          </w:p>
        </w:tc>
      </w:tr>
      <w:tr>
        <w:trPr>
          <w:cantSplit/>
        </w:trPr>
        <w:tc>
          <w:tcPr>
            <w:tcW w:w="567" w:type="dxa"/>
          </w:tcPr>
          <w:p>
            <w:pPr>
              <w:pStyle w:val="yTableNAm"/>
              <w:jc w:val="center"/>
            </w:pPr>
          </w:p>
        </w:tc>
        <w:tc>
          <w:tcPr>
            <w:tcW w:w="5529" w:type="dxa"/>
          </w:tcPr>
          <w:p>
            <w:pPr>
              <w:pStyle w:val="yTableNAm"/>
            </w:pPr>
            <w:r>
              <w:t>(c)</w:t>
            </w:r>
            <w:r>
              <w:tab/>
              <w:t>if the event fireworks include aerial shells of more than 125 mm and not more than 300 mm diameter</w:t>
            </w:r>
          </w:p>
        </w:tc>
        <w:tc>
          <w:tcPr>
            <w:tcW w:w="992" w:type="dxa"/>
          </w:tcPr>
          <w:p>
            <w:pPr>
              <w:pStyle w:val="yTableNAm"/>
              <w:tabs>
                <w:tab w:val="clear" w:pos="567"/>
              </w:tabs>
              <w:ind w:right="71"/>
              <w:jc w:val="right"/>
            </w:pPr>
          </w:p>
          <w:p>
            <w:pPr>
              <w:pStyle w:val="yTableNAm"/>
              <w:tabs>
                <w:tab w:val="clear" w:pos="567"/>
              </w:tabs>
              <w:ind w:right="71"/>
              <w:jc w:val="right"/>
            </w:pPr>
            <w:r>
              <w:t>250</w:t>
            </w:r>
          </w:p>
        </w:tc>
      </w:tr>
      <w:tr>
        <w:trPr>
          <w:cantSplit/>
        </w:trPr>
        <w:tc>
          <w:tcPr>
            <w:tcW w:w="567" w:type="dxa"/>
          </w:tcPr>
          <w:p>
            <w:pPr>
              <w:pStyle w:val="yTableNAm"/>
              <w:jc w:val="center"/>
            </w:pPr>
          </w:p>
        </w:tc>
        <w:tc>
          <w:tcPr>
            <w:tcW w:w="5529" w:type="dxa"/>
          </w:tcPr>
          <w:p>
            <w:pPr>
              <w:pStyle w:val="yTableNAm"/>
            </w:pPr>
            <w:r>
              <w:t>(d)</w:t>
            </w:r>
            <w:r>
              <w:tab/>
              <w:t>if the event fireworks include aerial shells of more than 300 mm diameter</w:t>
            </w:r>
          </w:p>
        </w:tc>
        <w:tc>
          <w:tcPr>
            <w:tcW w:w="992" w:type="dxa"/>
          </w:tcPr>
          <w:p>
            <w:pPr>
              <w:pStyle w:val="yTableNAm"/>
              <w:tabs>
                <w:tab w:val="clear" w:pos="567"/>
              </w:tabs>
              <w:ind w:right="71"/>
              <w:jc w:val="right"/>
            </w:pPr>
          </w:p>
          <w:p>
            <w:pPr>
              <w:pStyle w:val="yTableNAm"/>
              <w:tabs>
                <w:tab w:val="clear" w:pos="567"/>
              </w:tabs>
              <w:ind w:right="71"/>
              <w:jc w:val="right"/>
            </w:pPr>
            <w:r>
              <w:t>500</w:t>
            </w:r>
          </w:p>
        </w:tc>
      </w:tr>
      <w:tr>
        <w:trPr>
          <w:cantSplit/>
        </w:trPr>
        <w:tc>
          <w:tcPr>
            <w:tcW w:w="567" w:type="dxa"/>
          </w:tcPr>
          <w:p>
            <w:pPr>
              <w:pStyle w:val="yTableNAm"/>
              <w:jc w:val="center"/>
            </w:pPr>
            <w:r>
              <w:t>5.</w:t>
            </w:r>
          </w:p>
        </w:tc>
        <w:tc>
          <w:tcPr>
            <w:tcW w:w="5529" w:type="dxa"/>
          </w:tcPr>
          <w:p>
            <w:pPr>
              <w:pStyle w:val="yTableNAm"/>
            </w:pPr>
            <w:r>
              <w:t>Application for a licence, for the term of the licence per year or part of a year (r. 157(1)(c)) —</w:t>
            </w:r>
          </w:p>
        </w:tc>
        <w:tc>
          <w:tcPr>
            <w:tcW w:w="992" w:type="dxa"/>
          </w:tcPr>
          <w:p>
            <w:pPr>
              <w:pStyle w:val="yTableNAm"/>
              <w:tabs>
                <w:tab w:val="clear" w:pos="567"/>
              </w:tabs>
              <w:ind w:right="71"/>
              <w:jc w:val="right"/>
            </w:pPr>
          </w:p>
        </w:tc>
      </w:tr>
      <w:tr>
        <w:trPr>
          <w:cantSplit/>
        </w:trPr>
        <w:tc>
          <w:tcPr>
            <w:tcW w:w="567" w:type="dxa"/>
          </w:tcPr>
          <w:p>
            <w:pPr>
              <w:pStyle w:val="yTableNAm"/>
              <w:jc w:val="center"/>
            </w:pPr>
          </w:p>
        </w:tc>
        <w:tc>
          <w:tcPr>
            <w:tcW w:w="5529" w:type="dxa"/>
          </w:tcPr>
          <w:p>
            <w:pPr>
              <w:pStyle w:val="yTableNAm"/>
            </w:pPr>
            <w:r>
              <w:t>(a)</w:t>
            </w:r>
            <w:r>
              <w:tab/>
              <w:t>explosives import/export licence</w:t>
            </w:r>
          </w:p>
        </w:tc>
        <w:tc>
          <w:tcPr>
            <w:tcW w:w="992" w:type="dxa"/>
          </w:tcPr>
          <w:p>
            <w:pPr>
              <w:pStyle w:val="yTableNAm"/>
              <w:tabs>
                <w:tab w:val="clear" w:pos="567"/>
              </w:tabs>
              <w:ind w:right="71"/>
              <w:jc w:val="right"/>
            </w:pPr>
            <w:r>
              <w:t>160</w:t>
            </w:r>
          </w:p>
        </w:tc>
      </w:tr>
      <w:tr>
        <w:trPr>
          <w:cantSplit/>
        </w:trPr>
        <w:tc>
          <w:tcPr>
            <w:tcW w:w="567" w:type="dxa"/>
          </w:tcPr>
          <w:p>
            <w:pPr>
              <w:pStyle w:val="yTableNAm"/>
              <w:jc w:val="center"/>
            </w:pPr>
          </w:p>
        </w:tc>
        <w:tc>
          <w:tcPr>
            <w:tcW w:w="5529" w:type="dxa"/>
          </w:tcPr>
          <w:p>
            <w:pPr>
              <w:pStyle w:val="yTableNAm"/>
            </w:pPr>
            <w:r>
              <w:t>(b)</w:t>
            </w:r>
            <w:r>
              <w:tab/>
              <w:t>explosives manufacture licence, unless a fee is payable under regulation 184</w:t>
            </w:r>
          </w:p>
        </w:tc>
        <w:tc>
          <w:tcPr>
            <w:tcW w:w="992" w:type="dxa"/>
          </w:tcPr>
          <w:p>
            <w:pPr>
              <w:pStyle w:val="yTableNAm"/>
              <w:tabs>
                <w:tab w:val="clear" w:pos="567"/>
              </w:tabs>
              <w:ind w:right="71"/>
              <w:jc w:val="right"/>
            </w:pPr>
          </w:p>
          <w:p>
            <w:pPr>
              <w:pStyle w:val="yTableNAm"/>
              <w:tabs>
                <w:tab w:val="clear" w:pos="567"/>
              </w:tabs>
              <w:ind w:right="71"/>
              <w:jc w:val="right"/>
            </w:pPr>
            <w:r>
              <w:t>340</w:t>
            </w:r>
          </w:p>
        </w:tc>
      </w:tr>
      <w:tr>
        <w:trPr>
          <w:cantSplit/>
        </w:trPr>
        <w:tc>
          <w:tcPr>
            <w:tcW w:w="567" w:type="dxa"/>
          </w:tcPr>
          <w:p>
            <w:pPr>
              <w:pStyle w:val="yTableNAm"/>
              <w:jc w:val="center"/>
            </w:pPr>
          </w:p>
        </w:tc>
        <w:tc>
          <w:tcPr>
            <w:tcW w:w="5529" w:type="dxa"/>
          </w:tcPr>
          <w:p>
            <w:pPr>
              <w:pStyle w:val="yTableNAm"/>
            </w:pPr>
            <w:r>
              <w:t>(c)</w:t>
            </w:r>
            <w:r>
              <w:tab/>
              <w:t>explosives manufacture (MPU) licence</w:t>
            </w:r>
          </w:p>
        </w:tc>
        <w:tc>
          <w:tcPr>
            <w:tcW w:w="992" w:type="dxa"/>
          </w:tcPr>
          <w:p>
            <w:pPr>
              <w:pStyle w:val="yTableNAm"/>
              <w:tabs>
                <w:tab w:val="clear" w:pos="567"/>
              </w:tabs>
              <w:ind w:right="71"/>
              <w:jc w:val="right"/>
            </w:pPr>
            <w:r>
              <w:t>800</w:t>
            </w:r>
          </w:p>
        </w:tc>
      </w:tr>
      <w:tr>
        <w:trPr>
          <w:cantSplit/>
        </w:trPr>
        <w:tc>
          <w:tcPr>
            <w:tcW w:w="567" w:type="dxa"/>
          </w:tcPr>
          <w:p>
            <w:pPr>
              <w:pStyle w:val="yTableNAm"/>
              <w:jc w:val="center"/>
            </w:pPr>
          </w:p>
        </w:tc>
        <w:tc>
          <w:tcPr>
            <w:tcW w:w="5529" w:type="dxa"/>
          </w:tcPr>
          <w:p>
            <w:pPr>
              <w:pStyle w:val="yTableNAm"/>
            </w:pPr>
            <w:r>
              <w:t>(d)</w:t>
            </w:r>
            <w:r>
              <w:tab/>
              <w:t>explosives storage licence —</w:t>
            </w:r>
          </w:p>
        </w:tc>
        <w:tc>
          <w:tcPr>
            <w:tcW w:w="992" w:type="dxa"/>
          </w:tcPr>
          <w:p>
            <w:pPr>
              <w:pStyle w:val="yTableNAm"/>
              <w:tabs>
                <w:tab w:val="clear" w:pos="567"/>
              </w:tabs>
              <w:ind w:right="71"/>
              <w:jc w:val="right"/>
            </w:pPr>
          </w:p>
        </w:tc>
      </w:tr>
      <w:tr>
        <w:trPr>
          <w:cantSplit/>
        </w:trPr>
        <w:tc>
          <w:tcPr>
            <w:tcW w:w="567" w:type="dxa"/>
          </w:tcPr>
          <w:p>
            <w:pPr>
              <w:pStyle w:val="yTableNAm"/>
              <w:jc w:val="center"/>
            </w:pPr>
          </w:p>
        </w:tc>
        <w:tc>
          <w:tcPr>
            <w:tcW w:w="5529" w:type="dxa"/>
          </w:tcPr>
          <w:p>
            <w:pPr>
              <w:pStyle w:val="yTableNAm"/>
            </w:pPr>
            <w:r>
              <w:t>(i)</w:t>
            </w:r>
            <w:r>
              <w:tab/>
              <w:t>for less than 1 t of explosives</w:t>
            </w:r>
          </w:p>
        </w:tc>
        <w:tc>
          <w:tcPr>
            <w:tcW w:w="992" w:type="dxa"/>
          </w:tcPr>
          <w:p>
            <w:pPr>
              <w:pStyle w:val="yTableNAm"/>
              <w:tabs>
                <w:tab w:val="clear" w:pos="567"/>
              </w:tabs>
              <w:ind w:right="71"/>
              <w:jc w:val="right"/>
            </w:pPr>
            <w:r>
              <w:t>100</w:t>
            </w:r>
          </w:p>
        </w:tc>
      </w:tr>
      <w:tr>
        <w:trPr>
          <w:cantSplit/>
        </w:trPr>
        <w:tc>
          <w:tcPr>
            <w:tcW w:w="567" w:type="dxa"/>
          </w:tcPr>
          <w:p>
            <w:pPr>
              <w:pStyle w:val="yTableNAm"/>
              <w:jc w:val="center"/>
            </w:pPr>
          </w:p>
        </w:tc>
        <w:tc>
          <w:tcPr>
            <w:tcW w:w="5529" w:type="dxa"/>
          </w:tcPr>
          <w:p>
            <w:pPr>
              <w:pStyle w:val="yTableNAm"/>
            </w:pPr>
            <w:r>
              <w:t>(ii)</w:t>
            </w:r>
            <w:r>
              <w:tab/>
              <w:t>for 1 t or more but not more than 5 t of explosives</w:t>
            </w:r>
          </w:p>
        </w:tc>
        <w:tc>
          <w:tcPr>
            <w:tcW w:w="992" w:type="dxa"/>
          </w:tcPr>
          <w:p>
            <w:pPr>
              <w:pStyle w:val="yTableNAm"/>
              <w:tabs>
                <w:tab w:val="clear" w:pos="567"/>
              </w:tabs>
              <w:ind w:right="71"/>
              <w:jc w:val="right"/>
            </w:pPr>
          </w:p>
          <w:p>
            <w:pPr>
              <w:pStyle w:val="yTableNAm"/>
              <w:tabs>
                <w:tab w:val="clear" w:pos="567"/>
              </w:tabs>
              <w:ind w:right="71"/>
              <w:jc w:val="right"/>
            </w:pPr>
            <w:r>
              <w:t>120</w:t>
            </w:r>
          </w:p>
        </w:tc>
      </w:tr>
      <w:tr>
        <w:trPr>
          <w:cantSplit/>
        </w:trPr>
        <w:tc>
          <w:tcPr>
            <w:tcW w:w="567" w:type="dxa"/>
          </w:tcPr>
          <w:p>
            <w:pPr>
              <w:pStyle w:val="yTableNAm"/>
              <w:jc w:val="center"/>
            </w:pPr>
          </w:p>
        </w:tc>
        <w:tc>
          <w:tcPr>
            <w:tcW w:w="5529" w:type="dxa"/>
          </w:tcPr>
          <w:p>
            <w:pPr>
              <w:pStyle w:val="yTableNAm"/>
            </w:pPr>
            <w:r>
              <w:t>(iii)</w:t>
            </w:r>
            <w:r>
              <w:tab/>
              <w:t>for more than 5 t of explosives</w:t>
            </w:r>
          </w:p>
        </w:tc>
        <w:tc>
          <w:tcPr>
            <w:tcW w:w="992" w:type="dxa"/>
          </w:tcPr>
          <w:p>
            <w:pPr>
              <w:pStyle w:val="yTableNAm"/>
              <w:tabs>
                <w:tab w:val="clear" w:pos="567"/>
              </w:tabs>
              <w:ind w:right="71"/>
              <w:jc w:val="right"/>
            </w:pPr>
            <w:r>
              <w:t>320</w:t>
            </w:r>
          </w:p>
        </w:tc>
      </w:tr>
      <w:tr>
        <w:trPr>
          <w:cantSplit/>
        </w:trPr>
        <w:tc>
          <w:tcPr>
            <w:tcW w:w="567" w:type="dxa"/>
          </w:tcPr>
          <w:p>
            <w:pPr>
              <w:pStyle w:val="yTableNAm"/>
              <w:jc w:val="center"/>
            </w:pPr>
          </w:p>
        </w:tc>
        <w:tc>
          <w:tcPr>
            <w:tcW w:w="5529" w:type="dxa"/>
          </w:tcPr>
          <w:p>
            <w:pPr>
              <w:pStyle w:val="yTableNAm"/>
            </w:pPr>
            <w:r>
              <w:t>(e)</w:t>
            </w:r>
            <w:r>
              <w:tab/>
              <w:t>explosives transport licence</w:t>
            </w:r>
          </w:p>
        </w:tc>
        <w:tc>
          <w:tcPr>
            <w:tcW w:w="992" w:type="dxa"/>
          </w:tcPr>
          <w:p>
            <w:pPr>
              <w:pStyle w:val="yTableNAm"/>
              <w:tabs>
                <w:tab w:val="clear" w:pos="567"/>
              </w:tabs>
              <w:ind w:right="71"/>
              <w:jc w:val="right"/>
            </w:pPr>
            <w:r>
              <w:t>800</w:t>
            </w:r>
          </w:p>
        </w:tc>
      </w:tr>
      <w:tr>
        <w:trPr>
          <w:cantSplit/>
        </w:trPr>
        <w:tc>
          <w:tcPr>
            <w:tcW w:w="567" w:type="dxa"/>
          </w:tcPr>
          <w:p>
            <w:pPr>
              <w:pStyle w:val="yTableNAm"/>
              <w:jc w:val="center"/>
            </w:pPr>
          </w:p>
        </w:tc>
        <w:tc>
          <w:tcPr>
            <w:tcW w:w="5529" w:type="dxa"/>
          </w:tcPr>
          <w:p>
            <w:pPr>
              <w:pStyle w:val="yTableNAm"/>
            </w:pPr>
            <w:r>
              <w:t>(f)</w:t>
            </w:r>
            <w:r>
              <w:tab/>
              <w:t>explosives driver licence</w:t>
            </w:r>
          </w:p>
        </w:tc>
        <w:tc>
          <w:tcPr>
            <w:tcW w:w="992" w:type="dxa"/>
          </w:tcPr>
          <w:p>
            <w:pPr>
              <w:pStyle w:val="yTableNAm"/>
              <w:tabs>
                <w:tab w:val="clear" w:pos="567"/>
              </w:tabs>
              <w:ind w:right="71"/>
              <w:jc w:val="right"/>
            </w:pPr>
            <w:r>
              <w:t>20</w:t>
            </w:r>
          </w:p>
        </w:tc>
      </w:tr>
      <w:tr>
        <w:trPr>
          <w:cantSplit/>
        </w:trPr>
        <w:tc>
          <w:tcPr>
            <w:tcW w:w="567" w:type="dxa"/>
          </w:tcPr>
          <w:p>
            <w:pPr>
              <w:pStyle w:val="yTableNAm"/>
              <w:jc w:val="center"/>
            </w:pPr>
          </w:p>
        </w:tc>
        <w:tc>
          <w:tcPr>
            <w:tcW w:w="5529" w:type="dxa"/>
          </w:tcPr>
          <w:p>
            <w:pPr>
              <w:pStyle w:val="yTableNAm"/>
            </w:pPr>
            <w:r>
              <w:t>(g)</w:t>
            </w:r>
            <w:r>
              <w:tab/>
              <w:t>explosives supply licence</w:t>
            </w:r>
          </w:p>
        </w:tc>
        <w:tc>
          <w:tcPr>
            <w:tcW w:w="992" w:type="dxa"/>
          </w:tcPr>
          <w:p>
            <w:pPr>
              <w:pStyle w:val="yTableNAm"/>
              <w:tabs>
                <w:tab w:val="clear" w:pos="567"/>
              </w:tabs>
              <w:ind w:right="71"/>
              <w:jc w:val="right"/>
            </w:pPr>
            <w:r>
              <w:t>55</w:t>
            </w:r>
          </w:p>
        </w:tc>
      </w:tr>
      <w:tr>
        <w:trPr>
          <w:cantSplit/>
        </w:trPr>
        <w:tc>
          <w:tcPr>
            <w:tcW w:w="567" w:type="dxa"/>
          </w:tcPr>
          <w:p>
            <w:pPr>
              <w:pStyle w:val="yTableNAm"/>
              <w:jc w:val="center"/>
            </w:pPr>
          </w:p>
        </w:tc>
        <w:tc>
          <w:tcPr>
            <w:tcW w:w="5529" w:type="dxa"/>
          </w:tcPr>
          <w:p>
            <w:pPr>
              <w:pStyle w:val="yTableNAm"/>
            </w:pPr>
            <w:r>
              <w:t>(h)</w:t>
            </w:r>
            <w:r>
              <w:tab/>
              <w:t>shotfiring licence</w:t>
            </w:r>
          </w:p>
        </w:tc>
        <w:tc>
          <w:tcPr>
            <w:tcW w:w="992" w:type="dxa"/>
          </w:tcPr>
          <w:p>
            <w:pPr>
              <w:pStyle w:val="yTableNAm"/>
              <w:tabs>
                <w:tab w:val="clear" w:pos="567"/>
              </w:tabs>
              <w:ind w:right="71"/>
              <w:jc w:val="right"/>
            </w:pPr>
            <w:r>
              <w:t>20</w:t>
            </w:r>
          </w:p>
        </w:tc>
      </w:tr>
      <w:tr>
        <w:trPr>
          <w:cantSplit/>
        </w:trPr>
        <w:tc>
          <w:tcPr>
            <w:tcW w:w="567" w:type="dxa"/>
          </w:tcPr>
          <w:p>
            <w:pPr>
              <w:pStyle w:val="yTableNAm"/>
              <w:jc w:val="center"/>
            </w:pPr>
          </w:p>
        </w:tc>
        <w:tc>
          <w:tcPr>
            <w:tcW w:w="5529" w:type="dxa"/>
          </w:tcPr>
          <w:p>
            <w:pPr>
              <w:pStyle w:val="yTableNAm"/>
            </w:pPr>
            <w:r>
              <w:t>(i)</w:t>
            </w:r>
            <w:r>
              <w:tab/>
              <w:t>fireworks contractor licence</w:t>
            </w:r>
          </w:p>
        </w:tc>
        <w:tc>
          <w:tcPr>
            <w:tcW w:w="992" w:type="dxa"/>
          </w:tcPr>
          <w:p>
            <w:pPr>
              <w:pStyle w:val="yTableNAm"/>
              <w:tabs>
                <w:tab w:val="clear" w:pos="567"/>
              </w:tabs>
              <w:ind w:right="71"/>
              <w:jc w:val="right"/>
            </w:pPr>
            <w:r>
              <w:t>80</w:t>
            </w:r>
          </w:p>
        </w:tc>
      </w:tr>
      <w:tr>
        <w:trPr>
          <w:cantSplit/>
        </w:trPr>
        <w:tc>
          <w:tcPr>
            <w:tcW w:w="567" w:type="dxa"/>
          </w:tcPr>
          <w:p>
            <w:pPr>
              <w:pStyle w:val="yTableNAm"/>
              <w:jc w:val="center"/>
            </w:pPr>
          </w:p>
        </w:tc>
        <w:tc>
          <w:tcPr>
            <w:tcW w:w="5529" w:type="dxa"/>
          </w:tcPr>
          <w:p>
            <w:pPr>
              <w:pStyle w:val="yTableNAm"/>
            </w:pPr>
            <w:r>
              <w:t>(j)</w:t>
            </w:r>
            <w:r>
              <w:tab/>
              <w:t>fireworks operator licence</w:t>
            </w:r>
          </w:p>
        </w:tc>
        <w:tc>
          <w:tcPr>
            <w:tcW w:w="992" w:type="dxa"/>
          </w:tcPr>
          <w:p>
            <w:pPr>
              <w:pStyle w:val="yTableNAm"/>
              <w:tabs>
                <w:tab w:val="clear" w:pos="567"/>
              </w:tabs>
              <w:ind w:right="71"/>
              <w:jc w:val="right"/>
            </w:pPr>
            <w:r>
              <w:t>20</w:t>
            </w:r>
          </w:p>
        </w:tc>
      </w:tr>
      <w:tr>
        <w:trPr>
          <w:cantSplit/>
        </w:trPr>
        <w:tc>
          <w:tcPr>
            <w:tcW w:w="567" w:type="dxa"/>
          </w:tcPr>
          <w:p>
            <w:pPr>
              <w:pStyle w:val="yTableNAm"/>
              <w:jc w:val="center"/>
            </w:pPr>
          </w:p>
        </w:tc>
        <w:tc>
          <w:tcPr>
            <w:tcW w:w="5529" w:type="dxa"/>
          </w:tcPr>
          <w:p>
            <w:pPr>
              <w:pStyle w:val="yTableNAm"/>
            </w:pPr>
            <w:r>
              <w:t>(k)</w:t>
            </w:r>
            <w:r>
              <w:tab/>
              <w:t>pyrotechnics (special use) licence</w:t>
            </w:r>
          </w:p>
        </w:tc>
        <w:tc>
          <w:tcPr>
            <w:tcW w:w="992" w:type="dxa"/>
          </w:tcPr>
          <w:p>
            <w:pPr>
              <w:pStyle w:val="yTableNAm"/>
              <w:tabs>
                <w:tab w:val="clear" w:pos="567"/>
              </w:tabs>
              <w:ind w:right="71"/>
              <w:jc w:val="right"/>
            </w:pPr>
            <w:r>
              <w:t>20</w:t>
            </w:r>
          </w:p>
        </w:tc>
      </w:tr>
      <w:tr>
        <w:trPr>
          <w:cantSplit/>
        </w:trPr>
        <w:tc>
          <w:tcPr>
            <w:tcW w:w="567" w:type="dxa"/>
          </w:tcPr>
          <w:p>
            <w:pPr>
              <w:pStyle w:val="yTableNAm"/>
              <w:jc w:val="center"/>
            </w:pPr>
            <w:r>
              <w:t>6.</w:t>
            </w:r>
          </w:p>
        </w:tc>
        <w:tc>
          <w:tcPr>
            <w:tcW w:w="5529" w:type="dxa"/>
          </w:tcPr>
          <w:p>
            <w:pPr>
              <w:pStyle w:val="yTableNAm"/>
            </w:pPr>
            <w:r>
              <w:t>Replacement card (r. 171(2))</w:t>
            </w:r>
          </w:p>
        </w:tc>
        <w:tc>
          <w:tcPr>
            <w:tcW w:w="992" w:type="dxa"/>
          </w:tcPr>
          <w:p>
            <w:pPr>
              <w:pStyle w:val="yTableNAm"/>
              <w:tabs>
                <w:tab w:val="clear" w:pos="567"/>
              </w:tabs>
              <w:ind w:right="71"/>
              <w:jc w:val="right"/>
            </w:pPr>
            <w:r>
              <w:t>20</w:t>
            </w:r>
          </w:p>
        </w:tc>
      </w:tr>
      <w:tr>
        <w:trPr>
          <w:cantSplit/>
        </w:trPr>
        <w:tc>
          <w:tcPr>
            <w:tcW w:w="567" w:type="dxa"/>
            <w:tcBorders>
              <w:bottom w:val="single" w:sz="4" w:space="0" w:color="auto"/>
            </w:tcBorders>
          </w:tcPr>
          <w:p>
            <w:pPr>
              <w:pStyle w:val="yTableNAm"/>
              <w:jc w:val="center"/>
            </w:pPr>
            <w:r>
              <w:t>7.</w:t>
            </w:r>
          </w:p>
        </w:tc>
        <w:tc>
          <w:tcPr>
            <w:tcW w:w="5529" w:type="dxa"/>
            <w:tcBorders>
              <w:bottom w:val="single" w:sz="4" w:space="0" w:color="auto"/>
            </w:tcBorders>
          </w:tcPr>
          <w:p>
            <w:pPr>
              <w:pStyle w:val="yTableNAm"/>
            </w:pPr>
            <w:r>
              <w:t>Application for renewal of a licence (r. 173(3)(i)) — the fee in item 5 for the licence</w:t>
            </w:r>
          </w:p>
        </w:tc>
        <w:tc>
          <w:tcPr>
            <w:tcW w:w="992" w:type="dxa"/>
            <w:tcBorders>
              <w:bottom w:val="single" w:sz="4" w:space="0" w:color="auto"/>
            </w:tcBorders>
          </w:tcPr>
          <w:p>
            <w:pPr>
              <w:pStyle w:val="yTableNAm"/>
              <w:tabs>
                <w:tab w:val="clear" w:pos="567"/>
              </w:tabs>
              <w:ind w:right="71"/>
              <w:jc w:val="right"/>
            </w:pPr>
          </w:p>
        </w:tc>
      </w:tr>
    </w:tbl>
    <w:p>
      <w:pPr>
        <w:pStyle w:val="yFootnotesection"/>
        <w:sectPr>
          <w:headerReference w:type="even" r:id="rId20"/>
          <w:headerReference w:type="default" r:id="rId21"/>
          <w:footerReference w:type="even" r:id="rId22"/>
          <w:footerReference w:type="default" r:id="rId23"/>
          <w:endnotePr>
            <w:numFmt w:val="decimal"/>
          </w:endnotePr>
          <w:pgSz w:w="11907" w:h="16840" w:code="9"/>
          <w:pgMar w:top="2381" w:right="2410" w:bottom="3544" w:left="2410" w:header="720" w:footer="3544" w:gutter="0"/>
          <w:cols w:space="720"/>
          <w:noEndnote/>
        </w:sectPr>
      </w:pPr>
      <w:r>
        <w:tab/>
        <w:t>[Schedule 1 amended in Gazette 16 Jun 2009 p. 2196.]</w:t>
      </w:r>
    </w:p>
    <w:p>
      <w:pPr>
        <w:pStyle w:val="yScheduleHeading"/>
      </w:pPr>
      <w:bookmarkStart w:id="812" w:name="_Toc191960734"/>
      <w:bookmarkStart w:id="813" w:name="_Toc191982315"/>
      <w:bookmarkStart w:id="814" w:name="_Toc233693229"/>
      <w:bookmarkStart w:id="815" w:name="_Toc238546580"/>
      <w:bookmarkStart w:id="816" w:name="_Toc238546885"/>
      <w:bookmarkStart w:id="817" w:name="_Toc238548014"/>
      <w:r>
        <w:rPr>
          <w:rStyle w:val="CharSchNo"/>
        </w:rPr>
        <w:t>Schedule 2</w:t>
      </w:r>
      <w:r>
        <w:rPr>
          <w:rStyle w:val="CharSDivNo"/>
        </w:rPr>
        <w:t> </w:t>
      </w:r>
      <w:r>
        <w:t>—</w:t>
      </w:r>
      <w:r>
        <w:rPr>
          <w:rStyle w:val="CharSDivText"/>
        </w:rPr>
        <w:t> </w:t>
      </w:r>
      <w:r>
        <w:rPr>
          <w:rStyle w:val="CharSchText"/>
        </w:rPr>
        <w:t>Prohibited explosives</w:t>
      </w:r>
      <w:bookmarkEnd w:id="812"/>
      <w:bookmarkEnd w:id="813"/>
      <w:bookmarkEnd w:id="814"/>
      <w:bookmarkEnd w:id="815"/>
      <w:bookmarkEnd w:id="816"/>
      <w:bookmarkEnd w:id="817"/>
    </w:p>
    <w:p>
      <w:pPr>
        <w:pStyle w:val="yShoulderClause"/>
      </w:pPr>
      <w:r>
        <w:t>[r. 3]</w:t>
      </w:r>
    </w:p>
    <w:p>
      <w:pPr>
        <w:pStyle w:val="yHeading5"/>
      </w:pPr>
      <w:bookmarkStart w:id="818" w:name="_Toc238548015"/>
      <w:bookmarkStart w:id="819" w:name="_Toc233693230"/>
      <w:r>
        <w:rPr>
          <w:rStyle w:val="CharSClsNo"/>
        </w:rPr>
        <w:t>1</w:t>
      </w:r>
      <w:r>
        <w:t>.</w:t>
      </w:r>
      <w:r>
        <w:tab/>
        <w:t>Explosive containing chlorate etc.</w:t>
      </w:r>
      <w:bookmarkEnd w:id="818"/>
      <w:bookmarkEnd w:id="819"/>
    </w:p>
    <w:p>
      <w:pPr>
        <w:pStyle w:val="ySubsection"/>
      </w:pPr>
      <w:r>
        <w:tab/>
      </w:r>
      <w:r>
        <w:tab/>
        <w:t>An explosive that contains a chlorate mixed with an ammonium salt is a prohibited explosive.</w:t>
      </w:r>
    </w:p>
    <w:p>
      <w:pPr>
        <w:pStyle w:val="yHeading5"/>
      </w:pPr>
      <w:bookmarkStart w:id="820" w:name="_Toc238548016"/>
      <w:bookmarkStart w:id="821" w:name="_Toc233693231"/>
      <w:r>
        <w:rPr>
          <w:rStyle w:val="CharSClsNo"/>
        </w:rPr>
        <w:t>2</w:t>
      </w:r>
      <w:r>
        <w:t>.</w:t>
      </w:r>
      <w:r>
        <w:tab/>
        <w:t>Fireworks, various types of</w:t>
      </w:r>
      <w:bookmarkEnd w:id="820"/>
      <w:bookmarkEnd w:id="821"/>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sectPr>
          <w:headerReference w:type="even" r:id="rId24"/>
          <w:headerReference w:type="default" r:id="rId25"/>
          <w:endnotePr>
            <w:numFmt w:val="decimal"/>
          </w:endnotePr>
          <w:pgSz w:w="11907" w:h="16840" w:code="9"/>
          <w:pgMar w:top="2381" w:right="2410" w:bottom="3544" w:left="2410" w:header="720" w:footer="3544" w:gutter="0"/>
          <w:cols w:space="720"/>
          <w:noEndnote/>
        </w:sectPr>
      </w:pPr>
    </w:p>
    <w:p>
      <w:pPr>
        <w:pStyle w:val="yScheduleHeading"/>
      </w:pPr>
      <w:bookmarkStart w:id="822" w:name="_Toc191960737"/>
      <w:bookmarkStart w:id="823" w:name="_Toc191982318"/>
      <w:bookmarkStart w:id="824" w:name="_Toc233693232"/>
      <w:bookmarkStart w:id="825" w:name="_Toc238546583"/>
      <w:bookmarkStart w:id="826" w:name="_Toc238546888"/>
      <w:bookmarkStart w:id="827" w:name="_Toc238548017"/>
      <w:r>
        <w:rPr>
          <w:rStyle w:val="CharSchNo"/>
        </w:rPr>
        <w:t>Schedule 3</w:t>
      </w:r>
      <w:r>
        <w:rPr>
          <w:rStyle w:val="CharSDivNo"/>
        </w:rPr>
        <w:t> </w:t>
      </w:r>
      <w:r>
        <w:t>—</w:t>
      </w:r>
      <w:r>
        <w:rPr>
          <w:rStyle w:val="CharSDivText"/>
        </w:rPr>
        <w:t> </w:t>
      </w:r>
      <w:r>
        <w:rPr>
          <w:rStyle w:val="CharSchText"/>
        </w:rPr>
        <w:t>Unrestricted fireworks</w:t>
      </w:r>
      <w:bookmarkEnd w:id="822"/>
      <w:bookmarkEnd w:id="823"/>
      <w:bookmarkEnd w:id="824"/>
      <w:bookmarkEnd w:id="825"/>
      <w:bookmarkEnd w:id="826"/>
      <w:bookmarkEnd w:id="827"/>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
              <w:spacing w:before="0"/>
              <w:rPr>
                <w:b/>
                <w:bCs/>
              </w:rPr>
            </w:pPr>
            <w:r>
              <w:rPr>
                <w:b/>
                <w:bCs/>
              </w:rPr>
              <w:t>Item</w:t>
            </w:r>
          </w:p>
        </w:tc>
        <w:tc>
          <w:tcPr>
            <w:tcW w:w="6430" w:type="dxa"/>
            <w:tcBorders>
              <w:top w:val="single" w:sz="4" w:space="0" w:color="auto"/>
              <w:bottom w:val="single" w:sz="4" w:space="0" w:color="auto"/>
            </w:tcBorders>
          </w:tcPr>
          <w:p>
            <w:pPr>
              <w:pStyle w:val="yTable"/>
              <w:spacing w:before="0"/>
              <w:rPr>
                <w:b/>
                <w:bCs/>
              </w:rPr>
            </w:pPr>
            <w:r>
              <w:rPr>
                <w:b/>
                <w:bCs/>
              </w:rPr>
              <w:t>Description of article</w:t>
            </w:r>
          </w:p>
        </w:tc>
      </w:tr>
      <w:tr>
        <w:tc>
          <w:tcPr>
            <w:tcW w:w="658" w:type="dxa"/>
          </w:tcPr>
          <w:p>
            <w:pPr>
              <w:pStyle w:val="yTable"/>
              <w:spacing w:before="0"/>
            </w:pPr>
            <w:r>
              <w:t>1.</w:t>
            </w:r>
          </w:p>
        </w:tc>
        <w:tc>
          <w:tcPr>
            <w:tcW w:w="6430" w:type="dxa"/>
          </w:tcPr>
          <w:p>
            <w:pPr>
              <w:pStyle w:val="yTable"/>
              <w:spacing w:before="0"/>
            </w:pPr>
            <w:r>
              <w:t>Party popper (also called a streamer cone) in which the NEQ is not more than 1.6 g per 1 000 of such articles.</w:t>
            </w:r>
          </w:p>
        </w:tc>
      </w:tr>
      <w:tr>
        <w:tc>
          <w:tcPr>
            <w:tcW w:w="658" w:type="dxa"/>
          </w:tcPr>
          <w:p>
            <w:pPr>
              <w:pStyle w:val="yTable"/>
              <w:spacing w:before="0"/>
            </w:pPr>
            <w:r>
              <w:t>2.</w:t>
            </w:r>
          </w:p>
        </w:tc>
        <w:tc>
          <w:tcPr>
            <w:tcW w:w="6430" w:type="dxa"/>
          </w:tcPr>
          <w:p>
            <w:pPr>
              <w:pStyle w:val="yTable"/>
              <w:spacing w:before="0"/>
            </w:pPr>
            <w:r>
              <w:t>Percussion cap for a toy pistol (also called an amorce).</w:t>
            </w:r>
          </w:p>
        </w:tc>
      </w:tr>
      <w:tr>
        <w:tc>
          <w:tcPr>
            <w:tcW w:w="658" w:type="dxa"/>
          </w:tcPr>
          <w:p>
            <w:pPr>
              <w:pStyle w:val="yTable"/>
              <w:spacing w:before="0"/>
            </w:pPr>
            <w:r>
              <w:t>3.</w:t>
            </w:r>
          </w:p>
        </w:tc>
        <w:tc>
          <w:tcPr>
            <w:tcW w:w="6430" w:type="dxa"/>
          </w:tcPr>
          <w:p>
            <w:pPr>
              <w:pStyle w:val="yTable"/>
              <w:spacing w:before="0"/>
            </w:pPr>
            <w:r>
              <w:t>Percussion cap for a starting pistol.</w:t>
            </w:r>
          </w:p>
        </w:tc>
      </w:tr>
      <w:tr>
        <w:tc>
          <w:tcPr>
            <w:tcW w:w="658" w:type="dxa"/>
          </w:tcPr>
          <w:p>
            <w:pPr>
              <w:pStyle w:val="yTable"/>
              <w:spacing w:before="0"/>
            </w:pPr>
            <w:r>
              <w:t>4.</w:t>
            </w:r>
          </w:p>
        </w:tc>
        <w:tc>
          <w:tcPr>
            <w:tcW w:w="6430" w:type="dxa"/>
          </w:tcPr>
          <w:p>
            <w:pPr>
              <w:pStyle w:val="yTable"/>
              <w:spacing w:before="0"/>
            </w:pPr>
            <w:r>
              <w:t>Snap for either a bonbon or Christmas cracker in which the NEQ is not more than 1.6 g per 1 000 of such articles.</w:t>
            </w:r>
          </w:p>
        </w:tc>
      </w:tr>
      <w:tr>
        <w:tc>
          <w:tcPr>
            <w:tcW w:w="658" w:type="dxa"/>
            <w:tcBorders>
              <w:bottom w:val="single" w:sz="4" w:space="0" w:color="auto"/>
            </w:tcBorders>
          </w:tcPr>
          <w:p>
            <w:pPr>
              <w:pStyle w:val="yTable"/>
              <w:spacing w:before="0"/>
            </w:pPr>
            <w:r>
              <w:t>5.</w:t>
            </w:r>
          </w:p>
        </w:tc>
        <w:tc>
          <w:tcPr>
            <w:tcW w:w="6430" w:type="dxa"/>
            <w:tcBorders>
              <w:bottom w:val="single" w:sz="4" w:space="0" w:color="auto"/>
            </w:tcBorders>
          </w:tcPr>
          <w:p>
            <w:pPr>
              <w:pStyle w:val="yTable"/>
              <w:spacing w:before="0"/>
            </w:pPr>
            <w:r>
              <w:t>Throwdown in which the NEQ is not more than 2.6 g per 1 000 of such articles.</w:t>
            </w:r>
          </w:p>
        </w:tc>
      </w:tr>
    </w:tbl>
    <w:p>
      <w:pPr>
        <w:sectPr>
          <w:headerReference w:type="even" r:id="rId26"/>
          <w:headerReference w:type="default" r:id="rId27"/>
          <w:endnotePr>
            <w:numFmt w:val="decimal"/>
          </w:endnotePr>
          <w:pgSz w:w="11907" w:h="16840" w:code="9"/>
          <w:pgMar w:top="2381" w:right="2410" w:bottom="3544" w:left="2410" w:header="720" w:footer="3544" w:gutter="0"/>
          <w:cols w:space="720"/>
          <w:noEndnote/>
        </w:sectPr>
      </w:pPr>
    </w:p>
    <w:p>
      <w:pPr>
        <w:pStyle w:val="yScheduleHeading"/>
      </w:pPr>
      <w:bookmarkStart w:id="828" w:name="_Toc191960738"/>
      <w:bookmarkStart w:id="829" w:name="_Toc191982319"/>
      <w:bookmarkStart w:id="830" w:name="_Toc233693233"/>
      <w:bookmarkStart w:id="831" w:name="_Toc238546584"/>
      <w:bookmarkStart w:id="832" w:name="_Toc238546889"/>
      <w:bookmarkStart w:id="833" w:name="_Toc238548018"/>
      <w:r>
        <w:rPr>
          <w:rStyle w:val="CharSchNo"/>
        </w:rPr>
        <w:t>Schedule 4</w:t>
      </w:r>
      <w:r>
        <w:rPr>
          <w:rStyle w:val="CharSDivNo"/>
        </w:rPr>
        <w:t> </w:t>
      </w:r>
      <w:r>
        <w:t>—</w:t>
      </w:r>
      <w:r>
        <w:rPr>
          <w:rStyle w:val="CharSDivText"/>
        </w:rPr>
        <w:t> </w:t>
      </w:r>
      <w:r>
        <w:rPr>
          <w:rStyle w:val="CharSchText"/>
        </w:rPr>
        <w:t>Explosives that may be possessed without a licence</w:t>
      </w:r>
      <w:bookmarkEnd w:id="828"/>
      <w:bookmarkEnd w:id="829"/>
      <w:bookmarkEnd w:id="830"/>
      <w:bookmarkEnd w:id="831"/>
      <w:bookmarkEnd w:id="832"/>
      <w:bookmarkEnd w:id="833"/>
    </w:p>
    <w:p>
      <w:pPr>
        <w:pStyle w:val="yShoulderClause"/>
      </w:pPr>
      <w:r>
        <w:t>[r. 46]</w:t>
      </w:r>
    </w:p>
    <w:p>
      <w:pPr>
        <w:pStyle w:val="yHeading5"/>
      </w:pPr>
      <w:bookmarkStart w:id="834" w:name="_Toc238548019"/>
      <w:bookmarkStart w:id="835" w:name="_Toc233693234"/>
      <w:r>
        <w:rPr>
          <w:rStyle w:val="CharSClsNo"/>
        </w:rPr>
        <w:t>1</w:t>
      </w:r>
      <w:r>
        <w:t>.</w:t>
      </w:r>
      <w:r>
        <w:tab/>
        <w:t>Sparklers</w:t>
      </w:r>
      <w:bookmarkEnd w:id="834"/>
      <w:bookmarkEnd w:id="835"/>
    </w:p>
    <w:p>
      <w:pPr>
        <w:pStyle w:val="ySubsection"/>
      </w:pPr>
      <w:r>
        <w:tab/>
      </w:r>
      <w:r>
        <w:tab/>
        <w:t>A person may possess a sparkler if the combustible part of it is not more than 300 mm long.</w:t>
      </w:r>
    </w:p>
    <w:p>
      <w:pPr>
        <w:pStyle w:val="yHeading5"/>
      </w:pPr>
      <w:bookmarkStart w:id="836" w:name="_Toc238548020"/>
      <w:bookmarkStart w:id="837" w:name="_Toc233693235"/>
      <w:r>
        <w:rPr>
          <w:rStyle w:val="CharSClsNo"/>
        </w:rPr>
        <w:t>2</w:t>
      </w:r>
      <w:r>
        <w:t>.</w:t>
      </w:r>
      <w:r>
        <w:tab/>
        <w:t>Cartridges for safety devices etc.</w:t>
      </w:r>
      <w:bookmarkEnd w:id="836"/>
      <w:bookmarkEnd w:id="837"/>
    </w:p>
    <w:p>
      <w:pPr>
        <w:pStyle w:val="ySubsection"/>
      </w:pPr>
      <w:r>
        <w:tab/>
      </w:r>
      <w:r>
        <w:tab/>
        <w:t>A person may possess a power device cartridge if in the circumstances the person has a reasonable reason to possess it.</w:t>
      </w:r>
    </w:p>
    <w:p>
      <w:pPr>
        <w:pStyle w:val="yHeading5"/>
      </w:pPr>
      <w:bookmarkStart w:id="838" w:name="_Toc238548021"/>
      <w:bookmarkStart w:id="839" w:name="_Toc233693236"/>
      <w:r>
        <w:rPr>
          <w:rStyle w:val="CharSClsNo"/>
        </w:rPr>
        <w:t>3</w:t>
      </w:r>
      <w:r>
        <w:t>.</w:t>
      </w:r>
      <w:r>
        <w:tab/>
        <w:t>Cartridges for nail guns etc.</w:t>
      </w:r>
      <w:bookmarkEnd w:id="838"/>
      <w:bookmarkEnd w:id="839"/>
    </w:p>
    <w:p>
      <w:pPr>
        <w:pStyle w:val="ySubsection"/>
      </w:pPr>
      <w:r>
        <w:tab/>
      </w:r>
      <w:r>
        <w:tab/>
        <w:t>A person may possess a power tool cartridge if in the circumstances the person has a reasonable reason to possess it.</w:t>
      </w:r>
    </w:p>
    <w:p>
      <w:pPr>
        <w:pStyle w:val="yHeading5"/>
      </w:pPr>
      <w:bookmarkStart w:id="840" w:name="_Toc238548022"/>
      <w:bookmarkStart w:id="841" w:name="_Toc233693237"/>
      <w:r>
        <w:rPr>
          <w:rStyle w:val="CharSClsNo"/>
        </w:rPr>
        <w:t>4</w:t>
      </w:r>
      <w:r>
        <w:t>.</w:t>
      </w:r>
      <w:r>
        <w:tab/>
        <w:t>Emergency devices</w:t>
      </w:r>
      <w:bookmarkEnd w:id="840"/>
      <w:bookmarkEnd w:id="841"/>
    </w:p>
    <w:p>
      <w:pPr>
        <w:pStyle w:val="ySubsection"/>
      </w:pPr>
      <w:r>
        <w:tab/>
      </w:r>
      <w:r>
        <w:tab/>
        <w:t>A person may possess an emergency device if —</w:t>
      </w:r>
    </w:p>
    <w:p>
      <w:pPr>
        <w:pStyle w:val="yIndenta"/>
      </w:pPr>
      <w:r>
        <w:tab/>
        <w:t>(a)</w:t>
      </w:r>
      <w:r>
        <w:tab/>
        <w:t>in the circumstances the person has a reasonable reason to possess it; and</w:t>
      </w:r>
    </w:p>
    <w:p>
      <w:pPr>
        <w:pStyle w:val="yIndenta"/>
      </w:pPr>
      <w:r>
        <w:tab/>
        <w:t>(b)</w:t>
      </w:r>
      <w:r>
        <w:tab/>
        <w:t>the person possesses not more than 25 emergency devices.</w:t>
      </w:r>
    </w:p>
    <w:p>
      <w:pPr>
        <w:pStyle w:val="yHeading5"/>
      </w:pPr>
      <w:bookmarkStart w:id="842" w:name="_Toc238548023"/>
      <w:bookmarkStart w:id="843" w:name="_Toc233693238"/>
      <w:r>
        <w:rPr>
          <w:rStyle w:val="CharSClsNo"/>
        </w:rPr>
        <w:t>5</w:t>
      </w:r>
      <w:r>
        <w:t>.</w:t>
      </w:r>
      <w:r>
        <w:tab/>
        <w:t>Ammunition, ammunition propellant and black powder</w:t>
      </w:r>
      <w:bookmarkEnd w:id="842"/>
      <w:bookmarkEnd w:id="843"/>
    </w:p>
    <w:p>
      <w:pPr>
        <w:pStyle w:val="ySubsection"/>
      </w:pPr>
      <w:r>
        <w:tab/>
        <w:t>(1)</w:t>
      </w:r>
      <w:r>
        <w:tab/>
        <w:t xml:space="preserve">A person may possess ammunition if authorised under the </w:t>
      </w:r>
      <w:r>
        <w:rPr>
          <w:i/>
          <w:iCs/>
        </w:rPr>
        <w:t xml:space="preserve">Firearms Act 1973 </w:t>
      </w:r>
      <w:r>
        <w:t>to do so.</w:t>
      </w:r>
    </w:p>
    <w:p>
      <w:pPr>
        <w:pStyle w:val="ySubsection"/>
      </w:pPr>
      <w:r>
        <w:tab/>
        <w:t>(2)</w:t>
      </w:r>
      <w:r>
        <w:tab/>
        <w:t>A person may possess ammunition propellant if —</w:t>
      </w:r>
    </w:p>
    <w:p>
      <w:pPr>
        <w:pStyle w:val="yIndenta"/>
      </w:pPr>
      <w:r>
        <w:tab/>
        <w:t>(a)</w:t>
      </w:r>
      <w:r>
        <w:tab/>
        <w:t xml:space="preserve">the person holds a licence under the </w:t>
      </w:r>
      <w:r>
        <w:rPr>
          <w:i/>
          <w:iCs/>
        </w:rPr>
        <w:t xml:space="preserve">Firearms Act 1973 </w:t>
      </w:r>
      <w:r>
        <w:t>that authorises the person to possess ammunition; and</w:t>
      </w:r>
    </w:p>
    <w:p>
      <w:pPr>
        <w:pStyle w:val="yIndenta"/>
      </w:pPr>
      <w:r>
        <w:tab/>
        <w:t>(b)</w:t>
      </w:r>
      <w:r>
        <w:tab/>
        <w:t>the propellant is a constituent of that ammunition.</w:t>
      </w:r>
    </w:p>
    <w:p>
      <w:pPr>
        <w:pStyle w:val="ySubsection"/>
      </w:pPr>
      <w:r>
        <w:tab/>
        <w:t>(3)</w:t>
      </w:r>
      <w:r>
        <w:tab/>
        <w:t xml:space="preserve">A person may possess black powder if the person holds a licence under the </w:t>
      </w:r>
      <w:r>
        <w:rPr>
          <w:i/>
          <w:iCs/>
        </w:rPr>
        <w:t xml:space="preserve">Firearms Act 1973 </w:t>
      </w:r>
      <w:r>
        <w:t>that authorises the person to possess a firearm that uses black powder.</w:t>
      </w:r>
    </w:p>
    <w:p>
      <w:pPr>
        <w:pStyle w:val="yScheduleHeading"/>
      </w:pPr>
      <w:bookmarkStart w:id="844" w:name="_Toc191960744"/>
      <w:bookmarkStart w:id="845" w:name="_Toc191982325"/>
      <w:bookmarkStart w:id="846" w:name="_Toc233693239"/>
      <w:bookmarkStart w:id="847" w:name="_Toc238546590"/>
      <w:bookmarkStart w:id="848" w:name="_Toc238546895"/>
      <w:bookmarkStart w:id="849" w:name="_Toc238548024"/>
      <w:r>
        <w:rPr>
          <w:rStyle w:val="CharSchNo"/>
        </w:rPr>
        <w:t>Schedule 5</w:t>
      </w:r>
      <w:r>
        <w:rPr>
          <w:rStyle w:val="CharSDivNo"/>
        </w:rPr>
        <w:t> </w:t>
      </w:r>
      <w:r>
        <w:t>—</w:t>
      </w:r>
      <w:r>
        <w:rPr>
          <w:rStyle w:val="CharSDivText"/>
        </w:rPr>
        <w:t> </w:t>
      </w:r>
      <w:r>
        <w:rPr>
          <w:rStyle w:val="CharSchText"/>
        </w:rPr>
        <w:t>Explosives that may be manufactured without a licence</w:t>
      </w:r>
      <w:bookmarkEnd w:id="844"/>
      <w:bookmarkEnd w:id="845"/>
      <w:bookmarkEnd w:id="846"/>
      <w:bookmarkEnd w:id="847"/>
      <w:bookmarkEnd w:id="848"/>
      <w:bookmarkEnd w:id="849"/>
    </w:p>
    <w:p>
      <w:pPr>
        <w:pStyle w:val="yShoulderClause"/>
      </w:pPr>
      <w:r>
        <w:t>[r. 64]</w:t>
      </w:r>
    </w:p>
    <w:p>
      <w:pPr>
        <w:pStyle w:val="yHeading5"/>
      </w:pPr>
      <w:bookmarkStart w:id="850" w:name="_Toc238548025"/>
      <w:bookmarkStart w:id="851" w:name="_Toc233693240"/>
      <w:r>
        <w:rPr>
          <w:rStyle w:val="CharSClsNo"/>
        </w:rPr>
        <w:t>1</w:t>
      </w:r>
      <w:r>
        <w:t>.</w:t>
      </w:r>
      <w:r>
        <w:tab/>
        <w:t>Ammunition for private use</w:t>
      </w:r>
      <w:bookmarkEnd w:id="850"/>
      <w:bookmarkEnd w:id="851"/>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852" w:name="_Toc191960746"/>
      <w:bookmarkStart w:id="853" w:name="_Toc191982327"/>
      <w:bookmarkStart w:id="854" w:name="_Toc233693241"/>
      <w:bookmarkStart w:id="855" w:name="_Toc238546592"/>
      <w:bookmarkStart w:id="856" w:name="_Toc238546897"/>
      <w:bookmarkStart w:id="857" w:name="_Toc238548026"/>
      <w:r>
        <w:rPr>
          <w:rStyle w:val="CharSchNo"/>
        </w:rPr>
        <w:t>Schedule 6</w:t>
      </w:r>
      <w:r>
        <w:rPr>
          <w:rStyle w:val="CharSDivNo"/>
        </w:rPr>
        <w:t> </w:t>
      </w:r>
      <w:r>
        <w:t>—</w:t>
      </w:r>
      <w:r>
        <w:rPr>
          <w:rStyle w:val="CharSDivText"/>
        </w:rPr>
        <w:t> </w:t>
      </w:r>
      <w:r>
        <w:rPr>
          <w:rStyle w:val="CharSchText"/>
        </w:rPr>
        <w:t>Explosives that may be stored without a licence</w:t>
      </w:r>
      <w:bookmarkEnd w:id="852"/>
      <w:bookmarkEnd w:id="853"/>
      <w:bookmarkEnd w:id="854"/>
      <w:bookmarkEnd w:id="855"/>
      <w:bookmarkEnd w:id="856"/>
      <w:bookmarkEnd w:id="857"/>
    </w:p>
    <w:p>
      <w:pPr>
        <w:pStyle w:val="yShoulderClause"/>
      </w:pPr>
      <w:r>
        <w:t>[r. 76]</w:t>
      </w:r>
    </w:p>
    <w:p>
      <w:pPr>
        <w:pStyle w:val="yHeading5"/>
      </w:pPr>
      <w:bookmarkStart w:id="858" w:name="_Toc238548027"/>
      <w:bookmarkStart w:id="859" w:name="_Toc233693242"/>
      <w:r>
        <w:rPr>
          <w:rStyle w:val="CharSClsNo"/>
        </w:rPr>
        <w:t>1</w:t>
      </w:r>
      <w:r>
        <w:t>.</w:t>
      </w:r>
      <w:r>
        <w:tab/>
        <w:t>Sparklers</w:t>
      </w:r>
      <w:bookmarkEnd w:id="858"/>
      <w:bookmarkEnd w:id="859"/>
    </w:p>
    <w:p>
      <w:pPr>
        <w:pStyle w:val="ySubsection"/>
      </w:pPr>
      <w:r>
        <w:tab/>
      </w:r>
      <w:r>
        <w:tab/>
        <w:t>A person may store a sparkler at any place if there is not more than 1 000 kg of sparklers at the place.</w:t>
      </w:r>
    </w:p>
    <w:p>
      <w:pPr>
        <w:pStyle w:val="yHeading5"/>
      </w:pPr>
      <w:bookmarkStart w:id="860" w:name="_Toc238548028"/>
      <w:bookmarkStart w:id="861" w:name="_Toc233693243"/>
      <w:r>
        <w:rPr>
          <w:rStyle w:val="CharSClsNo"/>
        </w:rPr>
        <w:t>2</w:t>
      </w:r>
      <w:r>
        <w:t>.</w:t>
      </w:r>
      <w:r>
        <w:tab/>
        <w:t>Cartridges for safety devices etc.</w:t>
      </w:r>
      <w:bookmarkEnd w:id="860"/>
      <w:bookmarkEnd w:id="861"/>
    </w:p>
    <w:p>
      <w:pPr>
        <w:pStyle w:val="ySubsection"/>
      </w:pPr>
      <w:r>
        <w:tab/>
      </w:r>
      <w:r>
        <w:tab/>
        <w:t>A person may store a power device cartridge at any place.</w:t>
      </w:r>
    </w:p>
    <w:p>
      <w:pPr>
        <w:pStyle w:val="yHeading5"/>
      </w:pPr>
      <w:bookmarkStart w:id="862" w:name="_Toc238548029"/>
      <w:bookmarkStart w:id="863" w:name="_Toc233693244"/>
      <w:r>
        <w:rPr>
          <w:rStyle w:val="CharSClsNo"/>
        </w:rPr>
        <w:t>3</w:t>
      </w:r>
      <w:r>
        <w:t>.</w:t>
      </w:r>
      <w:r>
        <w:tab/>
        <w:t>Cartridges for nail guns etc.</w:t>
      </w:r>
      <w:bookmarkEnd w:id="862"/>
      <w:bookmarkEnd w:id="863"/>
    </w:p>
    <w:p>
      <w:pPr>
        <w:pStyle w:val="ySubsection"/>
      </w:pPr>
      <w:r>
        <w:tab/>
      </w:r>
      <w:r>
        <w:tab/>
        <w:t>A person may store a power tool cartridge at any place.</w:t>
      </w:r>
    </w:p>
    <w:p>
      <w:pPr>
        <w:pStyle w:val="yHeading5"/>
      </w:pPr>
      <w:bookmarkStart w:id="864" w:name="_Toc238548030"/>
      <w:bookmarkStart w:id="865" w:name="_Toc233693245"/>
      <w:r>
        <w:rPr>
          <w:rStyle w:val="CharSClsNo"/>
        </w:rPr>
        <w:t>4</w:t>
      </w:r>
      <w:r>
        <w:t>.</w:t>
      </w:r>
      <w:r>
        <w:tab/>
        <w:t>Emergency devices</w:t>
      </w:r>
      <w:bookmarkEnd w:id="864"/>
      <w:bookmarkEnd w:id="865"/>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pPr>
      <w:bookmarkStart w:id="866" w:name="_Toc238548031"/>
      <w:bookmarkStart w:id="867" w:name="_Toc233693246"/>
      <w:r>
        <w:rPr>
          <w:rStyle w:val="CharSClsNo"/>
        </w:rPr>
        <w:t>5</w:t>
      </w:r>
      <w:r>
        <w:t>.</w:t>
      </w:r>
      <w:r>
        <w:tab/>
        <w:t>Ammunition, ammunition propellant and black powder</w:t>
      </w:r>
      <w:bookmarkEnd w:id="866"/>
      <w:bookmarkEnd w:id="867"/>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ScheduleHeading"/>
      </w:pPr>
      <w:bookmarkStart w:id="868" w:name="_Toc191960752"/>
      <w:bookmarkStart w:id="869" w:name="_Toc191982333"/>
      <w:bookmarkStart w:id="870" w:name="_Toc233693247"/>
      <w:bookmarkStart w:id="871" w:name="_Toc238546598"/>
      <w:bookmarkStart w:id="872" w:name="_Toc238546903"/>
      <w:bookmarkStart w:id="873" w:name="_Toc238548032"/>
      <w:r>
        <w:rPr>
          <w:rStyle w:val="CharSchNo"/>
        </w:rPr>
        <w:t>Schedule 7</w:t>
      </w:r>
      <w:r>
        <w:rPr>
          <w:rStyle w:val="CharSDivNo"/>
        </w:rPr>
        <w:t> </w:t>
      </w:r>
      <w:r>
        <w:t>—</w:t>
      </w:r>
      <w:r>
        <w:rPr>
          <w:rStyle w:val="CharSDivText"/>
        </w:rPr>
        <w:t> </w:t>
      </w:r>
      <w:r>
        <w:rPr>
          <w:rStyle w:val="CharSchText"/>
        </w:rPr>
        <w:t>Explosives that may be transported without a licence</w:t>
      </w:r>
      <w:bookmarkEnd w:id="868"/>
      <w:bookmarkEnd w:id="869"/>
      <w:bookmarkEnd w:id="870"/>
      <w:bookmarkEnd w:id="871"/>
      <w:bookmarkEnd w:id="872"/>
      <w:bookmarkEnd w:id="873"/>
    </w:p>
    <w:p>
      <w:pPr>
        <w:pStyle w:val="yShoulderClause"/>
      </w:pPr>
      <w:r>
        <w:t>[r. 97]</w:t>
      </w:r>
    </w:p>
    <w:p>
      <w:pPr>
        <w:pStyle w:val="yHeading5"/>
      </w:pPr>
      <w:bookmarkStart w:id="874" w:name="_Toc238548033"/>
      <w:bookmarkStart w:id="875" w:name="_Toc233693248"/>
      <w:r>
        <w:rPr>
          <w:rStyle w:val="CharSClsNo"/>
        </w:rPr>
        <w:t>1</w:t>
      </w:r>
      <w:r>
        <w:t>.</w:t>
      </w:r>
      <w:r>
        <w:tab/>
        <w:t>Sparklers</w:t>
      </w:r>
      <w:bookmarkEnd w:id="874"/>
      <w:bookmarkEnd w:id="875"/>
    </w:p>
    <w:p>
      <w:pPr>
        <w:pStyle w:val="ySubsection"/>
      </w:pPr>
      <w:r>
        <w:tab/>
      </w:r>
      <w:r>
        <w:tab/>
        <w:t>A person may transport any quantity of sparklers that have a classification code of 1.4G or 1.4S.</w:t>
      </w:r>
    </w:p>
    <w:p>
      <w:pPr>
        <w:pStyle w:val="yHeading5"/>
      </w:pPr>
      <w:bookmarkStart w:id="876" w:name="_Toc238548034"/>
      <w:bookmarkStart w:id="877" w:name="_Toc233693249"/>
      <w:r>
        <w:rPr>
          <w:rStyle w:val="CharSClsNo"/>
        </w:rPr>
        <w:t>2</w:t>
      </w:r>
      <w:r>
        <w:t>.</w:t>
      </w:r>
      <w:r>
        <w:tab/>
        <w:t>Cartridges for safety devices</w:t>
      </w:r>
      <w:bookmarkEnd w:id="876"/>
      <w:bookmarkEnd w:id="877"/>
    </w:p>
    <w:p>
      <w:pPr>
        <w:pStyle w:val="ySubsection"/>
      </w:pPr>
      <w:r>
        <w:tab/>
      </w:r>
      <w:r>
        <w:tab/>
        <w:t>A person may transport any quantity of power device cartridges.</w:t>
      </w:r>
    </w:p>
    <w:p>
      <w:pPr>
        <w:pStyle w:val="yHeading5"/>
      </w:pPr>
      <w:bookmarkStart w:id="878" w:name="_Toc238548035"/>
      <w:bookmarkStart w:id="879" w:name="_Toc233693250"/>
      <w:r>
        <w:rPr>
          <w:rStyle w:val="CharSClsNo"/>
        </w:rPr>
        <w:t>3</w:t>
      </w:r>
      <w:r>
        <w:t>.</w:t>
      </w:r>
      <w:r>
        <w:tab/>
        <w:t>Cartridges for nail guns etc.</w:t>
      </w:r>
      <w:bookmarkEnd w:id="878"/>
      <w:bookmarkEnd w:id="879"/>
    </w:p>
    <w:p>
      <w:pPr>
        <w:pStyle w:val="ySubsection"/>
      </w:pPr>
      <w:r>
        <w:tab/>
      </w:r>
      <w:r>
        <w:tab/>
        <w:t>A person may transport any quantity of power tool cartridges.</w:t>
      </w:r>
    </w:p>
    <w:p>
      <w:pPr>
        <w:pStyle w:val="yHeading5"/>
      </w:pPr>
      <w:bookmarkStart w:id="880" w:name="_Toc238548036"/>
      <w:bookmarkStart w:id="881" w:name="_Toc233693251"/>
      <w:r>
        <w:rPr>
          <w:rStyle w:val="CharSClsNo"/>
        </w:rPr>
        <w:t>4</w:t>
      </w:r>
      <w:r>
        <w:t>.</w:t>
      </w:r>
      <w:r>
        <w:tab/>
        <w:t>Emergency devices</w:t>
      </w:r>
      <w:bookmarkEnd w:id="880"/>
      <w:bookmarkEnd w:id="881"/>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1.4G in the vehicle.</w:t>
      </w:r>
    </w:p>
    <w:p>
      <w:pPr>
        <w:pStyle w:val="yHeading5"/>
      </w:pPr>
      <w:bookmarkStart w:id="882" w:name="_Toc238548037"/>
      <w:bookmarkStart w:id="883" w:name="_Toc233693252"/>
      <w:r>
        <w:rPr>
          <w:rStyle w:val="CharSClsNo"/>
        </w:rPr>
        <w:t>5</w:t>
      </w:r>
      <w:r>
        <w:t>.</w:t>
      </w:r>
      <w:r>
        <w:tab/>
        <w:t>Ammunition, ammunition propellant and black powder</w:t>
      </w:r>
      <w:bookmarkEnd w:id="882"/>
      <w:bookmarkEnd w:id="883"/>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15 kg; and</w:t>
      </w:r>
    </w:p>
    <w:p>
      <w:pPr>
        <w:pStyle w:val="yIndenta"/>
      </w:pPr>
      <w:r>
        <w:tab/>
        <w:t>(b)</w:t>
      </w:r>
      <w:r>
        <w:tab/>
        <w:t>there is not more than 4 kg of black powder in the vehicle.</w:t>
      </w:r>
    </w:p>
    <w:p>
      <w:pPr>
        <w:pStyle w:val="yScheduleHeading"/>
      </w:pPr>
      <w:bookmarkStart w:id="884" w:name="_Toc191960758"/>
      <w:bookmarkStart w:id="885" w:name="_Toc191982339"/>
      <w:bookmarkStart w:id="886" w:name="_Toc233693253"/>
      <w:bookmarkStart w:id="887" w:name="_Toc238546604"/>
      <w:bookmarkStart w:id="888" w:name="_Toc238546909"/>
      <w:bookmarkStart w:id="889" w:name="_Toc238548038"/>
      <w:r>
        <w:rPr>
          <w:rStyle w:val="CharSchNo"/>
        </w:rPr>
        <w:t>Schedule 8</w:t>
      </w:r>
      <w:r>
        <w:rPr>
          <w:rStyle w:val="CharSDivNo"/>
        </w:rPr>
        <w:t> </w:t>
      </w:r>
      <w:r>
        <w:t>—</w:t>
      </w:r>
      <w:r>
        <w:rPr>
          <w:rStyle w:val="CharSDivText"/>
        </w:rPr>
        <w:t> </w:t>
      </w:r>
      <w:r>
        <w:rPr>
          <w:rStyle w:val="CharSchText"/>
        </w:rPr>
        <w:t>Explosives that may supplied without a licence</w:t>
      </w:r>
      <w:bookmarkEnd w:id="884"/>
      <w:bookmarkEnd w:id="885"/>
      <w:bookmarkEnd w:id="886"/>
      <w:bookmarkEnd w:id="887"/>
      <w:bookmarkEnd w:id="888"/>
      <w:bookmarkEnd w:id="889"/>
    </w:p>
    <w:p>
      <w:pPr>
        <w:pStyle w:val="yShoulderClause"/>
      </w:pPr>
      <w:r>
        <w:t>[r. 112]</w:t>
      </w:r>
    </w:p>
    <w:p>
      <w:pPr>
        <w:pStyle w:val="yHeading5"/>
      </w:pPr>
      <w:bookmarkStart w:id="890" w:name="_Toc238548039"/>
      <w:bookmarkStart w:id="891" w:name="_Toc233693254"/>
      <w:r>
        <w:rPr>
          <w:rStyle w:val="CharSClsNo"/>
        </w:rPr>
        <w:t>1</w:t>
      </w:r>
      <w:r>
        <w:t>.</w:t>
      </w:r>
      <w:r>
        <w:tab/>
        <w:t>Sparklers</w:t>
      </w:r>
      <w:bookmarkEnd w:id="890"/>
      <w:bookmarkEnd w:id="891"/>
    </w:p>
    <w:p>
      <w:pPr>
        <w:pStyle w:val="ySubsection"/>
      </w:pPr>
      <w:r>
        <w:tab/>
      </w:r>
      <w:r>
        <w:tab/>
        <w:t>A person may supply a sparkler.</w:t>
      </w:r>
    </w:p>
    <w:p>
      <w:pPr>
        <w:pStyle w:val="yHeading5"/>
      </w:pPr>
      <w:bookmarkStart w:id="892" w:name="_Toc238548040"/>
      <w:bookmarkStart w:id="893" w:name="_Toc233693255"/>
      <w:r>
        <w:rPr>
          <w:rStyle w:val="CharSClsNo"/>
        </w:rPr>
        <w:t>2</w:t>
      </w:r>
      <w:r>
        <w:t>.</w:t>
      </w:r>
      <w:r>
        <w:tab/>
        <w:t>Cartridges for safety devices etc.</w:t>
      </w:r>
      <w:bookmarkEnd w:id="892"/>
      <w:bookmarkEnd w:id="893"/>
    </w:p>
    <w:p>
      <w:pPr>
        <w:pStyle w:val="ySubsection"/>
      </w:pPr>
      <w:r>
        <w:tab/>
      </w:r>
      <w:r>
        <w:tab/>
        <w:t>A person may supply a power device cartridge.</w:t>
      </w:r>
    </w:p>
    <w:p>
      <w:pPr>
        <w:pStyle w:val="yHeading5"/>
      </w:pPr>
      <w:bookmarkStart w:id="894" w:name="_Toc238548041"/>
      <w:bookmarkStart w:id="895" w:name="_Toc233693256"/>
      <w:r>
        <w:rPr>
          <w:rStyle w:val="CharSClsNo"/>
        </w:rPr>
        <w:t>3</w:t>
      </w:r>
      <w:r>
        <w:t>.</w:t>
      </w:r>
      <w:r>
        <w:tab/>
        <w:t>Cartridges for nail guns etc.</w:t>
      </w:r>
      <w:bookmarkEnd w:id="894"/>
      <w:bookmarkEnd w:id="895"/>
    </w:p>
    <w:p>
      <w:pPr>
        <w:pStyle w:val="ySubsection"/>
      </w:pPr>
      <w:r>
        <w:tab/>
      </w:r>
      <w:r>
        <w:tab/>
        <w:t>A person may supply a power tool cartridge.</w:t>
      </w:r>
    </w:p>
    <w:p>
      <w:pPr>
        <w:pStyle w:val="yHeading5"/>
      </w:pPr>
      <w:bookmarkStart w:id="896" w:name="_Toc238548042"/>
      <w:bookmarkStart w:id="897" w:name="_Toc233693257"/>
      <w:r>
        <w:rPr>
          <w:rStyle w:val="CharSClsNo"/>
        </w:rPr>
        <w:t>4</w:t>
      </w:r>
      <w:r>
        <w:t>.</w:t>
      </w:r>
      <w:r>
        <w:tab/>
        <w:t>Emergency devices</w:t>
      </w:r>
      <w:bookmarkEnd w:id="896"/>
      <w:bookmarkEnd w:id="897"/>
    </w:p>
    <w:p>
      <w:pPr>
        <w:pStyle w:val="ySubsection"/>
      </w:pPr>
      <w:r>
        <w:tab/>
      </w:r>
      <w:r>
        <w:tab/>
        <w:t>A person may supply an emergency device.</w:t>
      </w:r>
    </w:p>
    <w:p>
      <w:pPr>
        <w:pStyle w:val="yHeading5"/>
      </w:pPr>
      <w:bookmarkStart w:id="898" w:name="_Toc238548043"/>
      <w:bookmarkStart w:id="899" w:name="_Toc233693258"/>
      <w:r>
        <w:rPr>
          <w:rStyle w:val="CharSClsNo"/>
        </w:rPr>
        <w:t>5</w:t>
      </w:r>
      <w:r>
        <w:t>.</w:t>
      </w:r>
      <w:r>
        <w:tab/>
        <w:t>Ammunition</w:t>
      </w:r>
      <w:bookmarkEnd w:id="898"/>
      <w:bookmarkEnd w:id="899"/>
    </w:p>
    <w:p>
      <w:pPr>
        <w:pStyle w:val="ySubsection"/>
      </w:pPr>
      <w:r>
        <w:tab/>
      </w:r>
      <w:r>
        <w:tab/>
        <w:t xml:space="preserve">A person may supply ammunition if authorised under the </w:t>
      </w:r>
      <w:r>
        <w:rPr>
          <w:i/>
          <w:iCs/>
        </w:rPr>
        <w:t xml:space="preserve">Firearms Act 1973 </w:t>
      </w:r>
      <w:r>
        <w:t>to do so.</w:t>
      </w:r>
    </w:p>
    <w:p>
      <w:pPr>
        <w:pStyle w:val="yScheduleHeading"/>
      </w:pPr>
      <w:bookmarkStart w:id="900" w:name="_Toc191960764"/>
      <w:bookmarkStart w:id="901" w:name="_Toc191982345"/>
      <w:bookmarkStart w:id="902" w:name="_Toc233693259"/>
      <w:bookmarkStart w:id="903" w:name="_Toc238546610"/>
      <w:bookmarkStart w:id="904" w:name="_Toc238546915"/>
      <w:bookmarkStart w:id="905" w:name="_Toc238548044"/>
      <w:r>
        <w:rPr>
          <w:rStyle w:val="CharSchNo"/>
        </w:rPr>
        <w:t>Schedule 9</w:t>
      </w:r>
      <w:r>
        <w:rPr>
          <w:rStyle w:val="CharSDivNo"/>
        </w:rPr>
        <w:t> </w:t>
      </w:r>
      <w:r>
        <w:t>—</w:t>
      </w:r>
      <w:r>
        <w:rPr>
          <w:rStyle w:val="CharSDivText"/>
        </w:rPr>
        <w:t> </w:t>
      </w:r>
      <w:r>
        <w:rPr>
          <w:rStyle w:val="CharSchText"/>
        </w:rPr>
        <w:t>Explosives that may be used without a licence</w:t>
      </w:r>
      <w:bookmarkEnd w:id="900"/>
      <w:bookmarkEnd w:id="901"/>
      <w:bookmarkEnd w:id="902"/>
      <w:bookmarkEnd w:id="903"/>
      <w:bookmarkEnd w:id="904"/>
      <w:bookmarkEnd w:id="905"/>
    </w:p>
    <w:p>
      <w:pPr>
        <w:pStyle w:val="yShoulderClause"/>
      </w:pPr>
      <w:r>
        <w:t>[r. 125(1)]</w:t>
      </w:r>
    </w:p>
    <w:p>
      <w:pPr>
        <w:pStyle w:val="yHeading5"/>
      </w:pPr>
      <w:bookmarkStart w:id="906" w:name="_Toc238548045"/>
      <w:bookmarkStart w:id="907" w:name="_Toc233693260"/>
      <w:r>
        <w:rPr>
          <w:rStyle w:val="CharSClsNo"/>
        </w:rPr>
        <w:t>1</w:t>
      </w:r>
      <w:r>
        <w:t>.</w:t>
      </w:r>
      <w:r>
        <w:tab/>
        <w:t>Sparklers</w:t>
      </w:r>
      <w:bookmarkEnd w:id="906"/>
      <w:bookmarkEnd w:id="907"/>
    </w:p>
    <w:p>
      <w:pPr>
        <w:pStyle w:val="ySubsection"/>
      </w:pPr>
      <w:r>
        <w:tab/>
      </w:r>
      <w:r>
        <w:tab/>
        <w:t>A person may use a sparkler.</w:t>
      </w:r>
    </w:p>
    <w:p>
      <w:pPr>
        <w:pStyle w:val="yHeading5"/>
      </w:pPr>
      <w:bookmarkStart w:id="908" w:name="_Toc238548046"/>
      <w:bookmarkStart w:id="909" w:name="_Toc233693261"/>
      <w:r>
        <w:rPr>
          <w:rStyle w:val="CharSClsNo"/>
        </w:rPr>
        <w:t>2</w:t>
      </w:r>
      <w:r>
        <w:t>.</w:t>
      </w:r>
      <w:r>
        <w:tab/>
        <w:t>Cartridges for safety devices etc.</w:t>
      </w:r>
      <w:bookmarkEnd w:id="908"/>
      <w:bookmarkEnd w:id="909"/>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910" w:name="_Toc238548047"/>
      <w:bookmarkStart w:id="911" w:name="_Toc233693262"/>
      <w:r>
        <w:rPr>
          <w:rStyle w:val="CharSClsNo"/>
        </w:rPr>
        <w:t>3</w:t>
      </w:r>
      <w:r>
        <w:t>.</w:t>
      </w:r>
      <w:r>
        <w:tab/>
        <w:t>Cartridges for nail guns etc.</w:t>
      </w:r>
      <w:bookmarkEnd w:id="910"/>
      <w:bookmarkEnd w:id="911"/>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912" w:name="_Toc238548048"/>
      <w:bookmarkStart w:id="913" w:name="_Toc233693263"/>
      <w:r>
        <w:rPr>
          <w:rStyle w:val="CharSClsNo"/>
        </w:rPr>
        <w:t>4</w:t>
      </w:r>
      <w:r>
        <w:t>.</w:t>
      </w:r>
      <w:r>
        <w:tab/>
        <w:t>Emergency devices</w:t>
      </w:r>
      <w:bookmarkEnd w:id="912"/>
      <w:bookmarkEnd w:id="913"/>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w:t>
      </w:r>
    </w:p>
    <w:p>
      <w:pPr>
        <w:pStyle w:val="yHeading5"/>
      </w:pPr>
      <w:bookmarkStart w:id="914" w:name="_Toc238548049"/>
      <w:bookmarkStart w:id="915" w:name="_Toc233693264"/>
      <w:r>
        <w:rPr>
          <w:rStyle w:val="CharSClsNo"/>
        </w:rPr>
        <w:t>5</w:t>
      </w:r>
      <w:r>
        <w:t>.</w:t>
      </w:r>
      <w:r>
        <w:tab/>
        <w:t>Ammunition</w:t>
      </w:r>
      <w:bookmarkEnd w:id="914"/>
      <w:bookmarkEnd w:id="915"/>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ScheduleHeading"/>
      </w:pPr>
      <w:bookmarkStart w:id="916" w:name="_Toc191960770"/>
      <w:bookmarkStart w:id="917" w:name="_Toc191982351"/>
      <w:bookmarkStart w:id="918" w:name="_Toc233693265"/>
      <w:bookmarkStart w:id="919" w:name="_Toc238546616"/>
      <w:bookmarkStart w:id="920" w:name="_Toc238546921"/>
      <w:bookmarkStart w:id="921" w:name="_Toc238548050"/>
      <w:r>
        <w:rPr>
          <w:rStyle w:val="CharSchNo"/>
        </w:rPr>
        <w:t>Schedule 10</w:t>
      </w:r>
      <w:r>
        <w:t> — </w:t>
      </w:r>
      <w:r>
        <w:rPr>
          <w:rStyle w:val="CharSchText"/>
        </w:rPr>
        <w:t>Provisions for required plans</w:t>
      </w:r>
      <w:bookmarkEnd w:id="916"/>
      <w:bookmarkEnd w:id="917"/>
      <w:bookmarkEnd w:id="918"/>
      <w:bookmarkEnd w:id="919"/>
      <w:bookmarkEnd w:id="920"/>
      <w:bookmarkEnd w:id="921"/>
    </w:p>
    <w:p>
      <w:pPr>
        <w:pStyle w:val="yShoulderClause"/>
      </w:pPr>
      <w:r>
        <w:t>[r. 161]</w:t>
      </w:r>
    </w:p>
    <w:p>
      <w:pPr>
        <w:pStyle w:val="yHeading5"/>
      </w:pPr>
      <w:bookmarkStart w:id="922" w:name="_Toc238548051"/>
      <w:bookmarkStart w:id="923" w:name="_Toc233693266"/>
      <w:r>
        <w:rPr>
          <w:rStyle w:val="CharSClsNo"/>
        </w:rPr>
        <w:t>1</w:t>
      </w:r>
      <w:r>
        <w:t>.</w:t>
      </w:r>
      <w:r>
        <w:tab/>
        <w:t>Terms used in this Schedule</w:t>
      </w:r>
      <w:bookmarkEnd w:id="922"/>
      <w:bookmarkEnd w:id="923"/>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“required plan”;</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924" w:name="_Toc238548052"/>
      <w:bookmarkStart w:id="925" w:name="_Toc233693267"/>
      <w:r>
        <w:rPr>
          <w:rStyle w:val="CharSClsNo"/>
        </w:rPr>
        <w:t>2</w:t>
      </w:r>
      <w:r>
        <w:t>.</w:t>
      </w:r>
      <w:r>
        <w:tab/>
        <w:t>General matters</w:t>
      </w:r>
      <w:bookmarkEnd w:id="924"/>
      <w:bookmarkEnd w:id="925"/>
    </w:p>
    <w:p>
      <w:pPr>
        <w:pStyle w:val="ySubsection"/>
      </w:pPr>
      <w:r>
        <w:tab/>
      </w:r>
      <w:r>
        <w:tab/>
        <w:t xml:space="preserve">If a required plan is required to contain the matters in this clause it must contain the following — </w:t>
      </w:r>
    </w:p>
    <w:p>
      <w:pPr>
        <w:pStyle w:val="yIndenta"/>
      </w:pPr>
      <w:r>
        <w:tab/>
        <w:t>(a)</w:t>
      </w:r>
      <w:r>
        <w:tab/>
        <w:t>an emergency management plan to deal with any dangerous goods incident, or any dangerous situation, involving an explosive that might occur that includes these matters —</w:t>
      </w:r>
    </w:p>
    <w:p>
      <w:pPr>
        <w:pStyle w:val="yIndenti0"/>
      </w:pPr>
      <w:r>
        <w:tab/>
        <w:t>(i)</w:t>
      </w:r>
      <w:r>
        <w:tab/>
        <w:t>the equipment and facilities that will be available;</w:t>
      </w:r>
    </w:p>
    <w:p>
      <w:pPr>
        <w:pStyle w:val="yIndenti0"/>
      </w:pPr>
      <w:r>
        <w:tab/>
        <w:t>(ii)</w:t>
      </w:r>
      <w:r>
        <w:tab/>
        <w:t>the procedures that will be followed and the measures that will be taken, including matters such as sounding alarms and evacuating people;</w:t>
      </w:r>
    </w:p>
    <w:p>
      <w:pPr>
        <w:pStyle w:val="yIndenti0"/>
      </w:pPr>
      <w:r>
        <w:tab/>
        <w:t>(iii)</w:t>
      </w:r>
      <w:r>
        <w:tab/>
        <w:t>the measures that will be taken to investigate why the incident or situation occurred;</w:t>
      </w:r>
    </w:p>
    <w:p>
      <w:pPr>
        <w:pStyle w:val="yIndenti0"/>
      </w:pPr>
      <w:r>
        <w:tab/>
        <w:t>(iv)</w:t>
      </w:r>
      <w:r>
        <w:tab/>
        <w:t>the individuals who will be responsible for implementing the emergency management plan;</w:t>
      </w:r>
    </w:p>
    <w:p>
      <w:pPr>
        <w:pStyle w:val="yIndenti0"/>
      </w:pPr>
      <w:r>
        <w:tab/>
        <w:t>(v)</w:t>
      </w:r>
      <w:r>
        <w:tab/>
        <w:t>the measures that will be taken to train people to execute the emergency management plan;</w:t>
      </w:r>
    </w:p>
    <w:p>
      <w:pPr>
        <w:pStyle w:val="yIndenti0"/>
      </w:pPr>
      <w:r>
        <w:tab/>
        <w:t>(vi)</w:t>
      </w:r>
      <w:r>
        <w:tab/>
        <w:t>which emergency services and other people will be given a copy of the emergency management plan;</w:t>
      </w:r>
    </w:p>
    <w:p>
      <w:pPr>
        <w:pStyle w:val="yIndenta"/>
      </w:pPr>
      <w:r>
        <w:tab/>
        <w:t>(b)</w:t>
      </w:r>
      <w:r>
        <w:tab/>
        <w:t>the measures that will be taken to ensure any dangerous goods incident involving an explosive is reported to the Chief Officer as soon as practicable;</w:t>
      </w:r>
    </w:p>
    <w:p>
      <w:pPr>
        <w:pStyle w:val="yIndenta"/>
      </w:pPr>
      <w:r>
        <w:tab/>
        <w:t>(c)</w:t>
      </w:r>
      <w:r>
        <w:tab/>
        <w:t>the measures that will be taken to ensure that people who may have access to an explosive are instructed about and comply with these regulations;</w:t>
      </w:r>
    </w:p>
    <w:p>
      <w:pPr>
        <w:pStyle w:val="yIndenta"/>
      </w:pPr>
      <w:r>
        <w:tab/>
        <w:t>(d)</w:t>
      </w:r>
      <w:r>
        <w:tab/>
        <w:t>the measures that will be taken to ensure that people who may have access to an explosive are instructed about and comply with the plan;</w:t>
      </w:r>
    </w:p>
    <w:p>
      <w:pPr>
        <w:pStyle w:val="yIndenta"/>
      </w:pPr>
      <w:r>
        <w:tab/>
        <w:t>(e)</w:t>
      </w:r>
      <w:r>
        <w:tab/>
        <w:t>the measures that will be taken to monitor and ensure compliance, with the plan;</w:t>
      </w:r>
    </w:p>
    <w:p>
      <w:pPr>
        <w:pStyle w:val="yIndenta"/>
      </w:pPr>
      <w:r>
        <w:tab/>
        <w:t>(f)</w:t>
      </w:r>
      <w:r>
        <w:tab/>
        <w:t>the measures that will be taken to ensure the plan and its effectiveness are reviewed regularly and that the plan is revised if necessary;</w:t>
      </w:r>
    </w:p>
    <w:p>
      <w:pPr>
        <w:pStyle w:val="yIndenta"/>
      </w:pPr>
      <w:r>
        <w:tab/>
        <w:t>(g)</w:t>
      </w:r>
      <w:r>
        <w:tab/>
        <w:t>the measures that will be taken to ensure a record is kept of measures taken under the plan.</w:t>
      </w:r>
    </w:p>
    <w:p>
      <w:pPr>
        <w:pStyle w:val="yHeading5"/>
      </w:pPr>
      <w:bookmarkStart w:id="926" w:name="_Toc238548053"/>
      <w:bookmarkStart w:id="927" w:name="_Toc233693268"/>
      <w:r>
        <w:rPr>
          <w:rStyle w:val="CharSClsNo"/>
        </w:rPr>
        <w:t>3</w:t>
      </w:r>
      <w:r>
        <w:t>.</w:t>
      </w:r>
      <w:r>
        <w:tab/>
        <w:t>Safety matters</w:t>
      </w:r>
      <w:bookmarkEnd w:id="926"/>
      <w:bookmarkEnd w:id="927"/>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pPr>
      <w:bookmarkStart w:id="928" w:name="_Toc238548054"/>
      <w:bookmarkStart w:id="929" w:name="_Toc233693269"/>
      <w:r>
        <w:rPr>
          <w:rStyle w:val="CharSClsNo"/>
        </w:rPr>
        <w:t>4</w:t>
      </w:r>
      <w:r>
        <w:t>.</w:t>
      </w:r>
      <w:r>
        <w:tab/>
        <w:t>Security matters</w:t>
      </w:r>
      <w:bookmarkEnd w:id="928"/>
      <w:bookmarkEnd w:id="929"/>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pPr>
      <w:bookmarkStart w:id="930" w:name="_Toc191960775"/>
      <w:bookmarkStart w:id="931" w:name="_Toc191982356"/>
      <w:bookmarkStart w:id="932" w:name="_Toc233693270"/>
      <w:bookmarkStart w:id="933" w:name="_Toc238546621"/>
      <w:bookmarkStart w:id="934" w:name="_Toc238546926"/>
      <w:bookmarkStart w:id="935" w:name="_Toc238548055"/>
      <w:r>
        <w:rPr>
          <w:rStyle w:val="CharSchNo"/>
        </w:rPr>
        <w:t>Schedule 11</w:t>
      </w:r>
      <w:r>
        <w:rPr>
          <w:rStyle w:val="CharSDivNo"/>
        </w:rPr>
        <w:t> </w:t>
      </w:r>
      <w:r>
        <w:t>—</w:t>
      </w:r>
      <w:r>
        <w:rPr>
          <w:rStyle w:val="CharSDivText"/>
        </w:rPr>
        <w:t> </w:t>
      </w:r>
      <w:r>
        <w:rPr>
          <w:rStyle w:val="CharSchText"/>
        </w:rPr>
        <w:t>Central business districts</w:t>
      </w:r>
      <w:bookmarkEnd w:id="930"/>
      <w:bookmarkEnd w:id="931"/>
      <w:bookmarkEnd w:id="932"/>
      <w:bookmarkEnd w:id="933"/>
      <w:bookmarkEnd w:id="934"/>
      <w:bookmarkEnd w:id="935"/>
    </w:p>
    <w:p>
      <w:pPr>
        <w:pStyle w:val="yShoulderClause"/>
      </w:pPr>
      <w:r>
        <w:t>[r. 107]</w:t>
      </w:r>
    </w:p>
    <w:p>
      <w:pPr>
        <w:pStyle w:val="yHeading5"/>
      </w:pPr>
      <w:bookmarkStart w:id="936" w:name="_Toc238548056"/>
      <w:bookmarkStart w:id="937" w:name="_Toc233693271"/>
      <w:r>
        <w:rPr>
          <w:rStyle w:val="CharSClsNo"/>
        </w:rPr>
        <w:t>1</w:t>
      </w:r>
      <w:r>
        <w:t>.</w:t>
      </w:r>
      <w:r>
        <w:tab/>
        <w:t>Fremantle central business district</w:t>
      </w:r>
      <w:bookmarkEnd w:id="936"/>
      <w:bookmarkEnd w:id="937"/>
    </w:p>
    <w:p>
      <w:pPr>
        <w:pStyle w:val="ySubsection"/>
      </w:pPr>
      <w:r>
        <w:tab/>
      </w:r>
      <w:r>
        <w:tab/>
        <w:t>The Fremantle central business district is the land bounded by a line that goes —</w:t>
      </w:r>
    </w:p>
    <w:p>
      <w:pPr>
        <w:pStyle w:val="ySubsection"/>
        <w:spacing w:before="0"/>
      </w:pPr>
      <w:r>
        <w:tab/>
      </w:r>
      <w:r>
        <w:tab/>
        <w:t>from the western end of the South Mole, westerly and north westerly along Fleet Street, Phillimore Street, Elder Place and Beach Street to James Street;</w:t>
      </w:r>
    </w:p>
    <w:p>
      <w:pPr>
        <w:pStyle w:val="ySubsection"/>
        <w:spacing w:before="0"/>
      </w:pPr>
      <w:r>
        <w:tab/>
      </w:r>
      <w:r>
        <w:tab/>
        <w:t>then southerly along James Street, Ord Street and Hampton Road to the intersection of Hampton Road and Douro Road;</w:t>
      </w:r>
    </w:p>
    <w:p>
      <w:pPr>
        <w:pStyle w:val="ySubsection"/>
        <w:spacing w:before="0"/>
      </w:pPr>
      <w:r>
        <w:tab/>
      </w:r>
      <w:r>
        <w:tab/>
        <w:t>then westerly along Douro Road;</w:t>
      </w:r>
    </w:p>
    <w:p>
      <w:pPr>
        <w:pStyle w:val="ySubsection"/>
        <w:spacing w:before="0"/>
      </w:pPr>
      <w:r>
        <w:tab/>
      </w:r>
      <w:r>
        <w:tab/>
        <w:t xml:space="preserve">then west from the end of Douro Road to the sea; </w:t>
      </w:r>
    </w:p>
    <w:p>
      <w:pPr>
        <w:pStyle w:val="ySubsection"/>
        <w:spacing w:before="0"/>
      </w:pPr>
      <w:r>
        <w:tab/>
      </w:r>
      <w:r>
        <w:tab/>
        <w:t>but does not include James Street, Ord Street or Hampton Road.</w:t>
      </w:r>
    </w:p>
    <w:p>
      <w:pPr>
        <w:pStyle w:val="yHeading5"/>
      </w:pPr>
      <w:bookmarkStart w:id="938" w:name="_Toc238548057"/>
      <w:bookmarkStart w:id="939" w:name="_Toc233693272"/>
      <w:r>
        <w:rPr>
          <w:rStyle w:val="CharSClsNo"/>
        </w:rPr>
        <w:t>2</w:t>
      </w:r>
      <w:r>
        <w:t>.</w:t>
      </w:r>
      <w:r>
        <w:tab/>
        <w:t>Perth central business district</w:t>
      </w:r>
      <w:bookmarkEnd w:id="938"/>
      <w:bookmarkEnd w:id="939"/>
    </w:p>
    <w:p>
      <w:pPr>
        <w:pStyle w:val="ySubsection"/>
      </w:pPr>
      <w:r>
        <w:tab/>
      </w:r>
      <w:r>
        <w:tab/>
        <w:t>The Perth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then south easterly along Newcastle Street;</w:t>
      </w:r>
    </w:p>
    <w:p>
      <w:pPr>
        <w:pStyle w:val="ySubsection"/>
        <w:spacing w:before="0"/>
      </w:pPr>
      <w:r>
        <w:tab/>
      </w:r>
      <w:r>
        <w:tab/>
        <w:t>then southerly along Lord Street to the Perth-Midland railway reserve;</w:t>
      </w:r>
    </w:p>
    <w:p>
      <w:pPr>
        <w:pStyle w:val="ySubsection"/>
        <w:spacing w:before="0"/>
      </w:pPr>
      <w:r>
        <w:tab/>
      </w:r>
      <w:r>
        <w:tab/>
        <w:t>then north easterly and easterly along the Perth-Midland and Perth</w:t>
      </w:r>
      <w:r>
        <w:noBreakHyphen/>
        <w:t>Armadale railway reserves to the western foreshore of the Swan River;</w:t>
      </w:r>
    </w:p>
    <w:p>
      <w:pPr>
        <w:pStyle w:val="ySubsection"/>
        <w:spacing w:before="0"/>
      </w:pPr>
      <w:r>
        <w:tab/>
      </w:r>
      <w:r>
        <w:tab/>
        <w:t>then southerly and south westerly along the western foreshore of the Swan River to the Causeway;</w:t>
      </w:r>
    </w:p>
    <w:p>
      <w:pPr>
        <w:pStyle w:val="ySubsection"/>
        <w:spacing w:before="0"/>
      </w:pPr>
      <w:r>
        <w:tab/>
      </w:r>
      <w:r>
        <w:tab/>
        <w:t>then westerly along the Causeway and Riverside Drive to Barrack Street;</w:t>
      </w:r>
    </w:p>
    <w:p>
      <w:pPr>
        <w:pStyle w:val="ySubsection"/>
        <w:spacing w:before="0"/>
      </w:pPr>
      <w:r>
        <w:tab/>
      </w:r>
      <w:r>
        <w:tab/>
        <w:t>then northerly along Barrack Street;</w:t>
      </w:r>
    </w:p>
    <w:p>
      <w:pPr>
        <w:pStyle w:val="ySubsection"/>
        <w:spacing w:before="0"/>
      </w:pPr>
      <w:r>
        <w:tab/>
      </w:r>
      <w:r>
        <w:tab/>
        <w:t>then westerly along the Esplanade and Mounts Bay Road to Spring Street;</w:t>
      </w:r>
    </w:p>
    <w:p>
      <w:pPr>
        <w:pStyle w:val="ySubsection"/>
        <w:spacing w:before="0"/>
      </w:pPr>
      <w:r>
        <w:tab/>
      </w:r>
      <w:r>
        <w:tab/>
        <w:t>then north westerly along Spring Street to Mount Street;</w:t>
      </w:r>
    </w:p>
    <w:p>
      <w:pPr>
        <w:pStyle w:val="ySubsection"/>
        <w:spacing w:before="0"/>
      </w:pPr>
      <w:r>
        <w:tab/>
      </w:r>
      <w:r>
        <w:tab/>
        <w:t>then south westerly along Mount Street to Cliff Street;</w:t>
      </w:r>
    </w:p>
    <w:p>
      <w:pPr>
        <w:pStyle w:val="ySubsection"/>
        <w:spacing w:before="0"/>
      </w:pPr>
      <w:r>
        <w:tab/>
      </w:r>
      <w:r>
        <w:tab/>
        <w:t>then north westerly along Cliff Street to Malcolm Street;</w:t>
      </w:r>
    </w:p>
    <w:p>
      <w:pPr>
        <w:pStyle w:val="ySubsection"/>
        <w:spacing w:before="0"/>
      </w:pPr>
      <w:r>
        <w:tab/>
      </w:r>
      <w:r>
        <w:tab/>
        <w:t>then south westerly along Malcolm Street to Kings Park Road;</w:t>
      </w:r>
    </w:p>
    <w:p>
      <w:pPr>
        <w:pStyle w:val="ySubsection"/>
        <w:spacing w:before="0"/>
      </w:pPr>
      <w:r>
        <w:tab/>
      </w:r>
      <w:r>
        <w:tab/>
        <w:t>then westerly along Kings Park Road to the start;</w:t>
      </w:r>
    </w:p>
    <w:p>
      <w:pPr>
        <w:pStyle w:val="ySubsection"/>
        <w:spacing w:before="0"/>
      </w:pPr>
      <w:r>
        <w:tab/>
      </w:r>
      <w:r>
        <w:tab/>
        <w:t>but does not include Thomas Street, Loftus Street, Newcastle Street, the Kwinana Freeway, the Mitchell Freeway, the Causeway or Riverside Drive.</w:t>
      </w:r>
    </w:p>
    <w:p>
      <w:pPr>
        <w:sectPr>
          <w:headerReference w:type="even" r:id="rId28"/>
          <w:headerReference w:type="default" r:id="rId29"/>
          <w:footerReference w:type="even" r:id="rId30"/>
          <w:footerReference w:type="default" r:id="rId31"/>
          <w:headerReference w:type="first" r:id="rId32"/>
          <w:endnotePr>
            <w:numFmt w:val="decimal"/>
          </w:endnotePr>
          <w:pgSz w:w="11906" w:h="16838" w:code="9"/>
          <w:pgMar w:top="2376" w:right="2405" w:bottom="3542" w:left="2405" w:header="706" w:footer="3528" w:gutter="0"/>
          <w:cols w:space="720"/>
          <w:noEndnote/>
        </w:sectPr>
      </w:pPr>
    </w:p>
    <w:p>
      <w:pPr>
        <w:pStyle w:val="nHeading2"/>
      </w:pPr>
      <w:bookmarkStart w:id="940" w:name="_Toc191960778"/>
      <w:bookmarkStart w:id="941" w:name="_Toc191982359"/>
      <w:bookmarkStart w:id="942" w:name="_Toc233693273"/>
      <w:bookmarkStart w:id="943" w:name="_Toc238546624"/>
      <w:bookmarkStart w:id="944" w:name="_Toc238546929"/>
      <w:bookmarkStart w:id="945" w:name="_Toc238548058"/>
      <w:r>
        <w:t>Notes</w:t>
      </w:r>
      <w:bookmarkEnd w:id="808"/>
      <w:bookmarkEnd w:id="809"/>
      <w:bookmarkEnd w:id="810"/>
      <w:bookmarkEnd w:id="811"/>
      <w:bookmarkEnd w:id="940"/>
      <w:bookmarkEnd w:id="941"/>
      <w:bookmarkEnd w:id="942"/>
      <w:bookmarkEnd w:id="943"/>
      <w:bookmarkEnd w:id="944"/>
      <w:bookmarkEnd w:id="945"/>
    </w:p>
    <w:p>
      <w:pPr>
        <w:pStyle w:val="nSubsection"/>
        <w:rPr>
          <w:snapToGrid w:val="0"/>
        </w:rPr>
      </w:pPr>
      <w:r>
        <w:rPr>
          <w:snapToGrid w:val="0"/>
          <w:vertAlign w:val="superscript"/>
        </w:rPr>
        <w:t>1</w:t>
      </w:r>
      <w:r>
        <w:rPr>
          <w:snapToGrid w:val="0"/>
        </w:rPr>
        <w:tab/>
        <w:t xml:space="preserve">This is a compilation of the </w:t>
      </w:r>
      <w:r>
        <w:rPr>
          <w:i/>
        </w:rPr>
        <w:t>Dangerous Goods Safety (Explosives) Regulations 2007</w:t>
      </w:r>
      <w:r>
        <w:rPr>
          <w:snapToGrid w:val="0"/>
        </w:rPr>
        <w:t xml:space="preserve"> and includes the amendments made by the other written laws referred to in the following table.  </w:t>
      </w:r>
    </w:p>
    <w:p>
      <w:pPr>
        <w:pStyle w:val="nHeading3"/>
      </w:pPr>
      <w:bookmarkStart w:id="946" w:name="_Toc70311430"/>
      <w:bookmarkStart w:id="947" w:name="_Toc113695923"/>
      <w:bookmarkStart w:id="948" w:name="_Toc238548059"/>
      <w:bookmarkStart w:id="949" w:name="_Toc233693274"/>
      <w:r>
        <w:t>Compilation table</w:t>
      </w:r>
      <w:bookmarkEnd w:id="946"/>
      <w:bookmarkEnd w:id="947"/>
      <w:bookmarkEnd w:id="948"/>
      <w:bookmarkEnd w:id="94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nil"/>
            </w:tcBorders>
          </w:tcPr>
          <w:p>
            <w:pPr>
              <w:pStyle w:val="nTable"/>
              <w:spacing w:after="40"/>
              <w:rPr>
                <w:b/>
                <w:sz w:val="19"/>
              </w:rPr>
            </w:pPr>
            <w:r>
              <w:rPr>
                <w:b/>
                <w:sz w:val="19"/>
              </w:rPr>
              <w:t>Citation</w:t>
            </w:r>
          </w:p>
        </w:tc>
        <w:tc>
          <w:tcPr>
            <w:tcW w:w="1276" w:type="dxa"/>
            <w:tcBorders>
              <w:bottom w:val="nil"/>
            </w:tcBorders>
          </w:tcPr>
          <w:p>
            <w:pPr>
              <w:pStyle w:val="nTable"/>
              <w:spacing w:after="40"/>
              <w:rPr>
                <w:b/>
                <w:sz w:val="19"/>
              </w:rPr>
            </w:pPr>
            <w:r>
              <w:rPr>
                <w:b/>
                <w:sz w:val="19"/>
              </w:rPr>
              <w:t>Gazettal</w:t>
            </w:r>
          </w:p>
        </w:tc>
        <w:tc>
          <w:tcPr>
            <w:tcW w:w="2693" w:type="dxa"/>
            <w:tcBorders>
              <w:bottom w:val="nil"/>
            </w:tcBorders>
          </w:tcPr>
          <w:p>
            <w:pPr>
              <w:pStyle w:val="nTable"/>
              <w:spacing w:after="40"/>
              <w:rPr>
                <w:b/>
                <w:sz w:val="19"/>
              </w:rPr>
            </w:pPr>
            <w:r>
              <w:rPr>
                <w:b/>
                <w:sz w:val="19"/>
              </w:rPr>
              <w:t>Commencement</w:t>
            </w:r>
          </w:p>
        </w:tc>
      </w:tr>
      <w:tr>
        <w:tc>
          <w:tcPr>
            <w:tcW w:w="3118" w:type="dxa"/>
            <w:tcBorders>
              <w:top w:val="nil"/>
              <w:bottom w:val="nil"/>
            </w:tcBorders>
          </w:tcPr>
          <w:p>
            <w:pPr>
              <w:pStyle w:val="nTable"/>
              <w:spacing w:after="40"/>
              <w:rPr>
                <w:iCs/>
                <w:sz w:val="19"/>
              </w:rPr>
            </w:pPr>
            <w:r>
              <w:rPr>
                <w:i/>
                <w:sz w:val="19"/>
              </w:rPr>
              <w:t>Dangerous Goods Safety (Explosives) Regulations 2007</w:t>
            </w:r>
          </w:p>
        </w:tc>
        <w:tc>
          <w:tcPr>
            <w:tcW w:w="1276" w:type="dxa"/>
            <w:tcBorders>
              <w:top w:val="nil"/>
              <w:bottom w:val="nil"/>
            </w:tcBorders>
          </w:tcPr>
          <w:p>
            <w:pPr>
              <w:pStyle w:val="nTable"/>
              <w:spacing w:after="40"/>
              <w:rPr>
                <w:sz w:val="19"/>
              </w:rPr>
            </w:pPr>
            <w:r>
              <w:rPr>
                <w:sz w:val="19"/>
              </w:rPr>
              <w:t>31 Dec 2007 p. 6541-717</w:t>
            </w:r>
          </w:p>
        </w:tc>
        <w:tc>
          <w:tcPr>
            <w:tcW w:w="2693" w:type="dxa"/>
            <w:tcBorders>
              <w:top w:val="nil"/>
              <w:bottom w:val="nil"/>
            </w:tcBorders>
          </w:tcPr>
          <w:p>
            <w:pPr>
              <w:pStyle w:val="nTable"/>
              <w:spacing w:after="40"/>
              <w:rPr>
                <w:sz w:val="19"/>
              </w:rPr>
            </w:pPr>
            <w:r>
              <w:rPr>
                <w:sz w:val="19"/>
              </w:rPr>
              <w:t xml:space="preserve">r. 1 and 2: 31 Dec 2007 (see r. 2(a);Regulations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(Explosives) Amendment Regulations (No. </w:t>
            </w:r>
            <w:r>
              <w:rPr>
                <w:i/>
              </w:rPr>
              <w:t xml:space="preserve">3) </w:t>
            </w:r>
            <w:r>
              <w:rPr>
                <w:i/>
                <w:sz w:val="19"/>
              </w:rPr>
              <w:t>2009</w:t>
            </w:r>
            <w:r>
              <w:rPr>
                <w:iCs/>
                <w:sz w:val="19"/>
              </w:rPr>
              <w:t>r</w:t>
            </w:r>
          </w:p>
        </w:tc>
        <w:tc>
          <w:tcPr>
            <w:tcW w:w="1276" w:type="dxa"/>
            <w:tcBorders>
              <w:top w:val="nil"/>
              <w:bottom w:val="nil"/>
            </w:tcBorders>
          </w:tcPr>
          <w:p>
            <w:pPr>
              <w:pStyle w:val="nTable"/>
              <w:spacing w:after="40"/>
              <w:rPr>
                <w:sz w:val="19"/>
              </w:rPr>
            </w:pPr>
            <w:r>
              <w:rPr>
                <w:sz w:val="19"/>
              </w:rPr>
              <w:t>16 Jun 2009 p. 2195</w:t>
            </w:r>
            <w:r>
              <w:rPr>
                <w:sz w:val="19"/>
              </w:rPr>
              <w:noBreakHyphen/>
              <w:t>6</w:t>
            </w:r>
          </w:p>
        </w:tc>
        <w:tc>
          <w:tcPr>
            <w:tcW w:w="2693" w:type="dxa"/>
            <w:tcBorders>
              <w:top w:val="nil"/>
              <w:bottom w:val="nil"/>
            </w:tcBorders>
          </w:tcPr>
          <w:p>
            <w:pPr>
              <w:pStyle w:val="nTable"/>
              <w:spacing w:after="40"/>
              <w:rPr>
                <w:sz w:val="19"/>
              </w:rPr>
            </w:pPr>
            <w:r>
              <w:rPr>
                <w:snapToGrid w:val="0"/>
                <w:spacing w:val="-2"/>
                <w:sz w:val="19"/>
                <w:lang w:val="en-US"/>
              </w:rPr>
              <w:t>r. 1 and 2: 16 Jun 2009 (see r. 2(a));</w:t>
            </w:r>
            <w:r>
              <w:rPr>
                <w:snapToGrid w:val="0"/>
                <w:spacing w:val="-2"/>
                <w:sz w:val="19"/>
                <w:lang w:val="en-US"/>
              </w:rPr>
              <w:br/>
              <w:t>Regulations other than r. 1 and 2: 1 Jul 2009 (see r. 2(b))</w:t>
            </w:r>
          </w:p>
        </w:tc>
      </w:tr>
      <w:tr>
        <w:trPr>
          <w:ins w:id="950" w:author="Master Repository Process" w:date="2021-08-01T03:00:00Z"/>
        </w:trPr>
        <w:tc>
          <w:tcPr>
            <w:tcW w:w="3118" w:type="dxa"/>
            <w:tcBorders>
              <w:top w:val="nil"/>
            </w:tcBorders>
          </w:tcPr>
          <w:p>
            <w:pPr>
              <w:pStyle w:val="nTable"/>
              <w:spacing w:after="40"/>
              <w:rPr>
                <w:ins w:id="951" w:author="Master Repository Process" w:date="2021-08-01T03:00:00Z"/>
                <w:i/>
                <w:sz w:val="19"/>
              </w:rPr>
            </w:pPr>
            <w:ins w:id="952" w:author="Master Repository Process" w:date="2021-08-01T03:00:00Z">
              <w:r>
                <w:rPr>
                  <w:i/>
                  <w:sz w:val="19"/>
                </w:rPr>
                <w:t>Dangerous Goods Safety (Explosives) Amendment Regulations 2009</w:t>
              </w:r>
            </w:ins>
          </w:p>
        </w:tc>
        <w:tc>
          <w:tcPr>
            <w:tcW w:w="1276" w:type="dxa"/>
            <w:tcBorders>
              <w:top w:val="nil"/>
            </w:tcBorders>
          </w:tcPr>
          <w:p>
            <w:pPr>
              <w:pStyle w:val="nTable"/>
              <w:spacing w:after="40"/>
              <w:rPr>
                <w:ins w:id="953" w:author="Master Repository Process" w:date="2021-08-01T03:00:00Z"/>
                <w:sz w:val="19"/>
              </w:rPr>
            </w:pPr>
            <w:ins w:id="954" w:author="Master Repository Process" w:date="2021-08-01T03:00:00Z">
              <w:r>
                <w:rPr>
                  <w:sz w:val="19"/>
                </w:rPr>
                <w:t>21 Aug 2009 p. 3271-2</w:t>
              </w:r>
            </w:ins>
          </w:p>
        </w:tc>
        <w:tc>
          <w:tcPr>
            <w:tcW w:w="2693" w:type="dxa"/>
            <w:tcBorders>
              <w:top w:val="nil"/>
            </w:tcBorders>
          </w:tcPr>
          <w:p>
            <w:pPr>
              <w:pStyle w:val="nTable"/>
              <w:spacing w:after="40"/>
              <w:rPr>
                <w:ins w:id="955" w:author="Master Repository Process" w:date="2021-08-01T03:00:00Z"/>
                <w:snapToGrid w:val="0"/>
                <w:spacing w:val="-2"/>
                <w:sz w:val="19"/>
                <w:lang w:val="en-US"/>
              </w:rPr>
            </w:pPr>
            <w:ins w:id="956" w:author="Master Repository Process" w:date="2021-08-01T03:00:00Z">
              <w:r>
                <w:rPr>
                  <w:snapToGrid w:val="0"/>
                  <w:spacing w:val="-2"/>
                  <w:sz w:val="19"/>
                  <w:lang w:val="en-US"/>
                </w:rPr>
                <w:t>r. 1 and 2: 21 Aug 2009 (see r. 2(a));</w:t>
              </w:r>
              <w:r>
                <w:rPr>
                  <w:snapToGrid w:val="0"/>
                  <w:spacing w:val="-2"/>
                  <w:sz w:val="19"/>
                  <w:lang w:val="en-US"/>
                </w:rPr>
                <w:br/>
                <w:t>Regulations other than r. 1 and 2: 22 Aug 2009 (see r. 2(b))</w:t>
              </w:r>
            </w:ins>
          </w:p>
        </w:tc>
      </w:tr>
    </w:tbl>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bookmarkStart w:id="957" w:name="AutoSch"/>
      <w:bookmarkEnd w:id="957"/>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Prohibited explosives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Prohibited explosives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(Explosives) Regulations 2007</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Unrestricted fireworks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Unrestricted fireworks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(Explosives) Regulations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10C0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C10A1A9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02057"/>
    <w:docVar w:name="WAFER_20151210102057" w:val="RemoveTrackChanges"/>
    <w:docVar w:name="WAFER_20151210102057_GUID" w:val="3cd7003d-a79d-440b-bee1-cf7961767a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9033C1A-EE55-4AB7-BBD4-B0F01675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6.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footer" Target="footer9.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36563</Words>
  <Characters>174775</Characters>
  <Application>Microsoft Office Word</Application>
  <DocSecurity>0</DocSecurity>
  <Lines>4723</Lines>
  <Paragraphs>2895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00-d0-01 - 00-e0-02</dc:title>
  <dc:subject/>
  <dc:creator/>
  <cp:keywords/>
  <dc:description/>
  <cp:lastModifiedBy>Master Repository Process</cp:lastModifiedBy>
  <cp:revision>2</cp:revision>
  <cp:lastPrinted>2009-08-20T07:44:00Z</cp:lastPrinted>
  <dcterms:created xsi:type="dcterms:W3CDTF">2021-07-31T19:00:00Z</dcterms:created>
  <dcterms:modified xsi:type="dcterms:W3CDTF">2021-07-31T19:00:00Z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CommencementDate">
    <vt:lpwstr>20090822</vt:lpwstr>
  </property>
  <property fmtid="{D5CDD505-2E9C-101B-9397-08002B2CF9AE}" pid="4" name="DocumentType">
    <vt:lpwstr>Reg</vt:lpwstr>
  </property>
  <property fmtid="{D5CDD505-2E9C-101B-9397-08002B2CF9AE}" pid="5" name="OwlsUID">
    <vt:i4>37310</vt:i4>
  </property>
  <property fmtid="{D5CDD505-2E9C-101B-9397-08002B2CF9AE}" pid="6" name="FromSuffix">
    <vt:lpwstr>00-d0-01</vt:lpwstr>
  </property>
  <property fmtid="{D5CDD505-2E9C-101B-9397-08002B2CF9AE}" pid="7" name="FromAsAtDate">
    <vt:lpwstr>01 Jul 2009</vt:lpwstr>
  </property>
  <property fmtid="{D5CDD505-2E9C-101B-9397-08002B2CF9AE}" pid="8" name="ToSuffix">
    <vt:lpwstr>00-e0-02</vt:lpwstr>
  </property>
  <property fmtid="{D5CDD505-2E9C-101B-9397-08002B2CF9AE}" pid="9" name="ToAsAtDate">
    <vt:lpwstr>22 Aug 2009</vt:lpwstr>
  </property>
</Properties>
</file>