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2009</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04T19:51:00Z"/>
        </w:trPr>
        <w:tc>
          <w:tcPr>
            <w:tcW w:w="2434" w:type="dxa"/>
            <w:vMerge w:val="restart"/>
          </w:tcPr>
          <w:p>
            <w:pPr>
              <w:rPr>
                <w:del w:id="1" w:author="svcMRProcess" w:date="2015-12-04T19:51:00Z"/>
              </w:rPr>
            </w:pPr>
          </w:p>
        </w:tc>
        <w:tc>
          <w:tcPr>
            <w:tcW w:w="2434" w:type="dxa"/>
            <w:vMerge w:val="restart"/>
          </w:tcPr>
          <w:p>
            <w:pPr>
              <w:jc w:val="center"/>
              <w:rPr>
                <w:del w:id="2" w:author="svcMRProcess" w:date="2015-12-04T19:51:00Z"/>
              </w:rPr>
            </w:pPr>
            <w:del w:id="3" w:author="svcMRProcess" w:date="2015-12-04T19:51:00Z">
              <w:r>
                <w:rPr>
                  <w:noProof/>
                  <w:lang w:eastAsia="en-AU"/>
                </w:rPr>
                <w:drawing>
                  <wp:inline distT="0" distB="0" distL="0" distR="0">
                    <wp:extent cx="532765" cy="469265"/>
                    <wp:effectExtent l="0" t="0" r="635" b="698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15-12-04T19:51:00Z"/>
              </w:rPr>
            </w:pPr>
            <w:del w:id="5" w:author="svcMRProcess" w:date="2015-12-04T19:5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2-04T19:51:00Z"/>
        </w:trPr>
        <w:tc>
          <w:tcPr>
            <w:tcW w:w="2434" w:type="dxa"/>
            <w:vMerge/>
          </w:tcPr>
          <w:p>
            <w:pPr>
              <w:rPr>
                <w:del w:id="7" w:author="svcMRProcess" w:date="2015-12-04T19:51:00Z"/>
              </w:rPr>
            </w:pPr>
          </w:p>
        </w:tc>
        <w:tc>
          <w:tcPr>
            <w:tcW w:w="2434" w:type="dxa"/>
            <w:vMerge/>
          </w:tcPr>
          <w:p>
            <w:pPr>
              <w:jc w:val="center"/>
              <w:rPr>
                <w:del w:id="8" w:author="svcMRProcess" w:date="2015-12-04T19:51:00Z"/>
              </w:rPr>
            </w:pPr>
          </w:p>
        </w:tc>
        <w:tc>
          <w:tcPr>
            <w:tcW w:w="2434" w:type="dxa"/>
          </w:tcPr>
          <w:p>
            <w:pPr>
              <w:keepNext/>
              <w:rPr>
                <w:del w:id="9" w:author="svcMRProcess" w:date="2015-12-04T19:51:00Z"/>
                <w:b/>
                <w:sz w:val="22"/>
              </w:rPr>
            </w:pPr>
            <w:del w:id="10" w:author="svcMRProcess" w:date="2015-12-04T19:51:00Z">
              <w:r>
                <w:rPr>
                  <w:b/>
                  <w:sz w:val="22"/>
                </w:rPr>
                <w:delText>at 1</w:delText>
              </w:r>
              <w:r>
                <w:rPr>
                  <w:b/>
                  <w:snapToGrid w:val="0"/>
                  <w:sz w:val="22"/>
                </w:rPr>
                <w:delText xml:space="preserve"> May 2009</w:delText>
              </w:r>
            </w:del>
          </w:p>
        </w:tc>
      </w:tr>
    </w:tbl>
    <w:p>
      <w:pPr>
        <w:pStyle w:val="WA"/>
        <w:spacing w:before="120"/>
      </w:pPr>
      <w:r>
        <w:t>Western Australia</w:t>
      </w:r>
    </w:p>
    <w:p>
      <w:pPr>
        <w:pStyle w:val="NameofActReg"/>
      </w:pPr>
      <w:r>
        <w:t>Agricultural Produce Commission Act 1988</w:t>
      </w:r>
    </w:p>
    <w:p>
      <w:pPr>
        <w:pStyle w:val="LongTitle"/>
      </w:pPr>
      <w:r>
        <w:t>A</w:t>
      </w:r>
      <w:bookmarkStart w:id="11" w:name="_GoBack"/>
      <w:bookmarkEnd w:id="11"/>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2" w:name="_Toc89162842"/>
      <w:bookmarkStart w:id="13" w:name="_Toc92439472"/>
      <w:bookmarkStart w:id="14" w:name="_Toc139269137"/>
      <w:bookmarkStart w:id="15" w:name="_Toc139269201"/>
      <w:bookmarkStart w:id="16" w:name="_Toc139427323"/>
      <w:bookmarkStart w:id="17" w:name="_Toc157830458"/>
      <w:bookmarkStart w:id="18" w:name="_Toc181001067"/>
      <w:bookmarkStart w:id="19" w:name="_Toc196799090"/>
      <w:bookmarkStart w:id="20" w:name="_Toc228073190"/>
      <w:bookmarkStart w:id="21" w:name="_Toc228153064"/>
      <w:bookmarkStart w:id="22" w:name="_Toc228849868"/>
      <w:bookmarkStart w:id="23" w:name="_Toc241046855"/>
      <w:bookmarkStart w:id="24" w:name="_Toc241047043"/>
      <w:bookmarkStart w:id="25" w:name="_Toc332102859"/>
      <w:bookmarkStart w:id="26" w:name="_Toc332102730"/>
      <w:r>
        <w:rPr>
          <w:rStyle w:val="CharPartNo"/>
        </w:rPr>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90644890"/>
      <w:bookmarkStart w:id="28" w:name="_Toc4205621"/>
      <w:bookmarkStart w:id="29" w:name="_Toc6113152"/>
      <w:bookmarkStart w:id="30" w:name="_Toc139269138"/>
      <w:bookmarkStart w:id="31" w:name="_Toc332102860"/>
      <w:bookmarkStart w:id="32" w:name="_Toc332102731"/>
      <w:r>
        <w:rPr>
          <w:rStyle w:val="CharSectno"/>
        </w:rPr>
        <w:t>1</w:t>
      </w:r>
      <w:r>
        <w:rPr>
          <w:snapToGrid w:val="0"/>
        </w:rPr>
        <w:t>.</w:t>
      </w:r>
      <w:r>
        <w:rPr>
          <w:snapToGrid w:val="0"/>
        </w:rPr>
        <w:tab/>
        <w:t>Short title</w:t>
      </w:r>
      <w:bookmarkEnd w:id="27"/>
      <w:bookmarkEnd w:id="28"/>
      <w:bookmarkEnd w:id="29"/>
      <w:bookmarkEnd w:id="30"/>
      <w:bookmarkEnd w:id="31"/>
      <w:bookmarkEnd w:id="32"/>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33" w:name="_Toc490644891"/>
      <w:bookmarkStart w:id="34" w:name="_Toc4205622"/>
      <w:bookmarkStart w:id="35" w:name="_Toc6113153"/>
      <w:bookmarkStart w:id="36" w:name="_Toc139269139"/>
      <w:bookmarkStart w:id="37" w:name="_Toc332102861"/>
      <w:bookmarkStart w:id="38" w:name="_Toc332102732"/>
      <w:r>
        <w:rPr>
          <w:rStyle w:val="CharSectno"/>
        </w:rPr>
        <w:t>2</w:t>
      </w:r>
      <w:r>
        <w:rPr>
          <w:snapToGrid w:val="0"/>
        </w:rPr>
        <w:t>.</w:t>
      </w:r>
      <w:r>
        <w:rPr>
          <w:snapToGrid w:val="0"/>
        </w:rPr>
        <w:tab/>
        <w:t>Commencement</w:t>
      </w:r>
      <w:bookmarkEnd w:id="33"/>
      <w:bookmarkEnd w:id="34"/>
      <w:bookmarkEnd w:id="35"/>
      <w:bookmarkEnd w:id="36"/>
      <w:bookmarkEnd w:id="37"/>
      <w:bookmarkEnd w:id="38"/>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9" w:name="_Toc490644892"/>
      <w:bookmarkStart w:id="40" w:name="_Toc4205623"/>
      <w:bookmarkStart w:id="41" w:name="_Toc6113154"/>
      <w:bookmarkStart w:id="42" w:name="_Toc139269140"/>
      <w:bookmarkStart w:id="43" w:name="_Toc332102862"/>
      <w:bookmarkStart w:id="44" w:name="_Toc332102733"/>
      <w:r>
        <w:rPr>
          <w:rStyle w:val="CharSectno"/>
        </w:rPr>
        <w:t>3</w:t>
      </w:r>
      <w:r>
        <w:rPr>
          <w:snapToGrid w:val="0"/>
        </w:rPr>
        <w:t>.</w:t>
      </w:r>
      <w:r>
        <w:rPr>
          <w:snapToGrid w:val="0"/>
        </w:rPr>
        <w:tab/>
      </w:r>
      <w:bookmarkEnd w:id="39"/>
      <w:bookmarkEnd w:id="40"/>
      <w:bookmarkEnd w:id="41"/>
      <w:bookmarkEnd w:id="42"/>
      <w:r>
        <w:rPr>
          <w:snapToGrid w:val="0"/>
        </w:rPr>
        <w:t>Terms used</w:t>
      </w:r>
      <w:bookmarkEnd w:id="43"/>
      <w:bookmarkEnd w:id="4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45" w:name="_Toc89162846"/>
      <w:bookmarkStart w:id="46" w:name="_Toc92439476"/>
      <w:bookmarkStart w:id="47" w:name="_Toc139269141"/>
      <w:bookmarkStart w:id="48" w:name="_Toc139269205"/>
      <w:bookmarkStart w:id="49" w:name="_Toc139427327"/>
      <w:bookmarkStart w:id="50" w:name="_Toc157830462"/>
      <w:bookmarkStart w:id="51" w:name="_Toc181001071"/>
      <w:bookmarkStart w:id="52" w:name="_Toc196799094"/>
      <w:bookmarkStart w:id="53" w:name="_Toc228073194"/>
      <w:bookmarkStart w:id="54" w:name="_Toc228153068"/>
      <w:bookmarkStart w:id="55" w:name="_Toc228849872"/>
      <w:bookmarkStart w:id="56" w:name="_Toc241046859"/>
      <w:bookmarkStart w:id="57" w:name="_Toc241047047"/>
      <w:bookmarkStart w:id="58" w:name="_Toc332102863"/>
      <w:bookmarkStart w:id="59" w:name="_Toc332102734"/>
      <w:r>
        <w:rPr>
          <w:rStyle w:val="CharPartNo"/>
        </w:rPr>
        <w:t>Part 2</w:t>
      </w:r>
      <w:r>
        <w:t> — </w:t>
      </w:r>
      <w:r>
        <w:rPr>
          <w:rStyle w:val="CharPartText"/>
        </w:rPr>
        <w:t>Agricultural Produce Commission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ind w:left="890"/>
      </w:pPr>
      <w:r>
        <w:tab/>
        <w:t>[Heading inserted by No. 20 of 2000 s. 7.]</w:t>
      </w:r>
    </w:p>
    <w:p>
      <w:pPr>
        <w:pStyle w:val="Heading5"/>
        <w:rPr>
          <w:snapToGrid w:val="0"/>
        </w:rPr>
      </w:pPr>
      <w:bookmarkStart w:id="60" w:name="_Toc490644893"/>
      <w:bookmarkStart w:id="61" w:name="_Toc4205624"/>
      <w:bookmarkStart w:id="62" w:name="_Toc6113155"/>
      <w:bookmarkStart w:id="63" w:name="_Toc139269142"/>
      <w:bookmarkStart w:id="64" w:name="_Toc332102864"/>
      <w:bookmarkStart w:id="65" w:name="_Toc332102735"/>
      <w:r>
        <w:rPr>
          <w:rStyle w:val="CharSectno"/>
        </w:rPr>
        <w:t>4</w:t>
      </w:r>
      <w:r>
        <w:rPr>
          <w:snapToGrid w:val="0"/>
        </w:rPr>
        <w:t>.</w:t>
      </w:r>
      <w:r>
        <w:rPr>
          <w:snapToGrid w:val="0"/>
        </w:rPr>
        <w:tab/>
      </w:r>
      <w:r>
        <w:t>Agricultural</w:t>
      </w:r>
      <w:r>
        <w:rPr>
          <w:snapToGrid w:val="0"/>
        </w:rPr>
        <w:t xml:space="preserve"> Produce Commission established</w:t>
      </w:r>
      <w:bookmarkEnd w:id="60"/>
      <w:bookmarkEnd w:id="61"/>
      <w:bookmarkEnd w:id="62"/>
      <w:bookmarkEnd w:id="63"/>
      <w:bookmarkEnd w:id="64"/>
      <w:bookmarkEnd w:id="65"/>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66" w:name="_Toc490644894"/>
      <w:bookmarkStart w:id="67" w:name="_Toc4205625"/>
      <w:bookmarkStart w:id="68" w:name="_Toc6113156"/>
      <w:bookmarkStart w:id="69" w:name="_Toc139269143"/>
      <w:bookmarkStart w:id="70" w:name="_Toc332102865"/>
      <w:bookmarkStart w:id="71" w:name="_Toc332102736"/>
      <w:r>
        <w:rPr>
          <w:rStyle w:val="CharSectno"/>
        </w:rPr>
        <w:t>5</w:t>
      </w:r>
      <w:r>
        <w:t>.</w:t>
      </w:r>
      <w:r>
        <w:tab/>
        <w:t>Constitution of the Commission</w:t>
      </w:r>
      <w:bookmarkEnd w:id="66"/>
      <w:bookmarkEnd w:id="67"/>
      <w:bookmarkEnd w:id="68"/>
      <w:bookmarkEnd w:id="69"/>
      <w:bookmarkEnd w:id="70"/>
      <w:bookmarkEnd w:id="71"/>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72" w:name="_Toc490644895"/>
      <w:bookmarkStart w:id="73" w:name="_Toc4205626"/>
      <w:bookmarkStart w:id="74" w:name="_Toc6113157"/>
      <w:bookmarkStart w:id="75" w:name="_Toc139269144"/>
      <w:bookmarkStart w:id="76" w:name="_Toc332102866"/>
      <w:bookmarkStart w:id="77" w:name="_Toc332102737"/>
      <w:r>
        <w:rPr>
          <w:rStyle w:val="CharSectno"/>
        </w:rPr>
        <w:t>6</w:t>
      </w:r>
      <w:r>
        <w:rPr>
          <w:snapToGrid w:val="0"/>
        </w:rPr>
        <w:t>.</w:t>
      </w:r>
      <w:r>
        <w:rPr>
          <w:snapToGrid w:val="0"/>
        </w:rPr>
        <w:tab/>
        <w:t>Functions of the Commission</w:t>
      </w:r>
      <w:bookmarkEnd w:id="72"/>
      <w:bookmarkEnd w:id="73"/>
      <w:bookmarkEnd w:id="74"/>
      <w:bookmarkEnd w:id="75"/>
      <w:bookmarkEnd w:id="76"/>
      <w:bookmarkEnd w:id="77"/>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78" w:name="_Toc490644896"/>
      <w:bookmarkStart w:id="79" w:name="_Toc4205627"/>
      <w:bookmarkStart w:id="80" w:name="_Toc6113158"/>
      <w:bookmarkStart w:id="81" w:name="_Toc139269145"/>
      <w:bookmarkStart w:id="82" w:name="_Toc332102867"/>
      <w:bookmarkStart w:id="83" w:name="_Toc332102738"/>
      <w:r>
        <w:rPr>
          <w:rStyle w:val="CharSectno"/>
        </w:rPr>
        <w:t>6A</w:t>
      </w:r>
      <w:r>
        <w:rPr>
          <w:snapToGrid w:val="0"/>
        </w:rPr>
        <w:t>.</w:t>
      </w:r>
      <w:r>
        <w:rPr>
          <w:snapToGrid w:val="0"/>
        </w:rPr>
        <w:tab/>
        <w:t>Directions by Minister</w:t>
      </w:r>
      <w:bookmarkEnd w:id="78"/>
      <w:bookmarkEnd w:id="79"/>
      <w:bookmarkEnd w:id="80"/>
      <w:bookmarkEnd w:id="81"/>
      <w:bookmarkEnd w:id="82"/>
      <w:bookmarkEnd w:id="83"/>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84" w:name="_Toc490644897"/>
      <w:bookmarkStart w:id="85" w:name="_Toc4205628"/>
      <w:bookmarkStart w:id="86" w:name="_Toc6113159"/>
      <w:bookmarkStart w:id="87" w:name="_Toc139269146"/>
      <w:bookmarkStart w:id="88" w:name="_Toc332102868"/>
      <w:bookmarkStart w:id="89" w:name="_Toc332102739"/>
      <w:r>
        <w:rPr>
          <w:rStyle w:val="CharSectno"/>
        </w:rPr>
        <w:t>6B</w:t>
      </w:r>
      <w:r>
        <w:rPr>
          <w:snapToGrid w:val="0"/>
        </w:rPr>
        <w:t>.</w:t>
      </w:r>
      <w:r>
        <w:rPr>
          <w:snapToGrid w:val="0"/>
        </w:rPr>
        <w:tab/>
        <w:t>Minister to have access to information</w:t>
      </w:r>
      <w:bookmarkEnd w:id="84"/>
      <w:bookmarkEnd w:id="85"/>
      <w:bookmarkEnd w:id="86"/>
      <w:bookmarkEnd w:id="87"/>
      <w:bookmarkEnd w:id="88"/>
      <w:bookmarkEnd w:id="89"/>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90" w:name="endcomma"/>
      <w:bookmarkEnd w:id="90"/>
      <w:r>
        <w:rPr>
          <w:rStyle w:val="CharDefText"/>
        </w:rPr>
        <w:t>parliamentary purposes</w:t>
      </w:r>
      <w:r>
        <w:t xml:space="preserve"> </w:t>
      </w:r>
      <w:bookmarkStart w:id="91" w:name="comma"/>
      <w:bookmarkEnd w:id="91"/>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92" w:name="_Toc490644898"/>
      <w:bookmarkStart w:id="93" w:name="_Toc4205629"/>
      <w:bookmarkStart w:id="94" w:name="_Toc6113160"/>
      <w:bookmarkStart w:id="95" w:name="_Toc139269147"/>
      <w:bookmarkStart w:id="96" w:name="_Toc332102869"/>
      <w:bookmarkStart w:id="97" w:name="_Toc332102740"/>
      <w:r>
        <w:rPr>
          <w:rStyle w:val="CharSectno"/>
        </w:rPr>
        <w:t>7</w:t>
      </w:r>
      <w:r>
        <w:rPr>
          <w:snapToGrid w:val="0"/>
        </w:rPr>
        <w:t>.</w:t>
      </w:r>
      <w:r>
        <w:rPr>
          <w:snapToGrid w:val="0"/>
        </w:rPr>
        <w:tab/>
        <w:t>Funds of the Commission</w:t>
      </w:r>
      <w:bookmarkEnd w:id="92"/>
      <w:bookmarkEnd w:id="93"/>
      <w:bookmarkEnd w:id="94"/>
      <w:bookmarkEnd w:id="95"/>
      <w:bookmarkEnd w:id="96"/>
      <w:bookmarkEnd w:id="97"/>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98" w:name="_Toc490644899"/>
      <w:bookmarkStart w:id="99" w:name="_Toc4205630"/>
      <w:bookmarkStart w:id="100" w:name="_Toc6113161"/>
      <w:bookmarkStart w:id="101" w:name="_Toc139269148"/>
      <w:bookmarkStart w:id="102" w:name="_Toc332102870"/>
      <w:bookmarkStart w:id="103" w:name="_Toc332102741"/>
      <w:r>
        <w:rPr>
          <w:rStyle w:val="CharSectno"/>
        </w:rPr>
        <w:t>8</w:t>
      </w:r>
      <w:r>
        <w:rPr>
          <w:snapToGrid w:val="0"/>
        </w:rPr>
        <w:t>.</w:t>
      </w:r>
      <w:r>
        <w:rPr>
          <w:snapToGrid w:val="0"/>
        </w:rPr>
        <w:tab/>
        <w:t>Application of funds</w:t>
      </w:r>
      <w:bookmarkEnd w:id="98"/>
      <w:bookmarkEnd w:id="99"/>
      <w:bookmarkEnd w:id="100"/>
      <w:bookmarkEnd w:id="101"/>
      <w:bookmarkEnd w:id="102"/>
      <w:bookmarkEnd w:id="103"/>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104" w:name="_Toc490644900"/>
      <w:bookmarkStart w:id="105" w:name="_Toc4205631"/>
      <w:bookmarkStart w:id="106" w:name="_Toc6113162"/>
      <w:bookmarkStart w:id="107" w:name="_Toc139269149"/>
      <w:bookmarkStart w:id="108" w:name="_Toc332102871"/>
      <w:bookmarkStart w:id="109" w:name="_Toc332102742"/>
      <w:r>
        <w:rPr>
          <w:rStyle w:val="CharSectno"/>
        </w:rPr>
        <w:t>9</w:t>
      </w:r>
      <w:r>
        <w:rPr>
          <w:snapToGrid w:val="0"/>
        </w:rPr>
        <w:t>.</w:t>
      </w:r>
      <w:r>
        <w:rPr>
          <w:snapToGrid w:val="0"/>
        </w:rPr>
        <w:tab/>
        <w:t>Officers</w:t>
      </w:r>
      <w:bookmarkEnd w:id="104"/>
      <w:bookmarkEnd w:id="105"/>
      <w:bookmarkEnd w:id="106"/>
      <w:bookmarkEnd w:id="107"/>
      <w:bookmarkEnd w:id="108"/>
      <w:bookmarkEnd w:id="109"/>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10" w:name="_Toc89162855"/>
      <w:bookmarkStart w:id="111" w:name="_Toc92439485"/>
      <w:bookmarkStart w:id="112" w:name="_Toc139269150"/>
      <w:bookmarkStart w:id="113" w:name="_Toc139269214"/>
      <w:bookmarkStart w:id="114" w:name="_Toc139427336"/>
      <w:bookmarkStart w:id="115" w:name="_Toc157830471"/>
      <w:bookmarkStart w:id="116" w:name="_Toc181001080"/>
      <w:bookmarkStart w:id="117" w:name="_Toc196799103"/>
      <w:bookmarkStart w:id="118" w:name="_Toc228073203"/>
      <w:bookmarkStart w:id="119" w:name="_Toc228153077"/>
      <w:bookmarkStart w:id="120" w:name="_Toc228849881"/>
      <w:bookmarkStart w:id="121" w:name="_Toc241046868"/>
      <w:bookmarkStart w:id="122" w:name="_Toc241047056"/>
      <w:bookmarkStart w:id="123" w:name="_Toc332102872"/>
      <w:bookmarkStart w:id="124" w:name="_Toc332102743"/>
      <w:r>
        <w:rPr>
          <w:rStyle w:val="CharPartNo"/>
        </w:rPr>
        <w:t>Part 3</w:t>
      </w:r>
      <w:r>
        <w:t> — </w:t>
      </w:r>
      <w:r>
        <w:rPr>
          <w:rStyle w:val="CharPartText"/>
        </w:rPr>
        <w:t>Producers’ committees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Footnoteheading"/>
        <w:ind w:left="890"/>
      </w:pPr>
      <w:r>
        <w:tab/>
        <w:t>[Heading inserted by No. 20 of 2000 s. 12.]</w:t>
      </w:r>
    </w:p>
    <w:p>
      <w:pPr>
        <w:pStyle w:val="Heading5"/>
        <w:rPr>
          <w:snapToGrid w:val="0"/>
        </w:rPr>
      </w:pPr>
      <w:bookmarkStart w:id="125" w:name="_Toc490644901"/>
      <w:bookmarkStart w:id="126" w:name="_Toc4205632"/>
      <w:bookmarkStart w:id="127" w:name="_Toc6113163"/>
      <w:bookmarkStart w:id="128" w:name="_Toc139269151"/>
      <w:bookmarkStart w:id="129" w:name="_Toc332102873"/>
      <w:bookmarkStart w:id="130" w:name="_Toc332102744"/>
      <w:r>
        <w:rPr>
          <w:rStyle w:val="CharSectno"/>
        </w:rPr>
        <w:t>10</w:t>
      </w:r>
      <w:r>
        <w:rPr>
          <w:snapToGrid w:val="0"/>
        </w:rPr>
        <w:t>.</w:t>
      </w:r>
      <w:r>
        <w:rPr>
          <w:snapToGrid w:val="0"/>
        </w:rPr>
        <w:tab/>
        <w:t>Preliminary requirements for the establishment of producers’ committees</w:t>
      </w:r>
      <w:bookmarkEnd w:id="125"/>
      <w:bookmarkEnd w:id="126"/>
      <w:bookmarkEnd w:id="127"/>
      <w:bookmarkEnd w:id="128"/>
      <w:bookmarkEnd w:id="129"/>
      <w:bookmarkEnd w:id="130"/>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31" w:name="_Toc490644902"/>
      <w:bookmarkStart w:id="132" w:name="_Toc4205633"/>
      <w:bookmarkStart w:id="133" w:name="_Toc6113164"/>
      <w:bookmarkStart w:id="134" w:name="_Toc139269152"/>
      <w:bookmarkStart w:id="135" w:name="_Toc332102874"/>
      <w:bookmarkStart w:id="136" w:name="_Toc332102745"/>
      <w:r>
        <w:rPr>
          <w:rStyle w:val="CharSectno"/>
        </w:rPr>
        <w:t>11</w:t>
      </w:r>
      <w:r>
        <w:rPr>
          <w:snapToGrid w:val="0"/>
        </w:rPr>
        <w:t>.</w:t>
      </w:r>
      <w:r>
        <w:rPr>
          <w:snapToGrid w:val="0"/>
        </w:rPr>
        <w:tab/>
        <w:t>Establishment of a producers’ committee</w:t>
      </w:r>
      <w:bookmarkEnd w:id="131"/>
      <w:bookmarkEnd w:id="132"/>
      <w:bookmarkEnd w:id="133"/>
      <w:bookmarkEnd w:id="134"/>
      <w:bookmarkEnd w:id="135"/>
      <w:bookmarkEnd w:id="136"/>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37" w:name="_Toc490644903"/>
      <w:bookmarkStart w:id="138" w:name="_Toc4205634"/>
      <w:bookmarkStart w:id="139" w:name="_Toc6113165"/>
      <w:bookmarkStart w:id="140" w:name="_Toc139269153"/>
      <w:bookmarkStart w:id="141" w:name="_Toc332102875"/>
      <w:bookmarkStart w:id="142" w:name="_Toc332102746"/>
      <w:r>
        <w:rPr>
          <w:rStyle w:val="CharSectno"/>
        </w:rPr>
        <w:t>12</w:t>
      </w:r>
      <w:r>
        <w:rPr>
          <w:snapToGrid w:val="0"/>
        </w:rPr>
        <w:t>.</w:t>
      </w:r>
      <w:r>
        <w:rPr>
          <w:snapToGrid w:val="0"/>
        </w:rPr>
        <w:tab/>
        <w:t>Functions of a producers’ committee</w:t>
      </w:r>
      <w:bookmarkEnd w:id="137"/>
      <w:bookmarkEnd w:id="138"/>
      <w:bookmarkEnd w:id="139"/>
      <w:bookmarkEnd w:id="140"/>
      <w:bookmarkEnd w:id="141"/>
      <w:bookmarkEnd w:id="142"/>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43" w:name="_Toc490644904"/>
      <w:bookmarkStart w:id="144" w:name="_Toc4205635"/>
      <w:bookmarkStart w:id="145" w:name="_Toc6113166"/>
      <w:bookmarkStart w:id="146" w:name="_Toc139269154"/>
      <w:bookmarkStart w:id="147" w:name="_Toc332102876"/>
      <w:bookmarkStart w:id="148" w:name="_Toc332102747"/>
      <w:r>
        <w:rPr>
          <w:rStyle w:val="CharSectno"/>
        </w:rPr>
        <w:t>13</w:t>
      </w:r>
      <w:r>
        <w:rPr>
          <w:snapToGrid w:val="0"/>
        </w:rPr>
        <w:t>.</w:t>
      </w:r>
      <w:r>
        <w:rPr>
          <w:snapToGrid w:val="0"/>
        </w:rPr>
        <w:tab/>
        <w:t>Power to require information</w:t>
      </w:r>
      <w:bookmarkEnd w:id="143"/>
      <w:bookmarkEnd w:id="144"/>
      <w:bookmarkEnd w:id="145"/>
      <w:bookmarkEnd w:id="146"/>
      <w:bookmarkEnd w:id="147"/>
      <w:bookmarkEnd w:id="148"/>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49" w:name="_Toc490644905"/>
      <w:bookmarkStart w:id="150" w:name="_Toc4205636"/>
      <w:bookmarkStart w:id="151" w:name="_Toc6113167"/>
      <w:bookmarkStart w:id="152" w:name="_Toc139269155"/>
      <w:bookmarkStart w:id="153" w:name="_Toc332102877"/>
      <w:bookmarkStart w:id="154" w:name="_Toc332102748"/>
      <w:r>
        <w:rPr>
          <w:rStyle w:val="CharSectno"/>
        </w:rPr>
        <w:t>14</w:t>
      </w:r>
      <w:r>
        <w:t>.</w:t>
      </w:r>
      <w:r>
        <w:tab/>
        <w:t>Imposition of charges for services</w:t>
      </w:r>
      <w:bookmarkEnd w:id="149"/>
      <w:bookmarkEnd w:id="150"/>
      <w:bookmarkEnd w:id="151"/>
      <w:bookmarkEnd w:id="152"/>
      <w:bookmarkEnd w:id="153"/>
      <w:bookmarkEnd w:id="154"/>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55" w:name="_Toc490644906"/>
      <w:bookmarkStart w:id="156" w:name="_Toc4205637"/>
      <w:bookmarkStart w:id="157" w:name="_Toc6113168"/>
      <w:bookmarkStart w:id="158" w:name="_Toc139269156"/>
      <w:bookmarkStart w:id="159" w:name="_Toc332102878"/>
      <w:bookmarkStart w:id="160" w:name="_Toc332102749"/>
      <w:r>
        <w:rPr>
          <w:rStyle w:val="CharSectno"/>
        </w:rPr>
        <w:t>15</w:t>
      </w:r>
      <w:r>
        <w:rPr>
          <w:snapToGrid w:val="0"/>
        </w:rPr>
        <w:t>.</w:t>
      </w:r>
      <w:r>
        <w:rPr>
          <w:snapToGrid w:val="0"/>
        </w:rPr>
        <w:tab/>
        <w:t>Dissolution of a producers’ committee</w:t>
      </w:r>
      <w:bookmarkEnd w:id="155"/>
      <w:bookmarkEnd w:id="156"/>
      <w:bookmarkEnd w:id="157"/>
      <w:bookmarkEnd w:id="158"/>
      <w:bookmarkEnd w:id="159"/>
      <w:bookmarkEnd w:id="160"/>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61" w:name="_Toc490644907"/>
      <w:bookmarkStart w:id="162" w:name="_Toc4205638"/>
      <w:bookmarkStart w:id="163" w:name="_Toc6113169"/>
      <w:bookmarkStart w:id="164" w:name="_Toc139269157"/>
      <w:bookmarkStart w:id="165" w:name="_Toc332102879"/>
      <w:bookmarkStart w:id="166" w:name="_Toc332102750"/>
      <w:r>
        <w:rPr>
          <w:rStyle w:val="CharSectno"/>
        </w:rPr>
        <w:t>16</w:t>
      </w:r>
      <w:r>
        <w:rPr>
          <w:snapToGrid w:val="0"/>
        </w:rPr>
        <w:t>.</w:t>
      </w:r>
      <w:r>
        <w:rPr>
          <w:snapToGrid w:val="0"/>
        </w:rPr>
        <w:tab/>
        <w:t>List of producers</w:t>
      </w:r>
      <w:bookmarkEnd w:id="161"/>
      <w:bookmarkEnd w:id="162"/>
      <w:bookmarkEnd w:id="163"/>
      <w:bookmarkEnd w:id="164"/>
      <w:bookmarkEnd w:id="165"/>
      <w:bookmarkEnd w:id="166"/>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67" w:name="_Toc490644908"/>
      <w:bookmarkStart w:id="168" w:name="_Toc4205639"/>
      <w:bookmarkStart w:id="169" w:name="_Toc6113170"/>
      <w:bookmarkStart w:id="170" w:name="_Toc139269158"/>
      <w:bookmarkStart w:id="171" w:name="_Toc332102880"/>
      <w:bookmarkStart w:id="172" w:name="_Toc332102751"/>
      <w:r>
        <w:rPr>
          <w:rStyle w:val="CharSectno"/>
        </w:rPr>
        <w:t>17</w:t>
      </w:r>
      <w:r>
        <w:rPr>
          <w:snapToGrid w:val="0"/>
        </w:rPr>
        <w:t>.</w:t>
      </w:r>
      <w:r>
        <w:rPr>
          <w:snapToGrid w:val="0"/>
        </w:rPr>
        <w:tab/>
        <w:t>Conduct of polls</w:t>
      </w:r>
      <w:bookmarkEnd w:id="167"/>
      <w:bookmarkEnd w:id="168"/>
      <w:bookmarkEnd w:id="169"/>
      <w:bookmarkEnd w:id="170"/>
      <w:bookmarkEnd w:id="171"/>
      <w:bookmarkEnd w:id="172"/>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73" w:name="_Toc490644909"/>
      <w:bookmarkStart w:id="174" w:name="_Toc4205640"/>
      <w:bookmarkStart w:id="175" w:name="_Toc6113171"/>
      <w:bookmarkStart w:id="176" w:name="_Toc139269159"/>
      <w:bookmarkStart w:id="177" w:name="_Toc332102881"/>
      <w:bookmarkStart w:id="178" w:name="_Toc332102752"/>
      <w:r>
        <w:rPr>
          <w:rStyle w:val="CharSectno"/>
        </w:rPr>
        <w:t>18</w:t>
      </w:r>
      <w:r>
        <w:rPr>
          <w:snapToGrid w:val="0"/>
        </w:rPr>
        <w:t>.</w:t>
      </w:r>
      <w:r>
        <w:rPr>
          <w:snapToGrid w:val="0"/>
        </w:rPr>
        <w:tab/>
        <w:t>Accounts</w:t>
      </w:r>
      <w:bookmarkEnd w:id="173"/>
      <w:bookmarkEnd w:id="174"/>
      <w:bookmarkEnd w:id="175"/>
      <w:bookmarkEnd w:id="176"/>
      <w:bookmarkEnd w:id="177"/>
      <w:bookmarkEnd w:id="178"/>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79" w:name="_Toc490644910"/>
      <w:bookmarkStart w:id="180" w:name="_Toc4205641"/>
      <w:bookmarkStart w:id="181" w:name="_Toc6113172"/>
      <w:bookmarkStart w:id="182" w:name="_Toc139269160"/>
      <w:bookmarkStart w:id="183" w:name="_Toc332102882"/>
      <w:bookmarkStart w:id="184" w:name="_Toc332102753"/>
      <w:r>
        <w:rPr>
          <w:rStyle w:val="CharSectno"/>
        </w:rPr>
        <w:t>19</w:t>
      </w:r>
      <w:r>
        <w:rPr>
          <w:snapToGrid w:val="0"/>
        </w:rPr>
        <w:t>.</w:t>
      </w:r>
      <w:r>
        <w:rPr>
          <w:snapToGrid w:val="0"/>
        </w:rPr>
        <w:tab/>
        <w:t>Voluntary associations of producers</w:t>
      </w:r>
      <w:bookmarkEnd w:id="179"/>
      <w:bookmarkEnd w:id="180"/>
      <w:bookmarkEnd w:id="181"/>
      <w:bookmarkEnd w:id="182"/>
      <w:bookmarkEnd w:id="183"/>
      <w:bookmarkEnd w:id="184"/>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85" w:name="_Toc490644911"/>
      <w:bookmarkStart w:id="186" w:name="_Toc4205642"/>
      <w:bookmarkStart w:id="187" w:name="_Toc6113173"/>
      <w:bookmarkStart w:id="188" w:name="_Toc139269161"/>
      <w:bookmarkStart w:id="189" w:name="_Toc332102883"/>
      <w:bookmarkStart w:id="190" w:name="_Toc332102754"/>
      <w:r>
        <w:rPr>
          <w:rStyle w:val="CharSectno"/>
        </w:rPr>
        <w:t>19A</w:t>
      </w:r>
      <w:r>
        <w:t>.</w:t>
      </w:r>
      <w:r>
        <w:tab/>
        <w:t>Application to commercial and non</w:t>
      </w:r>
      <w:r>
        <w:noBreakHyphen/>
        <w:t>commercial producers of provisions relating to the control of certain pests or diseases</w:t>
      </w:r>
      <w:bookmarkEnd w:id="185"/>
      <w:bookmarkEnd w:id="186"/>
      <w:bookmarkEnd w:id="187"/>
      <w:bookmarkEnd w:id="188"/>
      <w:bookmarkEnd w:id="189"/>
      <w:bookmarkEnd w:id="190"/>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91" w:name="_Toc89162867"/>
      <w:bookmarkStart w:id="192" w:name="_Toc92439497"/>
      <w:bookmarkStart w:id="193" w:name="_Toc139269162"/>
      <w:bookmarkStart w:id="194" w:name="_Toc139269226"/>
      <w:bookmarkStart w:id="195" w:name="_Toc139427348"/>
      <w:bookmarkStart w:id="196" w:name="_Toc157830483"/>
      <w:bookmarkStart w:id="197" w:name="_Toc181001092"/>
      <w:bookmarkStart w:id="198" w:name="_Toc196799115"/>
      <w:bookmarkStart w:id="199" w:name="_Toc228073215"/>
      <w:bookmarkStart w:id="200" w:name="_Toc228153089"/>
      <w:bookmarkStart w:id="201" w:name="_Toc228849893"/>
      <w:bookmarkStart w:id="202" w:name="_Toc241046880"/>
      <w:bookmarkStart w:id="203" w:name="_Toc241047068"/>
      <w:bookmarkStart w:id="204" w:name="_Toc332102884"/>
      <w:bookmarkStart w:id="205" w:name="_Toc332102755"/>
      <w:r>
        <w:rPr>
          <w:rStyle w:val="CharPartNo"/>
        </w:rPr>
        <w:t>Part 4</w:t>
      </w:r>
      <w:r>
        <w:rPr>
          <w:rStyle w:val="CharDivNo"/>
        </w:rPr>
        <w:t> </w:t>
      </w:r>
      <w:r>
        <w:t>—</w:t>
      </w:r>
      <w:r>
        <w:rPr>
          <w:rStyle w:val="CharDivText"/>
        </w:rPr>
        <w:t> </w:t>
      </w:r>
      <w:r>
        <w:rPr>
          <w:rStyle w:val="CharPartText"/>
        </w:rPr>
        <w:t>Miscellaneous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rPr>
          <w:snapToGrid w:val="0"/>
        </w:rPr>
      </w:pPr>
      <w:bookmarkStart w:id="206" w:name="_Toc490644912"/>
      <w:bookmarkStart w:id="207" w:name="_Toc4205643"/>
      <w:bookmarkStart w:id="208" w:name="_Toc6113174"/>
      <w:bookmarkStart w:id="209" w:name="_Toc139269163"/>
      <w:bookmarkStart w:id="210" w:name="_Toc332102885"/>
      <w:bookmarkStart w:id="211" w:name="_Toc332102756"/>
      <w:r>
        <w:rPr>
          <w:rStyle w:val="CharSectno"/>
        </w:rPr>
        <w:t>20</w:t>
      </w:r>
      <w:r>
        <w:rPr>
          <w:snapToGrid w:val="0"/>
        </w:rPr>
        <w:t>.</w:t>
      </w:r>
      <w:r>
        <w:rPr>
          <w:snapToGrid w:val="0"/>
        </w:rPr>
        <w:tab/>
        <w:t>Financial provisions</w:t>
      </w:r>
      <w:bookmarkEnd w:id="206"/>
      <w:bookmarkEnd w:id="207"/>
      <w:bookmarkEnd w:id="208"/>
      <w:bookmarkEnd w:id="209"/>
      <w:bookmarkEnd w:id="210"/>
      <w:bookmarkEnd w:id="21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12" w:name="_Toc490644913"/>
      <w:bookmarkStart w:id="213" w:name="_Toc4205644"/>
      <w:bookmarkStart w:id="214" w:name="_Toc6113175"/>
      <w:bookmarkStart w:id="215" w:name="_Toc139269164"/>
      <w:bookmarkStart w:id="216" w:name="_Toc332102886"/>
      <w:bookmarkStart w:id="217" w:name="_Toc332102757"/>
      <w:r>
        <w:rPr>
          <w:rStyle w:val="CharSectno"/>
        </w:rPr>
        <w:t>21</w:t>
      </w:r>
      <w:r>
        <w:rPr>
          <w:snapToGrid w:val="0"/>
        </w:rPr>
        <w:t>.</w:t>
      </w:r>
      <w:r>
        <w:rPr>
          <w:snapToGrid w:val="0"/>
        </w:rPr>
        <w:tab/>
        <w:t>Authentication</w:t>
      </w:r>
      <w:bookmarkEnd w:id="212"/>
      <w:bookmarkEnd w:id="213"/>
      <w:bookmarkEnd w:id="214"/>
      <w:bookmarkEnd w:id="215"/>
      <w:bookmarkEnd w:id="216"/>
      <w:bookmarkEnd w:id="217"/>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18" w:name="_Toc490644914"/>
      <w:bookmarkStart w:id="219" w:name="_Toc4205645"/>
      <w:bookmarkStart w:id="220" w:name="_Toc6113176"/>
      <w:bookmarkStart w:id="221" w:name="_Toc139269165"/>
      <w:bookmarkStart w:id="222" w:name="_Toc332102887"/>
      <w:bookmarkStart w:id="223" w:name="_Toc332102758"/>
      <w:r>
        <w:rPr>
          <w:rStyle w:val="CharSectno"/>
        </w:rPr>
        <w:t>22</w:t>
      </w:r>
      <w:r>
        <w:rPr>
          <w:snapToGrid w:val="0"/>
        </w:rPr>
        <w:t>.</w:t>
      </w:r>
      <w:r>
        <w:rPr>
          <w:snapToGrid w:val="0"/>
        </w:rPr>
        <w:tab/>
        <w:t>Recovery of charges</w:t>
      </w:r>
      <w:bookmarkEnd w:id="218"/>
      <w:bookmarkEnd w:id="219"/>
      <w:bookmarkEnd w:id="220"/>
      <w:bookmarkEnd w:id="221"/>
      <w:bookmarkEnd w:id="222"/>
      <w:bookmarkEnd w:id="223"/>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24" w:name="_Toc490644915"/>
      <w:bookmarkStart w:id="225" w:name="_Toc4205646"/>
      <w:bookmarkStart w:id="226" w:name="_Toc6113177"/>
      <w:bookmarkStart w:id="227" w:name="_Toc139269166"/>
      <w:bookmarkStart w:id="228" w:name="_Toc332102888"/>
      <w:bookmarkStart w:id="229" w:name="_Toc332102759"/>
      <w:r>
        <w:rPr>
          <w:rStyle w:val="CharSectno"/>
        </w:rPr>
        <w:t>23</w:t>
      </w:r>
      <w:r>
        <w:rPr>
          <w:snapToGrid w:val="0"/>
        </w:rPr>
        <w:t>.</w:t>
      </w:r>
      <w:r>
        <w:rPr>
          <w:snapToGrid w:val="0"/>
        </w:rPr>
        <w:tab/>
        <w:t>Evidentiary</w:t>
      </w:r>
      <w:bookmarkEnd w:id="224"/>
      <w:bookmarkEnd w:id="225"/>
      <w:bookmarkEnd w:id="226"/>
      <w:bookmarkEnd w:id="227"/>
      <w:bookmarkEnd w:id="228"/>
      <w:bookmarkEnd w:id="229"/>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30" w:name="_Toc490644916"/>
      <w:bookmarkStart w:id="231" w:name="_Toc4205647"/>
      <w:bookmarkStart w:id="232" w:name="_Toc6113178"/>
      <w:bookmarkStart w:id="233" w:name="_Toc139269167"/>
      <w:bookmarkStart w:id="234" w:name="_Toc332102889"/>
      <w:bookmarkStart w:id="235" w:name="_Toc332102760"/>
      <w:r>
        <w:rPr>
          <w:rStyle w:val="CharSectno"/>
        </w:rPr>
        <w:t>24</w:t>
      </w:r>
      <w:r>
        <w:rPr>
          <w:snapToGrid w:val="0"/>
        </w:rPr>
        <w:t>.</w:t>
      </w:r>
      <w:r>
        <w:rPr>
          <w:snapToGrid w:val="0"/>
        </w:rPr>
        <w:tab/>
        <w:t>Protection of members</w:t>
      </w:r>
      <w:bookmarkEnd w:id="230"/>
      <w:bookmarkEnd w:id="231"/>
      <w:bookmarkEnd w:id="232"/>
      <w:bookmarkEnd w:id="233"/>
      <w:bookmarkEnd w:id="234"/>
      <w:bookmarkEnd w:id="235"/>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36" w:name="_Toc490644917"/>
      <w:bookmarkStart w:id="237" w:name="_Toc4205648"/>
      <w:bookmarkStart w:id="238" w:name="_Toc6113179"/>
      <w:bookmarkStart w:id="239" w:name="_Toc139269168"/>
      <w:bookmarkStart w:id="240" w:name="_Toc332102890"/>
      <w:bookmarkStart w:id="241" w:name="_Toc332102761"/>
      <w:r>
        <w:rPr>
          <w:rStyle w:val="CharSectno"/>
        </w:rPr>
        <w:t>25</w:t>
      </w:r>
      <w:r>
        <w:rPr>
          <w:snapToGrid w:val="0"/>
        </w:rPr>
        <w:t>.</w:t>
      </w:r>
      <w:r>
        <w:rPr>
          <w:snapToGrid w:val="0"/>
        </w:rPr>
        <w:tab/>
        <w:t>Regulations</w:t>
      </w:r>
      <w:bookmarkEnd w:id="236"/>
      <w:bookmarkEnd w:id="237"/>
      <w:bookmarkEnd w:id="238"/>
      <w:bookmarkEnd w:id="239"/>
      <w:bookmarkEnd w:id="240"/>
      <w:bookmarkEnd w:id="24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42" w:name="_Toc490644918"/>
      <w:bookmarkStart w:id="243" w:name="_Toc4205649"/>
      <w:bookmarkStart w:id="244" w:name="_Toc6113180"/>
      <w:bookmarkStart w:id="245" w:name="_Toc139269169"/>
      <w:bookmarkStart w:id="246" w:name="_Toc332102891"/>
      <w:bookmarkStart w:id="247" w:name="_Toc332102762"/>
      <w:r>
        <w:rPr>
          <w:rStyle w:val="CharSectno"/>
        </w:rPr>
        <w:t>26</w:t>
      </w:r>
      <w:r>
        <w:rPr>
          <w:snapToGrid w:val="0"/>
        </w:rPr>
        <w:t>.</w:t>
      </w:r>
      <w:r>
        <w:rPr>
          <w:snapToGrid w:val="0"/>
        </w:rPr>
        <w:tab/>
        <w:t>Review</w:t>
      </w:r>
      <w:bookmarkEnd w:id="242"/>
      <w:bookmarkEnd w:id="243"/>
      <w:bookmarkEnd w:id="244"/>
      <w:bookmarkEnd w:id="245"/>
      <w:bookmarkEnd w:id="246"/>
      <w:bookmarkEnd w:id="247"/>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48" w:name="_Toc6113181"/>
      <w:bookmarkStart w:id="249" w:name="_Toc139269170"/>
      <w:bookmarkStart w:id="250" w:name="_Toc139269234"/>
      <w:bookmarkStart w:id="251" w:name="_Toc139427356"/>
      <w:bookmarkStart w:id="252" w:name="_Toc157830491"/>
      <w:bookmarkStart w:id="253" w:name="_Toc181001100"/>
      <w:bookmarkStart w:id="254" w:name="_Toc196799123"/>
      <w:bookmarkStart w:id="255" w:name="_Toc228073223"/>
      <w:bookmarkStart w:id="256" w:name="_Toc228153097"/>
      <w:bookmarkStart w:id="257" w:name="_Toc228849901"/>
      <w:bookmarkStart w:id="258" w:name="_Toc241046888"/>
      <w:bookmarkStart w:id="259" w:name="_Toc241047076"/>
      <w:bookmarkStart w:id="260" w:name="_Toc332102892"/>
      <w:bookmarkStart w:id="261" w:name="_Toc332102763"/>
      <w:r>
        <w:rPr>
          <w:rStyle w:val="CharSchNo"/>
        </w:rPr>
        <w:t>Schedule</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rPr>
          <w:snapToGrid w:val="0"/>
        </w:rPr>
      </w:pPr>
      <w:r>
        <w:rPr>
          <w:snapToGrid w:val="0"/>
        </w:rPr>
        <w:t>[Section 5(3)]</w:t>
      </w:r>
    </w:p>
    <w:p>
      <w:pPr>
        <w:pStyle w:val="yHeading5"/>
        <w:ind w:left="890" w:hanging="890"/>
        <w:outlineLvl w:val="9"/>
        <w:rPr>
          <w:snapToGrid w:val="0"/>
        </w:rPr>
      </w:pPr>
      <w:bookmarkStart w:id="262" w:name="_Toc4205651"/>
      <w:bookmarkStart w:id="263" w:name="_Toc6113182"/>
      <w:bookmarkStart w:id="264" w:name="_Toc139269171"/>
      <w:bookmarkStart w:id="265" w:name="_Toc332102893"/>
      <w:bookmarkStart w:id="266" w:name="_Toc332102764"/>
      <w:r>
        <w:rPr>
          <w:rStyle w:val="CharSClsNo"/>
        </w:rPr>
        <w:t>1</w:t>
      </w:r>
      <w:r>
        <w:rPr>
          <w:snapToGrid w:val="0"/>
        </w:rPr>
        <w:t>.</w:t>
      </w:r>
      <w:r>
        <w:rPr>
          <w:snapToGrid w:val="0"/>
        </w:rPr>
        <w:tab/>
        <w:t>Term of office of member of Commission</w:t>
      </w:r>
      <w:bookmarkEnd w:id="262"/>
      <w:bookmarkEnd w:id="263"/>
      <w:bookmarkEnd w:id="264"/>
      <w:bookmarkEnd w:id="265"/>
      <w:bookmarkEnd w:id="266"/>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67" w:name="_Toc4205652"/>
      <w:bookmarkStart w:id="268" w:name="_Toc6113183"/>
      <w:bookmarkStart w:id="269" w:name="_Toc139269172"/>
      <w:bookmarkStart w:id="270" w:name="_Toc332102894"/>
      <w:bookmarkStart w:id="271" w:name="_Toc332102765"/>
      <w:r>
        <w:rPr>
          <w:rStyle w:val="CharSClsNo"/>
        </w:rPr>
        <w:t>2</w:t>
      </w:r>
      <w:r>
        <w:rPr>
          <w:snapToGrid w:val="0"/>
        </w:rPr>
        <w:t>.</w:t>
      </w:r>
      <w:r>
        <w:rPr>
          <w:snapToGrid w:val="0"/>
        </w:rPr>
        <w:tab/>
        <w:t>Remuneration of member of Commission</w:t>
      </w:r>
      <w:bookmarkEnd w:id="267"/>
      <w:bookmarkEnd w:id="268"/>
      <w:bookmarkEnd w:id="269"/>
      <w:bookmarkEnd w:id="270"/>
      <w:bookmarkEnd w:id="271"/>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Footnotesection"/>
      </w:pPr>
      <w:bookmarkStart w:id="272" w:name="_Toc400512180"/>
      <w:bookmarkStart w:id="273" w:name="_Toc4205653"/>
      <w:bookmarkStart w:id="274" w:name="_Toc6113184"/>
      <w:bookmarkStart w:id="275" w:name="_Toc139269173"/>
      <w:r>
        <w:tab/>
        <w:t>[Clause 2 amended by No. 20 of 2000 s. 26(1).]</w:t>
      </w:r>
    </w:p>
    <w:p>
      <w:pPr>
        <w:pStyle w:val="yHeading5"/>
        <w:ind w:left="890" w:hanging="890"/>
        <w:outlineLvl w:val="9"/>
        <w:rPr>
          <w:snapToGrid w:val="0"/>
        </w:rPr>
      </w:pPr>
      <w:bookmarkStart w:id="276" w:name="_Toc332102895"/>
      <w:bookmarkStart w:id="277" w:name="_Toc332102766"/>
      <w:r>
        <w:rPr>
          <w:rStyle w:val="CharSClsNo"/>
        </w:rPr>
        <w:t>3</w:t>
      </w:r>
      <w:r>
        <w:rPr>
          <w:snapToGrid w:val="0"/>
        </w:rPr>
        <w:t>.</w:t>
      </w:r>
      <w:r>
        <w:rPr>
          <w:snapToGrid w:val="0"/>
        </w:rPr>
        <w:tab/>
        <w:t>Casual vacancies</w:t>
      </w:r>
      <w:bookmarkEnd w:id="272"/>
      <w:bookmarkEnd w:id="273"/>
      <w:bookmarkEnd w:id="274"/>
      <w:bookmarkEnd w:id="275"/>
      <w:bookmarkEnd w:id="276"/>
      <w:bookmarkEnd w:id="277"/>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78" w:name="_Toc4205654"/>
      <w:bookmarkStart w:id="279" w:name="_Toc6113185"/>
      <w:bookmarkStart w:id="280" w:name="_Toc139269174"/>
      <w:bookmarkStart w:id="281" w:name="_Toc332102896"/>
      <w:bookmarkStart w:id="282" w:name="_Toc332102767"/>
      <w:r>
        <w:rPr>
          <w:rStyle w:val="CharSClsNo"/>
        </w:rPr>
        <w:t>4</w:t>
      </w:r>
      <w:r>
        <w:rPr>
          <w:snapToGrid w:val="0"/>
        </w:rPr>
        <w:t>.</w:t>
      </w:r>
      <w:r>
        <w:rPr>
          <w:snapToGrid w:val="0"/>
        </w:rPr>
        <w:tab/>
        <w:t>Vacation of office</w:t>
      </w:r>
      <w:bookmarkEnd w:id="278"/>
      <w:bookmarkEnd w:id="279"/>
      <w:bookmarkEnd w:id="280"/>
      <w:bookmarkEnd w:id="281"/>
      <w:bookmarkEnd w:id="282"/>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w:t>
      </w:r>
      <w:ins w:id="283" w:author="svcMRProcess" w:date="2015-12-04T19:51:00Z">
        <w:r>
          <w:rPr>
            <w:snapToGrid w:val="0"/>
          </w:rPr>
          <w:t xml:space="preserve"> or</w:t>
        </w:r>
      </w:ins>
    </w:p>
    <w:p>
      <w:pPr>
        <w:pStyle w:val="yIndenta"/>
        <w:rPr>
          <w:snapToGrid w:val="0"/>
        </w:rPr>
      </w:pPr>
      <w:r>
        <w:rPr>
          <w:snapToGrid w:val="0"/>
        </w:rPr>
        <w:tab/>
        <w:t>(b)</w:t>
      </w:r>
      <w:r>
        <w:rPr>
          <w:snapToGrid w:val="0"/>
        </w:rPr>
        <w:tab/>
        <w:t>is absent from 4 consecutive meetings of the Commission without the permission of the Minister;</w:t>
      </w:r>
      <w:ins w:id="284" w:author="svcMRProcess" w:date="2015-12-04T19:51:00Z">
        <w:r>
          <w:rPr>
            <w:snapToGrid w:val="0"/>
          </w:rPr>
          <w:t xml:space="preserve"> or</w:t>
        </w:r>
      </w:ins>
    </w:p>
    <w:p>
      <w:pPr>
        <w:pStyle w:val="yIndenta"/>
      </w:pPr>
      <w:r>
        <w:tab/>
        <w:t>(c)</w:t>
      </w:r>
      <w:r>
        <w:tab/>
      </w:r>
      <w:del w:id="285" w:author="svcMRProcess" w:date="2015-12-04T19:51:00Z">
        <w:r>
          <w:rPr>
            <w:snapToGrid w:val="0"/>
          </w:rPr>
          <w:delText xml:space="preserve">not being a member appointed under </w:delText>
        </w:r>
      </w:del>
      <w:ins w:id="286" w:author="svcMRProcess" w:date="2015-12-04T19:51:00Z">
        <w:r>
          <w:t xml:space="preserve">is, according to the </w:t>
        </w:r>
        <w:r>
          <w:rPr>
            <w:i/>
          </w:rPr>
          <w:t>Interpretation Act 1984</w:t>
        </w:r>
        <w:r>
          <w:t xml:space="preserve"> </w:t>
        </w:r>
      </w:ins>
      <w:r>
        <w:t>section </w:t>
      </w:r>
      <w:del w:id="287" w:author="svcMRProcess" w:date="2015-12-04T19:51:00Z">
        <w:r>
          <w:rPr>
            <w:snapToGrid w:val="0"/>
          </w:rPr>
          <w:delText xml:space="preserve">5(1)(b), is an undischarged </w:delText>
        </w:r>
      </w:del>
      <w:ins w:id="288" w:author="svcMRProcess" w:date="2015-12-04T19:51:00Z">
        <w:r>
          <w:t xml:space="preserve">13D, a </w:t>
        </w:r>
      </w:ins>
      <w:r>
        <w:t xml:space="preserve">bankrupt or a person whose </w:t>
      </w:r>
      <w:del w:id="289" w:author="svcMRProcess" w:date="2015-12-04T19:51:00Z">
        <w:r>
          <w:rPr>
            <w:snapToGrid w:val="0"/>
          </w:rPr>
          <w:delText>property is subject to an order or arrangement</w:delText>
        </w:r>
      </w:del>
      <w:ins w:id="290" w:author="svcMRProcess" w:date="2015-12-04T19:51:00Z">
        <w:r>
          <w:t>affairs are</w:t>
        </w:r>
      </w:ins>
      <w:r>
        <w:t xml:space="preserve"> under </w:t>
      </w:r>
      <w:del w:id="291" w:author="svcMRProcess" w:date="2015-12-04T19:51:00Z">
        <w:r>
          <w:rPr>
            <w:snapToGrid w:val="0"/>
          </w:rPr>
          <w:delText>the</w:delText>
        </w:r>
      </w:del>
      <w:ins w:id="292" w:author="svcMRProcess" w:date="2015-12-04T19:51:00Z">
        <w:r>
          <w:t>insolvency</w:t>
        </w:r>
      </w:ins>
      <w:r>
        <w:t xml:space="preserve"> laws</w:t>
      </w:r>
      <w:del w:id="293" w:author="svcMRProcess" w:date="2015-12-04T19:51:00Z">
        <w:r>
          <w:rPr>
            <w:snapToGrid w:val="0"/>
          </w:rPr>
          <w:delText xml:space="preserve"> relating to bankruptcy</w:delText>
        </w:r>
      </w:del>
      <w:r>
        <w:t>;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rPr>
          <w:ins w:id="294" w:author="svcMRProcess" w:date="2015-12-04T19:51:00Z"/>
        </w:rPr>
      </w:pPr>
      <w:ins w:id="295" w:author="svcMRProcess" w:date="2015-12-04T19:51:00Z">
        <w:r>
          <w:tab/>
          <w:t>[Section 4 amended by No. 18 of 2009 s. 7.]</w:t>
        </w:r>
      </w:ins>
    </w:p>
    <w:p>
      <w:pPr>
        <w:pStyle w:val="yHeading5"/>
        <w:ind w:left="890" w:hanging="890"/>
        <w:outlineLvl w:val="9"/>
        <w:rPr>
          <w:snapToGrid w:val="0"/>
        </w:rPr>
      </w:pPr>
      <w:bookmarkStart w:id="296" w:name="_Toc4205655"/>
      <w:bookmarkStart w:id="297" w:name="_Toc6113186"/>
      <w:bookmarkStart w:id="298" w:name="_Toc139269175"/>
      <w:bookmarkStart w:id="299" w:name="_Toc332102897"/>
      <w:bookmarkStart w:id="300" w:name="_Toc332102768"/>
      <w:r>
        <w:rPr>
          <w:rStyle w:val="CharSClsNo"/>
        </w:rPr>
        <w:t>5</w:t>
      </w:r>
      <w:r>
        <w:rPr>
          <w:snapToGrid w:val="0"/>
        </w:rPr>
        <w:t>.</w:t>
      </w:r>
      <w:r>
        <w:rPr>
          <w:snapToGrid w:val="0"/>
        </w:rPr>
        <w:tab/>
        <w:t>Disclosure</w:t>
      </w:r>
      <w:bookmarkEnd w:id="296"/>
      <w:bookmarkEnd w:id="297"/>
      <w:bookmarkEnd w:id="298"/>
      <w:bookmarkEnd w:id="299"/>
      <w:bookmarkEnd w:id="300"/>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301" w:name="_Toc4205656"/>
      <w:bookmarkStart w:id="302" w:name="_Toc6113187"/>
      <w:bookmarkStart w:id="303" w:name="_Toc139269176"/>
      <w:bookmarkStart w:id="304" w:name="_Toc332102898"/>
      <w:bookmarkStart w:id="305" w:name="_Toc332102769"/>
      <w:r>
        <w:rPr>
          <w:rStyle w:val="CharSClsNo"/>
        </w:rPr>
        <w:t>6</w:t>
      </w:r>
      <w:r>
        <w:rPr>
          <w:snapToGrid w:val="0"/>
        </w:rPr>
        <w:t>.</w:t>
      </w:r>
      <w:r>
        <w:rPr>
          <w:snapToGrid w:val="0"/>
        </w:rPr>
        <w:tab/>
        <w:t>Meetings</w:t>
      </w:r>
      <w:bookmarkEnd w:id="301"/>
      <w:bookmarkEnd w:id="302"/>
      <w:bookmarkEnd w:id="303"/>
      <w:bookmarkEnd w:id="304"/>
      <w:bookmarkEnd w:id="305"/>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306" w:name="_Toc4205657"/>
      <w:bookmarkStart w:id="307" w:name="_Toc6113188"/>
      <w:bookmarkStart w:id="308" w:name="_Toc139269177"/>
      <w:r>
        <w:tab/>
        <w:t>[Clause 6 amended by No. 20 of 2000 s. 26(2).]</w:t>
      </w:r>
    </w:p>
    <w:p>
      <w:pPr>
        <w:pStyle w:val="yHeading5"/>
        <w:ind w:left="890" w:hanging="890"/>
        <w:outlineLvl w:val="9"/>
        <w:rPr>
          <w:snapToGrid w:val="0"/>
        </w:rPr>
      </w:pPr>
      <w:bookmarkStart w:id="309" w:name="_Toc332102899"/>
      <w:bookmarkStart w:id="310" w:name="_Toc332102770"/>
      <w:r>
        <w:rPr>
          <w:rStyle w:val="CharSClsNo"/>
        </w:rPr>
        <w:t>7</w:t>
      </w:r>
      <w:r>
        <w:rPr>
          <w:snapToGrid w:val="0"/>
        </w:rPr>
        <w:t>.</w:t>
      </w:r>
      <w:r>
        <w:rPr>
          <w:snapToGrid w:val="0"/>
        </w:rPr>
        <w:tab/>
        <w:t>Resolution without meeting</w:t>
      </w:r>
      <w:bookmarkEnd w:id="306"/>
      <w:bookmarkEnd w:id="307"/>
      <w:bookmarkEnd w:id="308"/>
      <w:bookmarkEnd w:id="309"/>
      <w:bookmarkEnd w:id="310"/>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311" w:name="_Toc4205658"/>
      <w:bookmarkStart w:id="312" w:name="_Toc6113189"/>
      <w:bookmarkStart w:id="313" w:name="_Toc139269178"/>
      <w:bookmarkStart w:id="314" w:name="_Toc332102900"/>
      <w:bookmarkStart w:id="315" w:name="_Toc332102771"/>
      <w:r>
        <w:rPr>
          <w:rStyle w:val="CharSClsNo"/>
        </w:rPr>
        <w:t>8</w:t>
      </w:r>
      <w:r>
        <w:rPr>
          <w:snapToGrid w:val="0"/>
        </w:rPr>
        <w:t>.</w:t>
      </w:r>
      <w:r>
        <w:rPr>
          <w:snapToGrid w:val="0"/>
        </w:rPr>
        <w:tab/>
        <w:t>Procedures of the Commission</w:t>
      </w:r>
      <w:bookmarkEnd w:id="311"/>
      <w:bookmarkEnd w:id="312"/>
      <w:bookmarkEnd w:id="313"/>
      <w:bookmarkEnd w:id="314"/>
      <w:bookmarkEnd w:id="315"/>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316" w:name="_Toc4205659"/>
      <w:bookmarkStart w:id="317" w:name="_Toc6113190"/>
      <w:bookmarkStart w:id="318" w:name="_Toc139269179"/>
      <w:bookmarkStart w:id="319" w:name="_Toc332102901"/>
      <w:bookmarkStart w:id="320" w:name="_Toc332102772"/>
      <w:r>
        <w:rPr>
          <w:rStyle w:val="CharSClsNo"/>
        </w:rPr>
        <w:t>9</w:t>
      </w:r>
      <w:r>
        <w:rPr>
          <w:snapToGrid w:val="0"/>
        </w:rPr>
        <w:t>.</w:t>
      </w:r>
      <w:r>
        <w:rPr>
          <w:snapToGrid w:val="0"/>
        </w:rPr>
        <w:tab/>
        <w:t>Validity of acts of Commission</w:t>
      </w:r>
      <w:bookmarkEnd w:id="316"/>
      <w:bookmarkEnd w:id="317"/>
      <w:bookmarkEnd w:id="318"/>
      <w:bookmarkEnd w:id="319"/>
      <w:bookmarkEnd w:id="32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rPr>
          <w:del w:id="321" w:author="svcMRProcess" w:date="2015-12-04T19:51:00Z"/>
        </w:rPr>
      </w:pPr>
      <w:del w:id="322" w:author="svcMRProcess" w:date="2015-12-04T19:51:00Z">
        <w:r>
          <w:rPr>
            <w:noProof/>
            <w:lang w:eastAsia="en-AU"/>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323" w:author="svcMRProcess" w:date="2015-12-04T19:51:00Z"/>
        </w:rPr>
      </w:pPr>
      <w:ins w:id="324" w:author="svcMRProcess" w:date="2015-12-04T19:5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325" w:name="_Toc89162885"/>
      <w:bookmarkStart w:id="326" w:name="_Toc92439515"/>
      <w:bookmarkStart w:id="327" w:name="_Toc139269180"/>
      <w:bookmarkStart w:id="328" w:name="_Toc139269244"/>
      <w:bookmarkStart w:id="329" w:name="_Toc139427366"/>
      <w:bookmarkStart w:id="330" w:name="_Toc157830501"/>
      <w:bookmarkStart w:id="331" w:name="_Toc181001110"/>
      <w:bookmarkStart w:id="332" w:name="_Toc196799133"/>
      <w:bookmarkStart w:id="333" w:name="_Toc228073233"/>
      <w:bookmarkStart w:id="334" w:name="_Toc228153107"/>
      <w:bookmarkStart w:id="335" w:name="_Toc228849911"/>
      <w:bookmarkStart w:id="336" w:name="_Toc241046898"/>
      <w:bookmarkStart w:id="337" w:name="_Toc241047086"/>
      <w:bookmarkStart w:id="338" w:name="_Toc332102902"/>
      <w:bookmarkStart w:id="339" w:name="_Toc332102773"/>
      <w:r>
        <w:t>Notes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nSubsection"/>
        <w:rPr>
          <w:snapToGrid w:val="0"/>
        </w:rPr>
      </w:pPr>
      <w:r>
        <w:rPr>
          <w:snapToGrid w:val="0"/>
          <w:vertAlign w:val="superscript"/>
        </w:rPr>
        <w:t>1</w:t>
      </w:r>
      <w:r>
        <w:rPr>
          <w:snapToGrid w:val="0"/>
        </w:rPr>
        <w:tab/>
        <w:t xml:space="preserve">This </w:t>
      </w:r>
      <w:del w:id="340" w:author="svcMRProcess" w:date="2015-12-04T19:51:00Z">
        <w:r>
          <w:rPr>
            <w:snapToGrid w:val="0"/>
          </w:rPr>
          <w:delText xml:space="preserve">reprint </w:delText>
        </w:r>
      </w:del>
      <w:r>
        <w:rPr>
          <w:snapToGrid w:val="0"/>
        </w:rPr>
        <w:t>is a compilation</w:t>
      </w:r>
      <w:del w:id="341" w:author="svcMRProcess" w:date="2015-12-04T19:51:00Z">
        <w:r>
          <w:rPr>
            <w:snapToGrid w:val="0"/>
          </w:rPr>
          <w:delText xml:space="preserve"> as at 1 May 2009</w:delText>
        </w:r>
      </w:del>
      <w:r>
        <w:rPr>
          <w:snapToGrid w:val="0"/>
        </w:rPr>
        <w:t xml:space="preserve">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42" w:name="_Toc332102903"/>
      <w:bookmarkStart w:id="343" w:name="_Toc332102774"/>
      <w:r>
        <w:rPr>
          <w:snapToGrid w:val="0"/>
        </w:rPr>
        <w:t>Compilation table</w:t>
      </w:r>
      <w:bookmarkEnd w:id="342"/>
      <w:bookmarkEnd w:id="34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4" w:type="dxa"/>
            <w:tcBorders>
              <w:top w:val="single" w:sz="8" w:space="0" w:color="auto"/>
            </w:tcBorders>
          </w:tcPr>
          <w:p>
            <w:pPr>
              <w:pStyle w:val="nTable"/>
              <w:spacing w:after="40"/>
              <w:rPr>
                <w:sz w:val="19"/>
              </w:rPr>
            </w:pPr>
            <w:r>
              <w:rPr>
                <w:sz w:val="19"/>
              </w:rPr>
              <w:t>75 of 1988</w:t>
            </w:r>
          </w:p>
        </w:tc>
        <w:tc>
          <w:tcPr>
            <w:tcW w:w="1134" w:type="dxa"/>
            <w:tcBorders>
              <w:top w:val="single" w:sz="8" w:space="0" w:color="auto"/>
            </w:tcBorders>
          </w:tcPr>
          <w:p>
            <w:pPr>
              <w:pStyle w:val="nTable"/>
              <w:spacing w:after="40"/>
              <w:rPr>
                <w:sz w:val="19"/>
              </w:rPr>
            </w:pPr>
            <w:r>
              <w:rPr>
                <w:sz w:val="19"/>
              </w:rPr>
              <w:t>23 Dec 1988</w:t>
            </w:r>
          </w:p>
        </w:tc>
        <w:tc>
          <w:tcPr>
            <w:tcW w:w="2552"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68" w:type="dxa"/>
          </w:tcPr>
          <w:p>
            <w:pPr>
              <w:pStyle w:val="nTable"/>
              <w:spacing w:after="40"/>
              <w:ind w:right="113"/>
              <w:rPr>
                <w:sz w:val="19"/>
              </w:rPr>
            </w:pPr>
            <w:r>
              <w:rPr>
                <w:i/>
                <w:sz w:val="19"/>
              </w:rPr>
              <w:t>Horticultural Produce Commission Amendment Act 1993</w:t>
            </w:r>
          </w:p>
        </w:tc>
        <w:tc>
          <w:tcPr>
            <w:tcW w:w="1134" w:type="dxa"/>
          </w:tcPr>
          <w:p>
            <w:pPr>
              <w:pStyle w:val="nTable"/>
              <w:spacing w:after="40"/>
              <w:rPr>
                <w:sz w:val="19"/>
              </w:rPr>
            </w:pPr>
            <w:r>
              <w:rPr>
                <w:sz w:val="19"/>
              </w:rPr>
              <w:t>29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15 Dec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6</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4" w:type="dxa"/>
          </w:tcPr>
          <w:p>
            <w:pPr>
              <w:pStyle w:val="nTable"/>
              <w:spacing w:after="40"/>
              <w:rPr>
                <w:sz w:val="19"/>
              </w:rPr>
            </w:pPr>
            <w:r>
              <w:rPr>
                <w:sz w:val="19"/>
              </w:rPr>
              <w:t>20 of 2000</w:t>
            </w:r>
          </w:p>
        </w:tc>
        <w:tc>
          <w:tcPr>
            <w:tcW w:w="1134" w:type="dxa"/>
          </w:tcPr>
          <w:p>
            <w:pPr>
              <w:pStyle w:val="nTable"/>
              <w:spacing w:after="40"/>
              <w:rPr>
                <w:sz w:val="19"/>
              </w:rPr>
            </w:pPr>
            <w:r>
              <w:rPr>
                <w:sz w:val="19"/>
              </w:rPr>
              <w:t>30 Jun 2000</w:t>
            </w:r>
          </w:p>
        </w:tc>
        <w:tc>
          <w:tcPr>
            <w:tcW w:w="2552"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88"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ins w:id="344" w:author="svcMRProcess" w:date="2015-12-04T19:51:00Z"/>
        </w:trPr>
        <w:tc>
          <w:tcPr>
            <w:tcW w:w="2269" w:type="dxa"/>
            <w:tcBorders>
              <w:bottom w:val="single" w:sz="4" w:space="0" w:color="auto"/>
            </w:tcBorders>
          </w:tcPr>
          <w:p>
            <w:pPr>
              <w:pStyle w:val="nTable"/>
              <w:spacing w:after="40"/>
              <w:rPr>
                <w:ins w:id="345" w:author="svcMRProcess" w:date="2015-12-04T19:51:00Z"/>
                <w:iCs/>
                <w:snapToGrid w:val="0"/>
                <w:sz w:val="19"/>
              </w:rPr>
            </w:pPr>
            <w:ins w:id="346" w:author="svcMRProcess" w:date="2015-12-04T19:51:00Z">
              <w:r>
                <w:rPr>
                  <w:i/>
                  <w:snapToGrid w:val="0"/>
                  <w:sz w:val="19"/>
                </w:rPr>
                <w:t>Acts Amendment (Bankruptcy) Act 2009</w:t>
              </w:r>
              <w:r>
                <w:rPr>
                  <w:iCs/>
                  <w:snapToGrid w:val="0"/>
                  <w:sz w:val="19"/>
                </w:rPr>
                <w:t xml:space="preserve"> s. 7</w:t>
              </w:r>
            </w:ins>
          </w:p>
        </w:tc>
        <w:tc>
          <w:tcPr>
            <w:tcW w:w="1134" w:type="dxa"/>
            <w:tcBorders>
              <w:bottom w:val="single" w:sz="4" w:space="0" w:color="auto"/>
            </w:tcBorders>
          </w:tcPr>
          <w:p>
            <w:pPr>
              <w:pStyle w:val="nTable"/>
              <w:spacing w:after="40"/>
              <w:rPr>
                <w:ins w:id="347" w:author="svcMRProcess" w:date="2015-12-04T19:51:00Z"/>
                <w:sz w:val="19"/>
              </w:rPr>
            </w:pPr>
            <w:ins w:id="348" w:author="svcMRProcess" w:date="2015-12-04T19:51:00Z">
              <w:r>
                <w:rPr>
                  <w:sz w:val="19"/>
                </w:rPr>
                <w:t>18 of 2009</w:t>
              </w:r>
            </w:ins>
          </w:p>
        </w:tc>
        <w:tc>
          <w:tcPr>
            <w:tcW w:w="1134" w:type="dxa"/>
            <w:tcBorders>
              <w:bottom w:val="single" w:sz="4" w:space="0" w:color="auto"/>
            </w:tcBorders>
          </w:tcPr>
          <w:p>
            <w:pPr>
              <w:pStyle w:val="nTable"/>
              <w:spacing w:after="40"/>
              <w:rPr>
                <w:ins w:id="349" w:author="svcMRProcess" w:date="2015-12-04T19:51:00Z"/>
                <w:sz w:val="19"/>
              </w:rPr>
            </w:pPr>
            <w:ins w:id="350" w:author="svcMRProcess" w:date="2015-12-04T19:51:00Z">
              <w:r>
                <w:rPr>
                  <w:sz w:val="19"/>
                </w:rPr>
                <w:t>16 Sep 2009</w:t>
              </w:r>
            </w:ins>
          </w:p>
        </w:tc>
        <w:tc>
          <w:tcPr>
            <w:tcW w:w="2552" w:type="dxa"/>
            <w:tcBorders>
              <w:bottom w:val="single" w:sz="4" w:space="0" w:color="auto"/>
            </w:tcBorders>
          </w:tcPr>
          <w:p>
            <w:pPr>
              <w:pStyle w:val="nTable"/>
              <w:spacing w:after="40"/>
              <w:rPr>
                <w:ins w:id="351" w:author="svcMRProcess" w:date="2015-12-04T19:51:00Z"/>
                <w:sz w:val="19"/>
              </w:rPr>
            </w:pPr>
            <w:ins w:id="352" w:author="svcMRProcess" w:date="2015-12-04T19:51:00Z">
              <w:r>
                <w:rPr>
                  <w:sz w:val="19"/>
                </w:rPr>
                <w:t>17 Sep 2009 (see s. 2(b))</w:t>
              </w:r>
            </w:ins>
          </w:p>
        </w:tc>
      </w:tr>
    </w:tbl>
    <w:p>
      <w:pPr>
        <w:pStyle w:val="nSubsection"/>
        <w:spacing w:before="420"/>
        <w:ind w:left="482" w:hanging="482"/>
      </w:pPr>
      <w:r>
        <w:rPr>
          <w:vertAlign w:val="superscript"/>
        </w:rPr>
        <w:t>1a</w:t>
      </w:r>
      <w:r>
        <w:tab/>
        <w:t>On the date as at which thi</w:t>
      </w:r>
      <w:bookmarkStart w:id="353" w:name="_Hlt507390729"/>
      <w:bookmarkEnd w:id="353"/>
      <w:r>
        <w:t xml:space="preserve">s </w:t>
      </w:r>
      <w:del w:id="354" w:author="svcMRProcess" w:date="2015-12-04T19:51:00Z">
        <w:r>
          <w:delText>reprint</w:delText>
        </w:r>
      </w:del>
      <w:ins w:id="355" w:author="svcMRProcess" w:date="2015-12-04T19:51:00Z">
        <w:r>
          <w:t>compilation</w:t>
        </w:r>
      </w:ins>
      <w:r>
        <w:t xml:space="preserve"> was prepared, provisions referred to in the following table had not come into operation and were therefore not included in </w:t>
      </w:r>
      <w:del w:id="356" w:author="svcMRProcess" w:date="2015-12-04T19:51:00Z">
        <w:r>
          <w:delText>compiling the reprint.</w:delText>
        </w:r>
      </w:del>
      <w:ins w:id="357" w:author="svcMRProcess" w:date="2015-12-04T19:51:00Z">
        <w:r>
          <w:t>this compilation.</w:t>
        </w:r>
      </w:ins>
      <w:r>
        <w:t xml:space="preserve">  For the text of the provisions see the endnotes referred to in the table.</w:t>
      </w:r>
    </w:p>
    <w:p>
      <w:pPr>
        <w:pStyle w:val="nHeading3"/>
        <w:rPr>
          <w:snapToGrid w:val="0"/>
        </w:rPr>
      </w:pPr>
      <w:bookmarkStart w:id="358" w:name="_Toc332102904"/>
      <w:bookmarkStart w:id="359" w:name="_Toc332102775"/>
      <w:r>
        <w:rPr>
          <w:snapToGrid w:val="0"/>
        </w:rPr>
        <w:t>Provisions that have not come into operation</w:t>
      </w:r>
      <w:bookmarkEnd w:id="358"/>
      <w:bookmarkEnd w:id="35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12 Oct 2007</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60" w:name="AutoSch"/>
      <w:bookmarkEnd w:id="360"/>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w:t>
      </w:r>
      <w:del w:id="361" w:author="svcMRProcess" w:date="2015-12-04T19:51:00Z">
        <w:r>
          <w:delText>reprint</w:delText>
        </w:r>
      </w:del>
      <w:ins w:id="362" w:author="svcMRProcess" w:date="2015-12-04T19:51: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63 </w:t>
      </w:r>
      <w:r>
        <w:rPr>
          <w:snapToGrid w:val="0"/>
        </w:rPr>
        <w:t>had not come into operation.  It reads as follows:</w:t>
      </w:r>
    </w:p>
    <w:p>
      <w:pPr>
        <w:pStyle w:val="BlankOpen"/>
      </w:pPr>
    </w:p>
    <w:p>
      <w:pPr>
        <w:pStyle w:val="nzHeading5"/>
      </w:pPr>
      <w:bookmarkStart w:id="363" w:name="_Toc117571270"/>
      <w:bookmarkStart w:id="364" w:name="_Toc179685677"/>
      <w:bookmarkStart w:id="365" w:name="_Toc180227175"/>
      <w:r>
        <w:rPr>
          <w:rStyle w:val="CharSectno"/>
        </w:rPr>
        <w:t>63</w:t>
      </w:r>
      <w:r>
        <w:t>.</w:t>
      </w:r>
      <w:r>
        <w:tab/>
      </w:r>
      <w:r>
        <w:rPr>
          <w:i/>
          <w:iCs/>
        </w:rPr>
        <w:t>Agricultural Produce Commission Act 1988</w:t>
      </w:r>
      <w:r>
        <w:t xml:space="preserve"> amended</w:t>
      </w:r>
      <w:bookmarkEnd w:id="363"/>
      <w:bookmarkEnd w:id="364"/>
      <w:bookmarkEnd w:id="365"/>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366" w:name="_Toc179685678"/>
      <w:bookmarkStart w:id="367" w:name="_Toc180227176"/>
      <w:r>
        <w:t>12A.</w:t>
      </w:r>
      <w:r>
        <w:tab/>
        <w:t>Powers of officers, employees and other persons</w:t>
      </w:r>
      <w:bookmarkEnd w:id="366"/>
      <w:bookmarkEnd w:id="367"/>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9"/>
      <w:headerReference w:type="default" r:id="rId30"/>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47"/>
    <w:docVar w:name="WAFER_20151204115047" w:val="RemoveTrackChanges"/>
    <w:docVar w:name="WAFER_20151204115047_GUID" w:val="acc60579-ac6c-4094-815b-5bae44008d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6932</Words>
  <Characters>34106</Characters>
  <Application>Microsoft Office Word</Application>
  <DocSecurity>0</DocSecurity>
  <Lines>947</Lines>
  <Paragraphs>477</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02-a0-03 - 02-b0-03</dc:title>
  <dc:subject/>
  <dc:creator/>
  <cp:keywords/>
  <dc:description/>
  <cp:lastModifiedBy>svcMRProcess</cp:lastModifiedBy>
  <cp:revision>2</cp:revision>
  <cp:lastPrinted>2009-05-04T02:06:00Z</cp:lastPrinted>
  <dcterms:created xsi:type="dcterms:W3CDTF">2015-12-04T11:50:00Z</dcterms:created>
  <dcterms:modified xsi:type="dcterms:W3CDTF">2015-12-04T11:51:00Z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01 May 2009</vt:lpwstr>
  </property>
  <property fmtid="{D5CDD505-2E9C-101B-9397-08002B2CF9AE}" pid="9" name="ToSuffix">
    <vt:lpwstr>02-b0-03</vt:lpwstr>
  </property>
  <property fmtid="{D5CDD505-2E9C-101B-9397-08002B2CF9AE}" pid="10" name="ToAsAtDate">
    <vt:lpwstr>17 Sep 2009</vt:lpwstr>
  </property>
</Properties>
</file>