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41289211"/>
      <w:bookmarkStart w:id="5" w:name="_Toc13141502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241289212"/>
      <w:bookmarkStart w:id="10" w:name="_Toc13141502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20192095"/>
      <w:bookmarkStart w:id="12" w:name="_Toc532091515"/>
      <w:bookmarkStart w:id="13" w:name="_Toc122777542"/>
      <w:bookmarkStart w:id="14" w:name="_Toc241289213"/>
      <w:bookmarkStart w:id="15" w:name="_Toc13141502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lastRenderedPageBreak/>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6" w:name="_Toc520192096"/>
      <w:bookmarkStart w:id="17" w:name="_Toc532091516"/>
      <w:bookmarkStart w:id="18" w:name="_Toc122777543"/>
      <w:bookmarkStart w:id="19" w:name="_Toc241289214"/>
      <w:bookmarkStart w:id="20" w:name="_Toc131415028"/>
      <w:r>
        <w:rPr>
          <w:rStyle w:val="CharSectno"/>
        </w:rPr>
        <w:t>4</w:t>
      </w:r>
      <w:r>
        <w:rPr>
          <w:snapToGrid w:val="0"/>
        </w:rPr>
        <w:t>.</w:t>
      </w:r>
      <w:r>
        <w:rPr>
          <w:snapToGrid w:val="0"/>
        </w:rPr>
        <w:tab/>
        <w:t>The Corporation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1" w:name="_Toc520192097"/>
      <w:bookmarkStart w:id="22" w:name="_Toc532091517"/>
      <w:bookmarkStart w:id="23" w:name="_Toc122777544"/>
      <w:bookmarkStart w:id="24" w:name="_Toc241289215"/>
      <w:bookmarkStart w:id="25" w:name="_Toc131415029"/>
      <w:r>
        <w:rPr>
          <w:rStyle w:val="CharSectno"/>
        </w:rPr>
        <w:t>5</w:t>
      </w:r>
      <w:r>
        <w:rPr>
          <w:snapToGrid w:val="0"/>
        </w:rPr>
        <w:t>.</w:t>
      </w:r>
      <w:r>
        <w:rPr>
          <w:snapToGrid w:val="0"/>
        </w:rPr>
        <w:tab/>
        <w:t>Composition of Corporation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is</w:t>
      </w:r>
      <w:del w:id="26" w:author="svcMRProcess" w:date="2018-09-08T14:53:00Z">
        <w:r>
          <w:rPr>
            <w:snapToGrid w:val="0"/>
          </w:rPr>
          <w:delText xml:space="preserve"> or becomes an undischarged</w:delText>
        </w:r>
      </w:del>
      <w:ins w:id="27" w:author="svcMRProcess" w:date="2018-09-08T14:53:00Z">
        <w:r>
          <w:t xml:space="preserve">, according to the </w:t>
        </w:r>
        <w:r>
          <w:rPr>
            <w:i/>
          </w:rPr>
          <w:t>Interpretation Act 1984</w:t>
        </w:r>
        <w:r>
          <w:t xml:space="preserve"> section 13D, a</w:t>
        </w:r>
      </w:ins>
      <w:r>
        <w:t xml:space="preserve"> bankrupt or </w:t>
      </w:r>
      <w:ins w:id="28" w:author="svcMRProcess" w:date="2018-09-08T14:53:00Z">
        <w:r>
          <w:t xml:space="preserve">a </w:t>
        </w:r>
      </w:ins>
      <w:r>
        <w:t xml:space="preserve">person whose </w:t>
      </w:r>
      <w:del w:id="29" w:author="svcMRProcess" w:date="2018-09-08T14:53:00Z">
        <w:r>
          <w:rPr>
            <w:snapToGrid w:val="0"/>
          </w:rPr>
          <w:delText>property is subject to an order or arrangement</w:delText>
        </w:r>
      </w:del>
      <w:ins w:id="30" w:author="svcMRProcess" w:date="2018-09-08T14:53:00Z">
        <w:r>
          <w:t>affairs are</w:t>
        </w:r>
      </w:ins>
      <w:r>
        <w:t xml:space="preserve"> under </w:t>
      </w:r>
      <w:del w:id="31" w:author="svcMRProcess" w:date="2018-09-08T14:53:00Z">
        <w:r>
          <w:rPr>
            <w:snapToGrid w:val="0"/>
          </w:rPr>
          <w:delText>the</w:delText>
        </w:r>
      </w:del>
      <w:ins w:id="32" w:author="svcMRProcess" w:date="2018-09-08T14:53:00Z">
        <w:r>
          <w:t>insolvency</w:t>
        </w:r>
      </w:ins>
      <w:r>
        <w:t xml:space="preserve"> laws</w:t>
      </w:r>
      <w:del w:id="33" w:author="svcMRProcess" w:date="2018-09-08T14:53:00Z">
        <w:r>
          <w:rPr>
            <w:snapToGrid w:val="0"/>
          </w:rPr>
          <w:delText xml:space="preserve"> relating to bankruptcy;</w:delText>
        </w:r>
      </w:del>
      <w:ins w:id="34" w:author="svcMRProcess" w:date="2018-09-08T14:53:00Z">
        <w:r>
          <w:t>; or</w:t>
        </w:r>
      </w:ins>
    </w:p>
    <w:p>
      <w:pPr>
        <w:pStyle w:val="Indenta"/>
        <w:rPr>
          <w:snapToGrid w:val="0"/>
        </w:rPr>
      </w:pPr>
      <w:r>
        <w:rPr>
          <w:snapToGrid w:val="0"/>
        </w:rPr>
        <w:tab/>
        <w:t>(b)</w:t>
      </w:r>
      <w:r>
        <w:rPr>
          <w:snapToGrid w:val="0"/>
        </w:rPr>
        <w:tab/>
        <w:t>has his appointment terminated by the Minister, pursuant to subsection (4);</w:t>
      </w:r>
      <w:ins w:id="35" w:author="svcMRProcess" w:date="2018-09-08T14:53:00Z">
        <w:r>
          <w:rPr>
            <w:snapToGrid w:val="0"/>
          </w:rPr>
          <w:t xml:space="preserve"> or</w:t>
        </w:r>
      </w:ins>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by No. 73 of 1994 s. 4; No. 5 of 1998 s. 5 and 9; No. 38 of 2005 s. </w:t>
      </w:r>
      <w:del w:id="36" w:author="svcMRProcess" w:date="2018-09-08T14:53:00Z">
        <w:r>
          <w:delText>15</w:delText>
        </w:r>
      </w:del>
      <w:ins w:id="37" w:author="svcMRProcess" w:date="2018-09-08T14:53:00Z">
        <w:r>
          <w:t>15; No. 18 of 2009 s. 81</w:t>
        </w:r>
      </w:ins>
      <w:r>
        <w:t xml:space="preserve">.] </w:t>
      </w:r>
    </w:p>
    <w:p>
      <w:pPr>
        <w:pStyle w:val="Heading5"/>
        <w:rPr>
          <w:snapToGrid w:val="0"/>
        </w:rPr>
      </w:pPr>
      <w:bookmarkStart w:id="38" w:name="_Toc520192098"/>
      <w:bookmarkStart w:id="39" w:name="_Toc532091518"/>
      <w:bookmarkStart w:id="40" w:name="_Toc122777545"/>
      <w:bookmarkStart w:id="41" w:name="_Toc241289216"/>
      <w:bookmarkStart w:id="42" w:name="_Toc131415030"/>
      <w:r>
        <w:rPr>
          <w:rStyle w:val="CharSectno"/>
        </w:rPr>
        <w:t>6</w:t>
      </w:r>
      <w:r>
        <w:rPr>
          <w:snapToGrid w:val="0"/>
        </w:rPr>
        <w:t>.</w:t>
      </w:r>
      <w:r>
        <w:rPr>
          <w:snapToGrid w:val="0"/>
        </w:rPr>
        <w:tab/>
        <w:t>Acting members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43" w:name="_Toc520192099"/>
      <w:bookmarkStart w:id="44" w:name="_Toc532091519"/>
      <w:bookmarkStart w:id="45" w:name="_Toc122777546"/>
      <w:bookmarkStart w:id="46" w:name="_Toc241289217"/>
      <w:bookmarkStart w:id="47" w:name="_Toc131415031"/>
      <w:r>
        <w:rPr>
          <w:rStyle w:val="CharSectno"/>
        </w:rPr>
        <w:t>7</w:t>
      </w:r>
      <w:r>
        <w:rPr>
          <w:snapToGrid w:val="0"/>
        </w:rPr>
        <w:t>.</w:t>
      </w:r>
      <w:r>
        <w:rPr>
          <w:snapToGrid w:val="0"/>
        </w:rPr>
        <w:tab/>
        <w:t>Remuneration of members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48" w:name="_Toc520192100"/>
      <w:bookmarkStart w:id="49" w:name="_Toc532091520"/>
      <w:bookmarkStart w:id="50" w:name="_Toc122777547"/>
      <w:bookmarkStart w:id="51" w:name="_Toc241289218"/>
      <w:bookmarkStart w:id="52" w:name="_Toc131415032"/>
      <w:r>
        <w:rPr>
          <w:rStyle w:val="CharSectno"/>
        </w:rPr>
        <w:t>8</w:t>
      </w:r>
      <w:r>
        <w:rPr>
          <w:snapToGrid w:val="0"/>
        </w:rPr>
        <w:t>.</w:t>
      </w:r>
      <w:r>
        <w:rPr>
          <w:snapToGrid w:val="0"/>
        </w:rPr>
        <w:tab/>
        <w:t>Proceedings of the Corporation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53" w:name="_Toc520192101"/>
      <w:bookmarkStart w:id="54" w:name="_Toc532091521"/>
      <w:bookmarkStart w:id="55" w:name="_Toc122777548"/>
      <w:bookmarkStart w:id="56" w:name="_Toc241289219"/>
      <w:bookmarkStart w:id="57" w:name="_Toc131415033"/>
      <w:r>
        <w:rPr>
          <w:rStyle w:val="CharSectno"/>
        </w:rPr>
        <w:t>9</w:t>
      </w:r>
      <w:r>
        <w:rPr>
          <w:snapToGrid w:val="0"/>
        </w:rPr>
        <w:t>.</w:t>
      </w:r>
      <w:r>
        <w:rPr>
          <w:snapToGrid w:val="0"/>
        </w:rPr>
        <w:tab/>
        <w:t>Matters not to be invalidated by vacancies, or defects in appointment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58" w:name="_Toc520192102"/>
      <w:bookmarkStart w:id="59" w:name="_Toc532091522"/>
      <w:bookmarkStart w:id="60" w:name="_Toc122777549"/>
      <w:bookmarkStart w:id="61" w:name="_Toc241289220"/>
      <w:bookmarkStart w:id="62" w:name="_Toc131415034"/>
      <w:r>
        <w:rPr>
          <w:rStyle w:val="CharSectno"/>
        </w:rPr>
        <w:t>10</w:t>
      </w:r>
      <w:r>
        <w:rPr>
          <w:snapToGrid w:val="0"/>
        </w:rPr>
        <w:t>.</w:t>
      </w:r>
      <w:r>
        <w:rPr>
          <w:snapToGrid w:val="0"/>
        </w:rPr>
        <w:tab/>
        <w:t>Liability of members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63" w:name="_Toc520192103"/>
      <w:bookmarkStart w:id="64" w:name="_Toc532091523"/>
      <w:bookmarkStart w:id="65" w:name="_Toc122777550"/>
      <w:bookmarkStart w:id="66" w:name="_Toc241289221"/>
      <w:bookmarkStart w:id="67" w:name="_Toc131415035"/>
      <w:r>
        <w:rPr>
          <w:rStyle w:val="CharSectno"/>
        </w:rPr>
        <w:t>11</w:t>
      </w:r>
      <w:r>
        <w:rPr>
          <w:snapToGrid w:val="0"/>
        </w:rPr>
        <w:t>.</w:t>
      </w:r>
      <w:r>
        <w:rPr>
          <w:snapToGrid w:val="0"/>
        </w:rPr>
        <w:tab/>
        <w:t>Powers and functions of the Corporation</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68" w:name="_Toc520192104"/>
      <w:bookmarkStart w:id="69" w:name="_Toc532091524"/>
      <w:bookmarkStart w:id="70" w:name="_Toc122777551"/>
      <w:bookmarkStart w:id="71" w:name="_Toc241289222"/>
      <w:bookmarkStart w:id="72" w:name="_Toc131415036"/>
      <w:r>
        <w:rPr>
          <w:rStyle w:val="CharSectno"/>
        </w:rPr>
        <w:t>11A</w:t>
      </w:r>
      <w:r>
        <w:t>.</w:t>
      </w:r>
      <w:r>
        <w:tab/>
        <w:t>Delegation</w:t>
      </w:r>
      <w:bookmarkEnd w:id="68"/>
      <w:bookmarkEnd w:id="69"/>
      <w:bookmarkEnd w:id="70"/>
      <w:bookmarkEnd w:id="71"/>
      <w:bookmarkEnd w:id="72"/>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73" w:name="_Toc520192105"/>
      <w:bookmarkStart w:id="74" w:name="_Toc532091525"/>
      <w:bookmarkStart w:id="75" w:name="_Toc122777552"/>
      <w:bookmarkStart w:id="76" w:name="_Toc241289223"/>
      <w:bookmarkStart w:id="77" w:name="_Toc131415037"/>
      <w:r>
        <w:rPr>
          <w:rStyle w:val="CharSectno"/>
        </w:rPr>
        <w:t>11B</w:t>
      </w:r>
      <w:r>
        <w:t>.</w:t>
      </w:r>
      <w:r>
        <w:tab/>
        <w:t>Minister may give directions</w:t>
      </w:r>
      <w:bookmarkEnd w:id="73"/>
      <w:bookmarkEnd w:id="74"/>
      <w:bookmarkEnd w:id="75"/>
      <w:bookmarkEnd w:id="76"/>
      <w:bookmarkEnd w:id="77"/>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78" w:name="_Toc520192106"/>
      <w:bookmarkStart w:id="79" w:name="_Toc532091526"/>
      <w:bookmarkStart w:id="80" w:name="_Toc122777553"/>
      <w:bookmarkStart w:id="81" w:name="_Toc241289224"/>
      <w:bookmarkStart w:id="82" w:name="_Toc131415038"/>
      <w:r>
        <w:rPr>
          <w:rStyle w:val="CharSectno"/>
        </w:rPr>
        <w:t>11C</w:t>
      </w:r>
      <w:r>
        <w:t>.</w:t>
      </w:r>
      <w:r>
        <w:tab/>
        <w:t>Minister to have access to information</w:t>
      </w:r>
      <w:bookmarkEnd w:id="78"/>
      <w:bookmarkEnd w:id="79"/>
      <w:bookmarkEnd w:id="80"/>
      <w:bookmarkEnd w:id="81"/>
      <w:bookmarkEnd w:id="82"/>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83" w:name="_Toc520192107"/>
      <w:bookmarkStart w:id="84" w:name="_Toc532091527"/>
      <w:bookmarkStart w:id="85" w:name="_Toc122777554"/>
      <w:bookmarkStart w:id="86" w:name="_Toc241289225"/>
      <w:bookmarkStart w:id="87" w:name="_Toc131415039"/>
      <w:r>
        <w:rPr>
          <w:rStyle w:val="CharSectno"/>
        </w:rPr>
        <w:t>13</w:t>
      </w:r>
      <w:r>
        <w:rPr>
          <w:snapToGrid w:val="0"/>
        </w:rPr>
        <w:t>.</w:t>
      </w:r>
      <w:r>
        <w:rPr>
          <w:snapToGrid w:val="0"/>
        </w:rPr>
        <w:tab/>
        <w:t>Powers, functions and duties of Managing Director</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88" w:name="_Toc520192108"/>
      <w:bookmarkStart w:id="89" w:name="_Toc532091528"/>
      <w:bookmarkStart w:id="90" w:name="_Toc122777555"/>
      <w:bookmarkStart w:id="91" w:name="_Toc241289226"/>
      <w:bookmarkStart w:id="92" w:name="_Toc131415040"/>
      <w:r>
        <w:rPr>
          <w:rStyle w:val="CharSectno"/>
        </w:rPr>
        <w:t>14</w:t>
      </w:r>
      <w:r>
        <w:rPr>
          <w:snapToGrid w:val="0"/>
        </w:rPr>
        <w:t>.</w:t>
      </w:r>
      <w:r>
        <w:rPr>
          <w:snapToGrid w:val="0"/>
        </w:rPr>
        <w:tab/>
        <w:t>Acting appointments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93" w:name="_Toc520192109"/>
      <w:bookmarkStart w:id="94" w:name="_Toc532091529"/>
      <w:bookmarkStart w:id="95" w:name="_Toc122777556"/>
      <w:bookmarkStart w:id="96" w:name="_Toc241289227"/>
      <w:bookmarkStart w:id="97" w:name="_Toc131415041"/>
      <w:r>
        <w:rPr>
          <w:rStyle w:val="CharSectno"/>
        </w:rPr>
        <w:t>15</w:t>
      </w:r>
      <w:r>
        <w:rPr>
          <w:snapToGrid w:val="0"/>
        </w:rPr>
        <w:t>.</w:t>
      </w:r>
      <w:r>
        <w:rPr>
          <w:snapToGrid w:val="0"/>
        </w:rPr>
        <w:tab/>
        <w:t>Employees of the Corporation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98" w:name="_Toc520192110"/>
      <w:bookmarkStart w:id="99" w:name="_Toc532091530"/>
      <w:bookmarkStart w:id="100" w:name="_Toc122777557"/>
      <w:bookmarkStart w:id="101" w:name="_Toc241289228"/>
      <w:bookmarkStart w:id="102" w:name="_Toc131415042"/>
      <w:r>
        <w:rPr>
          <w:rStyle w:val="CharSectno"/>
        </w:rPr>
        <w:t>15A</w:t>
      </w:r>
      <w:r>
        <w:rPr>
          <w:snapToGrid w:val="0"/>
        </w:rPr>
        <w:t>.</w:t>
      </w:r>
      <w:r>
        <w:rPr>
          <w:snapToGrid w:val="0"/>
        </w:rPr>
        <w:tab/>
        <w:t>Status of Managing Director and other employees of Corporation who are members of Senior Executive Service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103" w:name="_Toc520192111"/>
      <w:bookmarkStart w:id="104" w:name="_Toc532091531"/>
      <w:bookmarkStart w:id="105" w:name="_Toc122777558"/>
      <w:bookmarkStart w:id="106" w:name="_Toc241289229"/>
      <w:bookmarkStart w:id="107" w:name="_Toc131415043"/>
      <w:r>
        <w:rPr>
          <w:rStyle w:val="CharSectno"/>
        </w:rPr>
        <w:t>16</w:t>
      </w:r>
      <w:r>
        <w:rPr>
          <w:snapToGrid w:val="0"/>
        </w:rPr>
        <w:t>.</w:t>
      </w:r>
      <w:r>
        <w:rPr>
          <w:snapToGrid w:val="0"/>
        </w:rPr>
        <w:tab/>
        <w:t>Professional or technical assistance</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108" w:name="_Toc520192112"/>
      <w:bookmarkStart w:id="109" w:name="_Toc532091532"/>
      <w:bookmarkStart w:id="110" w:name="_Toc122777559"/>
      <w:bookmarkStart w:id="111" w:name="_Toc241289230"/>
      <w:bookmarkStart w:id="112" w:name="_Toc131415044"/>
      <w:r>
        <w:rPr>
          <w:rStyle w:val="CharSectno"/>
        </w:rPr>
        <w:t>17</w:t>
      </w:r>
      <w:r>
        <w:rPr>
          <w:snapToGrid w:val="0"/>
        </w:rPr>
        <w:t>.</w:t>
      </w:r>
      <w:r>
        <w:rPr>
          <w:snapToGrid w:val="0"/>
        </w:rPr>
        <w:tab/>
        <w:t>Use of staff and facilities of departments and instrumentalities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13" w:name="_Toc520192113"/>
      <w:bookmarkStart w:id="114" w:name="_Toc532091533"/>
      <w:bookmarkStart w:id="115" w:name="_Toc122777560"/>
      <w:bookmarkStart w:id="116" w:name="_Toc241289231"/>
      <w:bookmarkStart w:id="117" w:name="_Toc131415045"/>
      <w:r>
        <w:rPr>
          <w:rStyle w:val="CharSectno"/>
        </w:rPr>
        <w:t>18</w:t>
      </w:r>
      <w:r>
        <w:t>.</w:t>
      </w:r>
      <w:r>
        <w:tab/>
        <w:t>Confidentiality</w:t>
      </w:r>
      <w:bookmarkEnd w:id="113"/>
      <w:bookmarkEnd w:id="114"/>
      <w:bookmarkEnd w:id="115"/>
      <w:bookmarkEnd w:id="116"/>
      <w:bookmarkEnd w:id="117"/>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18" w:name="_Toc520192114"/>
      <w:bookmarkStart w:id="119" w:name="_Toc532091534"/>
      <w:bookmarkStart w:id="120" w:name="_Toc122777561"/>
      <w:bookmarkStart w:id="121" w:name="_Toc241289232"/>
      <w:bookmarkStart w:id="122" w:name="_Toc131415046"/>
      <w:r>
        <w:rPr>
          <w:rStyle w:val="CharSectno"/>
        </w:rPr>
        <w:t>19</w:t>
      </w:r>
      <w:r>
        <w:rPr>
          <w:snapToGrid w:val="0"/>
        </w:rPr>
        <w:t>.</w:t>
      </w:r>
      <w:r>
        <w:rPr>
          <w:snapToGrid w:val="0"/>
        </w:rPr>
        <w:tab/>
        <w:t>Funds</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123" w:name="_Toc520192115"/>
      <w:bookmarkStart w:id="124" w:name="_Toc532091535"/>
      <w:bookmarkStart w:id="125" w:name="_Toc122777562"/>
      <w:bookmarkStart w:id="126" w:name="_Toc241289233"/>
      <w:bookmarkStart w:id="127" w:name="_Toc131415047"/>
      <w:r>
        <w:rPr>
          <w:rStyle w:val="CharSectno"/>
        </w:rPr>
        <w:t>20</w:t>
      </w:r>
      <w:r>
        <w:rPr>
          <w:snapToGrid w:val="0"/>
        </w:rPr>
        <w:t>.</w:t>
      </w:r>
      <w:r>
        <w:rPr>
          <w:snapToGrid w:val="0"/>
        </w:rPr>
        <w:tab/>
        <w:t>Power to invest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128" w:name="_Toc520192116"/>
      <w:bookmarkStart w:id="129" w:name="_Toc532091536"/>
      <w:bookmarkStart w:id="130" w:name="_Toc122777563"/>
      <w:bookmarkStart w:id="131" w:name="_Toc131415048"/>
      <w:bookmarkStart w:id="132" w:name="_Toc241289234"/>
      <w:r>
        <w:rPr>
          <w:rStyle w:val="CharSectno"/>
        </w:rPr>
        <w:t>21</w:t>
      </w:r>
      <w:r>
        <w:rPr>
          <w:snapToGrid w:val="0"/>
        </w:rPr>
        <w:t>.</w:t>
      </w:r>
      <w:r>
        <w:rPr>
          <w:snapToGrid w:val="0"/>
        </w:rPr>
        <w:tab/>
        <w:t>Application of</w:t>
      </w:r>
      <w:bookmarkEnd w:id="128"/>
      <w:bookmarkEnd w:id="129"/>
      <w:bookmarkEnd w:id="130"/>
      <w:bookmarkEnd w:id="131"/>
      <w:r>
        <w:rPr>
          <w:i/>
          <w:iCs/>
        </w:rPr>
        <w:t xml:space="preserve"> Financial Management Act 2006</w:t>
      </w:r>
      <w:r>
        <w:t xml:space="preserve"> and the </w:t>
      </w:r>
      <w:r>
        <w:rPr>
          <w:i/>
          <w:iCs/>
        </w:rPr>
        <w:t>Auditor General Act 2006</w:t>
      </w:r>
      <w:bookmarkEnd w:id="13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133" w:name="_Toc520192117"/>
      <w:bookmarkStart w:id="134" w:name="_Toc532091537"/>
      <w:bookmarkStart w:id="135" w:name="_Toc122777564"/>
      <w:bookmarkStart w:id="136" w:name="_Toc241289235"/>
      <w:bookmarkStart w:id="137" w:name="_Toc131415049"/>
      <w:r>
        <w:rPr>
          <w:rStyle w:val="CharSectno"/>
        </w:rPr>
        <w:t>24</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8" w:name="_Toc122777565"/>
      <w:bookmarkStart w:id="139" w:name="_Toc122777638"/>
      <w:bookmarkStart w:id="140" w:name="_Toc123004230"/>
      <w:bookmarkStart w:id="141" w:name="_Toc131415050"/>
      <w:bookmarkStart w:id="142" w:name="_Toc241289236"/>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122777566"/>
      <w:bookmarkStart w:id="144" w:name="_Toc241289237"/>
      <w:bookmarkStart w:id="145" w:name="_Toc131415051"/>
      <w:r>
        <w:rPr>
          <w:snapToGrid w:val="0"/>
        </w:rPr>
        <w:t>Compilation table</w:t>
      </w:r>
      <w:bookmarkEnd w:id="143"/>
      <w:bookmarkEnd w:id="144"/>
      <w:bookmarkEnd w:id="145"/>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ins w:id="146" w:author="svcMRProcess" w:date="2018-09-08T14:53:00Z"/>
        </w:trPr>
        <w:tc>
          <w:tcPr>
            <w:tcW w:w="2269" w:type="dxa"/>
            <w:gridSpan w:val="2"/>
            <w:tcBorders>
              <w:bottom w:val="single" w:sz="4" w:space="0" w:color="auto"/>
            </w:tcBorders>
          </w:tcPr>
          <w:p>
            <w:pPr>
              <w:pStyle w:val="nTable"/>
              <w:spacing w:after="40"/>
              <w:rPr>
                <w:ins w:id="147" w:author="svcMRProcess" w:date="2018-09-08T14:53:00Z"/>
                <w:iCs/>
                <w:snapToGrid w:val="0"/>
                <w:sz w:val="19"/>
              </w:rPr>
            </w:pPr>
            <w:ins w:id="148" w:author="svcMRProcess" w:date="2018-09-08T14:53:00Z">
              <w:r>
                <w:rPr>
                  <w:i/>
                  <w:snapToGrid w:val="0"/>
                  <w:sz w:val="19"/>
                </w:rPr>
                <w:t>Acts Amendment (Bankruptcy) Act 2009</w:t>
              </w:r>
              <w:r>
                <w:rPr>
                  <w:iCs/>
                  <w:snapToGrid w:val="0"/>
                  <w:sz w:val="19"/>
                </w:rPr>
                <w:t xml:space="preserve"> s. 81</w:t>
              </w:r>
            </w:ins>
          </w:p>
        </w:tc>
        <w:tc>
          <w:tcPr>
            <w:tcW w:w="1134" w:type="dxa"/>
            <w:gridSpan w:val="2"/>
            <w:tcBorders>
              <w:bottom w:val="single" w:sz="4" w:space="0" w:color="auto"/>
            </w:tcBorders>
          </w:tcPr>
          <w:p>
            <w:pPr>
              <w:pStyle w:val="nTable"/>
              <w:spacing w:after="40"/>
              <w:rPr>
                <w:ins w:id="149" w:author="svcMRProcess" w:date="2018-09-08T14:53:00Z"/>
                <w:sz w:val="19"/>
              </w:rPr>
            </w:pPr>
            <w:ins w:id="150" w:author="svcMRProcess" w:date="2018-09-08T14:53:00Z">
              <w:r>
                <w:rPr>
                  <w:sz w:val="19"/>
                </w:rPr>
                <w:t>18 of 2009</w:t>
              </w:r>
            </w:ins>
          </w:p>
        </w:tc>
        <w:tc>
          <w:tcPr>
            <w:tcW w:w="1134" w:type="dxa"/>
            <w:gridSpan w:val="2"/>
            <w:tcBorders>
              <w:bottom w:val="single" w:sz="4" w:space="0" w:color="auto"/>
            </w:tcBorders>
          </w:tcPr>
          <w:p>
            <w:pPr>
              <w:pStyle w:val="nTable"/>
              <w:spacing w:after="40"/>
              <w:rPr>
                <w:ins w:id="151" w:author="svcMRProcess" w:date="2018-09-08T14:53:00Z"/>
                <w:sz w:val="19"/>
              </w:rPr>
            </w:pPr>
            <w:ins w:id="152" w:author="svcMRProcess" w:date="2018-09-08T14:53:00Z">
              <w:r>
                <w:rPr>
                  <w:sz w:val="19"/>
                </w:rPr>
                <w:t>16 Sep 2009</w:t>
              </w:r>
            </w:ins>
          </w:p>
        </w:tc>
        <w:tc>
          <w:tcPr>
            <w:tcW w:w="2552" w:type="dxa"/>
            <w:gridSpan w:val="2"/>
            <w:tcBorders>
              <w:bottom w:val="single" w:sz="4" w:space="0" w:color="auto"/>
            </w:tcBorders>
          </w:tcPr>
          <w:p>
            <w:pPr>
              <w:pStyle w:val="nTable"/>
              <w:spacing w:after="40"/>
              <w:rPr>
                <w:ins w:id="153" w:author="svcMRProcess" w:date="2018-09-08T14:53:00Z"/>
                <w:sz w:val="19"/>
              </w:rPr>
            </w:pPr>
            <w:ins w:id="154" w:author="svcMRProcess" w:date="2018-09-08T14:53:00Z">
              <w:r>
                <w:rPr>
                  <w:sz w:val="19"/>
                </w:rPr>
                <w:t>17 Sep 2009 (see s. 2(b))</w:t>
              </w:r>
            </w:ins>
          </w:p>
        </w:tc>
      </w:tr>
    </w:tbl>
    <w:p>
      <w:pPr>
        <w:pStyle w:val="nSubsection"/>
        <w:rPr>
          <w:ins w:id="155" w:author="svcMRProcess" w:date="2018-09-08T14:53:00Z"/>
          <w:vertAlign w:val="superscript"/>
        </w:rPr>
      </w:pPr>
    </w:p>
    <w:p>
      <w:pPr>
        <w:pStyle w:val="nSubsection"/>
        <w:rPr>
          <w:i/>
        </w:rPr>
      </w:pPr>
      <w:bookmarkStart w:id="156" w:name="UpToHere"/>
      <w:bookmarkEnd w:id="156"/>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4223</Words>
  <Characters>20273</Characters>
  <Application>Microsoft Office Word</Application>
  <DocSecurity>0</DocSecurity>
  <Lines>579</Lines>
  <Paragraphs>310</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01-d0-06 - 01-e0-01</dc:title>
  <dc:subject/>
  <dc:creator/>
  <cp:keywords/>
  <dc:description/>
  <cp:lastModifiedBy>svcMRProcess</cp:lastModifiedBy>
  <cp:revision>2</cp:revision>
  <cp:lastPrinted>2001-12-12T23:52:00Z</cp:lastPrinted>
  <dcterms:created xsi:type="dcterms:W3CDTF">2018-09-08T06:53:00Z</dcterms:created>
  <dcterms:modified xsi:type="dcterms:W3CDTF">2018-09-08T06:53:00Z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752</vt:i4>
  </property>
  <property fmtid="{D5CDD505-2E9C-101B-9397-08002B2CF9AE}" pid="6" name="FromSuffix">
    <vt:lpwstr>01-d0-06</vt:lpwstr>
  </property>
  <property fmtid="{D5CDD505-2E9C-101B-9397-08002B2CF9AE}" pid="7" name="FromAsAtDate">
    <vt:lpwstr>01 Feb 2007</vt:lpwstr>
  </property>
  <property fmtid="{D5CDD505-2E9C-101B-9397-08002B2CF9AE}" pid="8" name="ToSuffix">
    <vt:lpwstr>01-e0-01</vt:lpwstr>
  </property>
  <property fmtid="{D5CDD505-2E9C-101B-9397-08002B2CF9AE}" pid="9" name="ToAsAtDate">
    <vt:lpwstr>17 Sep 2009</vt:lpwstr>
  </property>
</Properties>
</file>