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Jan 2008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10 Oct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(Drug Driving) Regulations 2007</w:t>
      </w:r>
    </w:p>
    <w:p>
      <w:pPr>
        <w:pStyle w:val="Heading5"/>
      </w:pPr>
      <w:bookmarkStart w:id="0" w:name="_Toc378863449"/>
      <w:bookmarkStart w:id="1" w:name="_Toc188957378"/>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4" w:name="_Toc378863450"/>
      <w:bookmarkStart w:id="5" w:name="_Toc188957379"/>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6" w:name="_Toc378863451"/>
      <w:bookmarkStart w:id="7" w:name="_Toc188957380"/>
      <w:r>
        <w:rPr>
          <w:rStyle w:val="CharSectno"/>
        </w:rPr>
        <w:t>3</w:t>
      </w:r>
      <w:r>
        <w:rPr>
          <w:snapToGrid w:val="0"/>
        </w:rPr>
        <w:t>.</w:t>
      </w:r>
      <w:r>
        <w:rPr>
          <w:snapToGrid w:val="0"/>
        </w:rPr>
        <w:tab/>
        <w:t>Prescribed illicit drugs (s. 65)</w:t>
      </w:r>
      <w:bookmarkEnd w:id="6"/>
      <w:bookmarkEnd w:id="7"/>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8" w:name="_Toc378863452"/>
      <w:bookmarkStart w:id="9" w:name="_Toc188957381"/>
      <w:r>
        <w:rPr>
          <w:rStyle w:val="CharSectno"/>
        </w:rPr>
        <w:t>4</w:t>
      </w:r>
      <w:r>
        <w:rPr>
          <w:snapToGrid w:val="0"/>
        </w:rPr>
        <w:t>.</w:t>
      </w:r>
      <w:r>
        <w:rPr>
          <w:snapToGrid w:val="0"/>
        </w:rPr>
        <w:tab/>
        <w:t>Conducting a driver assessment (s. 66A(7))</w:t>
      </w:r>
      <w:bookmarkEnd w:id="8"/>
      <w:bookmarkEnd w:id="9"/>
    </w:p>
    <w:p>
      <w:pPr>
        <w:pStyle w:val="Subsection"/>
      </w:pPr>
      <w:r>
        <w:tab/>
      </w:r>
      <w:r>
        <w:tab/>
        <w:t xml:space="preserve">For the purposes of section 66A(7),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Heading5"/>
        <w:rPr>
          <w:snapToGrid w:val="0"/>
        </w:rPr>
      </w:pPr>
      <w:bookmarkStart w:id="10" w:name="_Toc378863453"/>
      <w:bookmarkStart w:id="11" w:name="_Toc188957382"/>
      <w:r>
        <w:rPr>
          <w:rStyle w:val="CharSectno"/>
        </w:rPr>
        <w:t>5</w:t>
      </w:r>
      <w:r>
        <w:rPr>
          <w:snapToGrid w:val="0"/>
        </w:rPr>
        <w:t>.</w:t>
      </w:r>
      <w:r>
        <w:rPr>
          <w:snapToGrid w:val="0"/>
        </w:rPr>
        <w:tab/>
        <w:t>Conducting a preliminary oral fluid test (s. 66C(7))</w:t>
      </w:r>
      <w:bookmarkEnd w:id="10"/>
      <w:bookmarkEnd w:id="11"/>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rPr>
          <w:snapToGrid w:val="0"/>
        </w:rPr>
      </w:pPr>
      <w:bookmarkStart w:id="12" w:name="_Toc378863454"/>
      <w:bookmarkStart w:id="13" w:name="_Toc188957383"/>
      <w:r>
        <w:rPr>
          <w:rStyle w:val="CharSectno"/>
        </w:rPr>
        <w:t>6</w:t>
      </w:r>
      <w:r>
        <w:rPr>
          <w:snapToGrid w:val="0"/>
        </w:rPr>
        <w:t>.</w:t>
      </w:r>
      <w:r>
        <w:rPr>
          <w:snapToGrid w:val="0"/>
        </w:rPr>
        <w:tab/>
        <w:t>Collecting oral fluid (s. 66D(4))</w:t>
      </w:r>
      <w:bookmarkEnd w:id="12"/>
      <w:bookmarkEnd w:id="13"/>
    </w:p>
    <w:p>
      <w:pPr>
        <w:pStyle w:val="Subsection"/>
      </w:pPr>
      <w:r>
        <w:tab/>
        <w:t>(1)</w:t>
      </w:r>
      <w:r>
        <w:tab/>
        <w:t xml:space="preserve">The following steps are to be followed by an authorised drug tester when preparing to collect oral fluid for testing under section 66D — </w:t>
      </w:r>
    </w:p>
    <w:p>
      <w:pPr>
        <w:pStyle w:val="Indenta"/>
      </w:pPr>
      <w:r>
        <w:tab/>
        <w:t>(a)</w:t>
      </w:r>
      <w:r>
        <w:tab/>
        <w:t>check the packaging of the equipment is not damaged and that any expiry date has not passed;</w:t>
      </w:r>
    </w:p>
    <w:p>
      <w:pPr>
        <w:pStyle w:val="Indenta"/>
      </w:pPr>
      <w:r>
        <w:tab/>
        <w:t>(b)</w:t>
      </w:r>
      <w:r>
        <w:tab/>
        <w:t>open the packaged equipment;</w:t>
      </w:r>
    </w:p>
    <w:p>
      <w:pPr>
        <w:pStyle w:val="Indenta"/>
      </w:pPr>
      <w:r>
        <w:tab/>
        <w:t>(c)</w:t>
      </w:r>
      <w:r>
        <w:tab/>
        <w:t>check that each item of the device is present and that none of the items shows any apparent damage;</w:t>
      </w:r>
    </w:p>
    <w:p>
      <w:pPr>
        <w:pStyle w:val="Indenta"/>
      </w:pPr>
      <w:r>
        <w:tab/>
        <w:t>(d)</w:t>
      </w:r>
      <w:r>
        <w:tab/>
        <w:t>require the suspect to submit a sample of oral fluid for testing.</w:t>
      </w:r>
    </w:p>
    <w:p>
      <w:pPr>
        <w:pStyle w:val="Subsection"/>
      </w:pPr>
      <w:r>
        <w:tab/>
        <w:t>(2)</w:t>
      </w:r>
      <w:r>
        <w:tab/>
        <w:t>The following steps are to be followed by an authorised drug tester when collecting oral fluid for testing under section 66D —</w:t>
      </w:r>
    </w:p>
    <w:p>
      <w:pPr>
        <w:pStyle w:val="Indenta"/>
      </w:pPr>
      <w:r>
        <w:tab/>
        <w:t>(a)</w:t>
      </w:r>
      <w:r>
        <w:tab/>
        <w:t xml:space="preserve">the authorised drug tester is to require the suspect — </w:t>
      </w:r>
    </w:p>
    <w:p>
      <w:pPr>
        <w:pStyle w:val="Indenti"/>
      </w:pPr>
      <w:r>
        <w:tab/>
        <w:t>(i)</w:t>
      </w:r>
      <w:r>
        <w:tab/>
        <w:t>to swab around the suspect’s gums, tongue and inside cheek; and</w:t>
      </w:r>
    </w:p>
    <w:p>
      <w:pPr>
        <w:pStyle w:val="Indenti"/>
      </w:pPr>
      <w:r>
        <w:tab/>
        <w:t>(ii)</w:t>
      </w:r>
      <w:r>
        <w:tab/>
        <w:t>to retain the swab in the suspect’s mouth until any indicator of sample adequacy shows that a sufficient sample has been collected;</w:t>
      </w:r>
    </w:p>
    <w:p>
      <w:pPr>
        <w:pStyle w:val="Indenta"/>
      </w:pPr>
      <w:r>
        <w:tab/>
        <w:t>(b)</w:t>
      </w:r>
      <w:r>
        <w:tab/>
        <w:t>the authorised drug tester is to remove the cap of the collection tube provided as a part of the testing device and place the collector swab in that tube, swab end first, then replace the cap;</w:t>
      </w:r>
    </w:p>
    <w:p>
      <w:pPr>
        <w:pStyle w:val="Indenta"/>
      </w:pPr>
      <w:r>
        <w:tab/>
        <w:t>(c)</w:t>
      </w:r>
      <w:r>
        <w:tab/>
        <w:t>the authorised drug tester is to mix the sampled oral fluid with the solution in the collector tube by moving the collector in a figure 8 motion on a flat horizontal surface for at least 30 seconds.</w:t>
      </w:r>
    </w:p>
    <w:p>
      <w:pPr>
        <w:pStyle w:val="Heading5"/>
        <w:rPr>
          <w:snapToGrid w:val="0"/>
        </w:rPr>
      </w:pPr>
      <w:bookmarkStart w:id="14" w:name="_Toc378863455"/>
      <w:bookmarkStart w:id="15" w:name="_Toc188957384"/>
      <w:r>
        <w:rPr>
          <w:rStyle w:val="CharSectno"/>
        </w:rPr>
        <w:t>7</w:t>
      </w:r>
      <w:r>
        <w:rPr>
          <w:snapToGrid w:val="0"/>
        </w:rPr>
        <w:t>.</w:t>
      </w:r>
      <w:r>
        <w:rPr>
          <w:snapToGrid w:val="0"/>
        </w:rPr>
        <w:tab/>
        <w:t>Conducting an oral fluid test (s. 66D(4))</w:t>
      </w:r>
      <w:bookmarkEnd w:id="14"/>
      <w:bookmarkEnd w:id="15"/>
    </w:p>
    <w:p>
      <w:pPr>
        <w:pStyle w:val="Subsection"/>
      </w:pPr>
      <w:r>
        <w:tab/>
        <w:t>(1)</w:t>
      </w:r>
      <w:r>
        <w:tab/>
        <w:t xml:space="preserve">The following steps are to be followed by an authorised drug tester when setting up for testing oral fluid collected under section 66D — </w:t>
      </w:r>
    </w:p>
    <w:p>
      <w:pPr>
        <w:pStyle w:val="Indenta"/>
      </w:pPr>
      <w:r>
        <w:tab/>
        <w:t>(a)</w:t>
      </w:r>
      <w:r>
        <w:tab/>
        <w:t>ensure the device is switched on;</w:t>
      </w:r>
    </w:p>
    <w:p>
      <w:pPr>
        <w:pStyle w:val="Indenta"/>
      </w:pPr>
      <w:r>
        <w:tab/>
        <w:t>(b)</w:t>
      </w:r>
      <w:r>
        <w:tab/>
        <w:t>check the date and time and conduct a system test;</w:t>
      </w:r>
    </w:p>
    <w:p>
      <w:pPr>
        <w:pStyle w:val="Indenta"/>
      </w:pPr>
      <w:r>
        <w:tab/>
        <w:t>(c)</w:t>
      </w:r>
      <w:r>
        <w:tab/>
        <w:t>carry out a quality control test;</w:t>
      </w:r>
    </w:p>
    <w:p>
      <w:pPr>
        <w:pStyle w:val="Indenta"/>
      </w:pPr>
      <w:r>
        <w:tab/>
        <w:t>(d)</w:t>
      </w:r>
      <w:r>
        <w:tab/>
        <w:t>confirm/select the drug cartridge type;</w:t>
      </w:r>
    </w:p>
    <w:p>
      <w:pPr>
        <w:pStyle w:val="Indenta"/>
      </w:pPr>
      <w:r>
        <w:tab/>
        <w:t>(e)</w:t>
      </w:r>
      <w:r>
        <w:tab/>
        <w:t>select the applied setting;</w:t>
      </w:r>
    </w:p>
    <w:p>
      <w:pPr>
        <w:pStyle w:val="Indenta"/>
      </w:pPr>
      <w:r>
        <w:tab/>
        <w:t>(f)</w:t>
      </w:r>
      <w:r>
        <w:tab/>
        <w:t>confirm the drug selection.</w:t>
      </w:r>
    </w:p>
    <w:p>
      <w:pPr>
        <w:pStyle w:val="Subsection"/>
      </w:pPr>
      <w:r>
        <w:tab/>
        <w:t>(2)</w:t>
      </w:r>
      <w:r>
        <w:tab/>
        <w:t xml:space="preserve">The following steps are to be followed by an authorised drug tester when testing oral fluid collected under section 66D — </w:t>
      </w:r>
    </w:p>
    <w:p>
      <w:pPr>
        <w:pStyle w:val="Indenta"/>
      </w:pPr>
      <w:r>
        <w:tab/>
        <w:t>(a)</w:t>
      </w:r>
      <w:r>
        <w:tab/>
        <w:t>remove the test cartridge from the package and place it on a flat horizontal surface;</w:t>
      </w:r>
    </w:p>
    <w:p>
      <w:pPr>
        <w:pStyle w:val="Indenta"/>
      </w:pPr>
      <w:r>
        <w:tab/>
        <w:t>(b)</w:t>
      </w:r>
      <w:r>
        <w:tab/>
        <w:t>remove the cap from the collector tube and, using a pipette, remove a sample of the fluid from the collection tube;</w:t>
      </w:r>
    </w:p>
    <w:p>
      <w:pPr>
        <w:pStyle w:val="Indenta"/>
      </w:pPr>
      <w:r>
        <w:tab/>
        <w:t>(c)</w:t>
      </w:r>
      <w:r>
        <w:tab/>
        <w:t>apply at least 6 drops of fluid into the sample well of the test cartridge and wait for the coloured fluid to appear on the test cartridge;</w:t>
      </w:r>
    </w:p>
    <w:p>
      <w:pPr>
        <w:pStyle w:val="Indenta"/>
      </w:pPr>
      <w:r>
        <w:tab/>
        <w:t>(d)</w:t>
      </w:r>
      <w:r>
        <w:tab/>
        <w:t>when prompted by the device, insert the test cartridge and wait for the progress indicator to show that the test cycle is complete;</w:t>
      </w:r>
    </w:p>
    <w:p>
      <w:pPr>
        <w:pStyle w:val="Indenta"/>
      </w:pPr>
      <w:r>
        <w:tab/>
        <w:t>(e)</w:t>
      </w:r>
      <w:r>
        <w:tab/>
        <w:t>observe the result of the test.</w:t>
      </w:r>
    </w:p>
    <w:p>
      <w:pPr>
        <w:pStyle w:val="Heading5"/>
      </w:pPr>
      <w:bookmarkStart w:id="16" w:name="_Toc378863456"/>
      <w:bookmarkStart w:id="17" w:name="_Toc188957385"/>
      <w:r>
        <w:rPr>
          <w:rStyle w:val="CharSectno"/>
        </w:rPr>
        <w:t>8</w:t>
      </w:r>
      <w:r>
        <w:t>.</w:t>
      </w:r>
      <w:r>
        <w:tab/>
        <w:t>Manufacturer’s instructions (s. 72(1a))</w:t>
      </w:r>
      <w:bookmarkEnd w:id="16"/>
      <w:bookmarkEnd w:id="17"/>
    </w:p>
    <w:p>
      <w:pPr>
        <w:pStyle w:val="Subsection"/>
      </w:pPr>
      <w:r>
        <w:tab/>
        <w:t>(1)</w:t>
      </w:r>
      <w:r>
        <w:tab/>
        <w:t>A member of the Police Force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regulations 6 and 7 do not appear to fully describe the steps required for that particular collection, testing or analysis device.</w:t>
      </w:r>
    </w:p>
    <w:p>
      <w:pPr>
        <w:pStyle w:val="Heading5"/>
        <w:rPr>
          <w:snapToGrid w:val="0"/>
        </w:rPr>
      </w:pPr>
      <w:bookmarkStart w:id="18" w:name="_Toc378863457"/>
      <w:bookmarkStart w:id="19" w:name="_Toc188957386"/>
      <w:r>
        <w:rPr>
          <w:rStyle w:val="CharSectno"/>
        </w:rPr>
        <w:t>9</w:t>
      </w:r>
      <w:r>
        <w:rPr>
          <w:snapToGrid w:val="0"/>
        </w:rPr>
        <w:t>.</w:t>
      </w:r>
      <w:r>
        <w:rPr>
          <w:snapToGrid w:val="0"/>
        </w:rPr>
        <w:tab/>
        <w:t>Blood sampling from incapable person (s. 66B(1))</w:t>
      </w:r>
      <w:bookmarkEnd w:id="18"/>
      <w:bookmarkEnd w:id="19"/>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0" w:name="_Toc378863458"/>
      <w:bookmarkStart w:id="21" w:name="_Toc188957387"/>
      <w:r>
        <w:rPr>
          <w:rStyle w:val="CharSectno"/>
        </w:rPr>
        <w:t>10</w:t>
      </w:r>
      <w:r>
        <w:rPr>
          <w:snapToGrid w:val="0"/>
        </w:rPr>
        <w:t>.</w:t>
      </w:r>
      <w:r>
        <w:rPr>
          <w:snapToGrid w:val="0"/>
        </w:rPr>
        <w:tab/>
        <w:t>Other prescribed certificates and forms (s. 70)</w:t>
      </w:r>
      <w:bookmarkEnd w:id="20"/>
      <w:bookmarkEnd w:id="21"/>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 w:name="_Toc378863459"/>
      <w:bookmarkStart w:id="23" w:name="_Toc188957388"/>
      <w:r>
        <w:rPr>
          <w:rStyle w:val="CharSchNo"/>
        </w:rPr>
        <w:t>Schedule 1</w:t>
      </w:r>
      <w:r>
        <w:rPr>
          <w:rStyle w:val="CharSDivNo"/>
        </w:rPr>
        <w:t> </w:t>
      </w:r>
      <w:r>
        <w:t>—</w:t>
      </w:r>
      <w:bookmarkStart w:id="24" w:name="AutoSch"/>
      <w:bookmarkEnd w:id="24"/>
      <w:r>
        <w:rPr>
          <w:rStyle w:val="CharSDivText"/>
        </w:rPr>
        <w:t> </w:t>
      </w:r>
      <w:r>
        <w:rPr>
          <w:rStyle w:val="CharSchText"/>
        </w:rPr>
        <w:t>Forms</w:t>
      </w:r>
      <w:bookmarkEnd w:id="22"/>
      <w:bookmarkEnd w:id="23"/>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ins w:id="25" w:author="Master Repository Process" w:date="2021-09-12T09:00:00Z">
        <w:r>
          <w:rPr>
            <w:iCs/>
            <w:snapToGrid w:val="0"/>
          </w:rPr>
          <w:t xml:space="preserve"> r. 10(1)</w:t>
        </w:r>
      </w:ins>
    </w:p>
    <w:p>
      <w:pPr>
        <w:pStyle w:val="yMiscellaneousBody"/>
        <w:spacing w:before="60"/>
        <w:jc w:val="center"/>
        <w:rPr>
          <w:iCs/>
          <w:snapToGrid w:val="0"/>
        </w:rPr>
      </w:pPr>
      <w:r>
        <w:rPr>
          <w:i/>
          <w:snapToGrid w:val="0"/>
        </w:rPr>
        <w:t>Road Traffic (Blood Sampling and Analysis) Regulations 1975</w:t>
      </w:r>
      <w:ins w:id="26" w:author="Master Repository Process" w:date="2021-09-12T09:00:00Z">
        <w:r>
          <w:rPr>
            <w:iCs/>
            <w:snapToGrid w:val="0"/>
          </w:rPr>
          <w:t xml:space="preserve"> </w:t>
        </w:r>
        <w:r>
          <w:t>r. 10(2)</w:t>
        </w:r>
      </w:ins>
    </w:p>
    <w:p>
      <w:pPr>
        <w:pStyle w:val="yMiscellaneousBody"/>
        <w:spacing w:before="60"/>
        <w:jc w:val="center"/>
        <w:rPr>
          <w:iCs/>
          <w:snapToGrid w:val="0"/>
        </w:rPr>
      </w:pPr>
      <w:r>
        <w:rPr>
          <w:i/>
          <w:snapToGrid w:val="0"/>
        </w:rPr>
        <w:t>Road Traffic (Urine Sampling and Analysis) Regulations 1983</w:t>
      </w:r>
      <w:ins w:id="27" w:author="Master Repository Process" w:date="2021-09-12T09:00:00Z">
        <w:r>
          <w:t xml:space="preserve"> r. 11(2)</w:t>
        </w:r>
      </w:ins>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del w:id="28" w:author="Master Repository Process" w:date="2021-09-12T09:00:00Z">
        <w:r>
          <w:rPr>
            <w:snapToGrid w:val="0"/>
          </w:rPr>
          <w:delText>(a)</w:delText>
        </w:r>
        <w:r>
          <w:rPr>
            <w:snapToGrid w:val="0"/>
          </w:rPr>
          <w:tab/>
          <w:delText>I</w:delText>
        </w:r>
      </w:del>
      <w:ins w:id="29" w:author="Master Repository Process" w:date="2021-09-12T09:00:00Z">
        <w:r>
          <w:rPr>
            <w:snapToGrid w:val="0"/>
          </w:rPr>
          <w:t>(a)</w:t>
        </w:r>
        <w:r>
          <w:rPr>
            <w:snapToGrid w:val="0"/>
          </w:rPr>
          <w:tab/>
        </w:r>
        <w:r>
          <w:t>The Chemistry Centre (WA), Perth</w:t>
        </w:r>
      </w:ins>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del w:id="30" w:author="Master Repository Process" w:date="2021-09-12T09:00:00Z">
        <w:r>
          <w:rPr>
            <w:snapToGrid w:val="0"/>
          </w:rPr>
          <w:delText>I analysed the</w:delText>
        </w:r>
      </w:del>
      <w:ins w:id="31" w:author="Master Repository Process" w:date="2021-09-12T09:00:00Z">
        <w:r>
          <w:t>The</w:t>
        </w:r>
      </w:ins>
      <w:r>
        <w:rPr>
          <w:snapToGrid w:val="0"/>
        </w:rPr>
        <w:t xml:space="preserve"> thing referred to in paragraph (a) of this certificate</w:t>
      </w:r>
      <w:r>
        <w:t xml:space="preserve"> </w:t>
      </w:r>
      <w:ins w:id="32" w:author="Master Repository Process" w:date="2021-09-12T09:00:00Z">
        <w:r>
          <w:t>was analysed by</w:t>
        </w:r>
        <w:r>
          <w:rPr>
            <w:snapToGrid w:val="0"/>
          </w:rPr>
          <w:t xml:space="preserve"> </w:t>
        </w:r>
      </w:ins>
      <w:r>
        <w:rPr>
          <w:snapToGrid w:val="0"/>
        </w:rPr>
        <w:t>by [</w:t>
      </w:r>
      <w:r>
        <w:rPr>
          <w:i/>
          <w:iCs/>
          <w:snapToGrid w:val="0"/>
          <w:sz w:val="20"/>
        </w:rPr>
        <w:t>insert details of method of analysis</w:t>
      </w:r>
      <w:r>
        <w:rPr>
          <w:snapToGrid w:val="0"/>
        </w:rPr>
        <w:t xml:space="preserve">] </w:t>
      </w:r>
      <w:del w:id="33" w:author="Master Repository Process" w:date="2021-09-12T09:00:00Z">
        <w:r>
          <w:rPr>
            <w:snapToGrid w:val="0"/>
          </w:rPr>
          <w:delText xml:space="preserve">with the following result </w:delText>
        </w:r>
      </w:del>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ins w:id="34" w:author="Master Repository Process" w:date="2021-09-12T09:00:00Z"/>
          <w:snapToGrid w:val="0"/>
        </w:rPr>
      </w:pPr>
      <w:r>
        <w:rPr>
          <w:snapToGrid w:val="0"/>
        </w:rPr>
        <w:t>(c)</w:t>
      </w:r>
      <w:r>
        <w:rPr>
          <w:snapToGrid w:val="0"/>
        </w:rPr>
        <w:tab/>
      </w:r>
      <w:del w:id="35" w:author="Master Repository Process" w:date="2021-09-12T09:00:00Z">
        <w:r>
          <w:rPr>
            <w:snapToGrid w:val="0"/>
          </w:rPr>
          <w:delText xml:space="preserve">the </w:delText>
        </w:r>
      </w:del>
      <w:ins w:id="36" w:author="Master Repository Process" w:date="2021-09-12T09:00:00Z">
        <w:r>
          <w:rPr>
            <w:snapToGrid w:val="0"/>
          </w:rPr>
          <w:t>The following is the result of the analysis:</w:t>
        </w:r>
      </w:ins>
    </w:p>
    <w:p>
      <w:pPr>
        <w:pStyle w:val="yMiscellaneousBody"/>
        <w:tabs>
          <w:tab w:val="left" w:pos="1134"/>
        </w:tabs>
        <w:spacing w:before="60"/>
        <w:ind w:left="1134" w:hanging="567"/>
        <w:rPr>
          <w:ins w:id="37" w:author="Master Repository Process" w:date="2021-09-12T09:00:00Z"/>
          <w:snapToGrid w:val="0"/>
        </w:rPr>
      </w:pPr>
      <w:ins w:id="38" w:author="Master Repository Process" w:date="2021-09-12T09:00:00Z">
        <w:r>
          <w:rPr>
            <w:snapToGrid w:val="0"/>
          </w:rPr>
          <w:tab/>
          <w:t>..................................................................................</w:t>
        </w:r>
      </w:ins>
    </w:p>
    <w:p>
      <w:pPr>
        <w:pStyle w:val="yMiscellaneousBody"/>
        <w:tabs>
          <w:tab w:val="left" w:pos="1134"/>
        </w:tabs>
        <w:spacing w:before="60"/>
        <w:ind w:left="1134" w:hanging="567"/>
        <w:rPr>
          <w:ins w:id="39" w:author="Master Repository Process" w:date="2021-09-12T09:00:00Z"/>
          <w:snapToGrid w:val="0"/>
        </w:rPr>
      </w:pPr>
      <w:ins w:id="40" w:author="Master Repository Process" w:date="2021-09-12T09:00:00Z">
        <w:r>
          <w:rPr>
            <w:snapToGrid w:val="0"/>
          </w:rPr>
          <w:tab/>
          <w:t>..................................................................................</w:t>
        </w:r>
      </w:ins>
    </w:p>
    <w:p>
      <w:pPr>
        <w:pStyle w:val="yMiscellaneousBody"/>
        <w:tabs>
          <w:tab w:val="left" w:pos="1134"/>
        </w:tabs>
        <w:spacing w:before="60"/>
        <w:ind w:left="1134" w:hanging="567"/>
        <w:rPr>
          <w:ins w:id="41" w:author="Master Repository Process" w:date="2021-09-12T09:00:00Z"/>
          <w:snapToGrid w:val="0"/>
        </w:rPr>
      </w:pPr>
      <w:ins w:id="42" w:author="Master Repository Process" w:date="2021-09-12T09:00:00Z">
        <w:r>
          <w:rPr>
            <w:snapToGrid w:val="0"/>
          </w:rPr>
          <w:tab/>
          <w:t>.................................................................................;</w:t>
        </w:r>
      </w:ins>
    </w:p>
    <w:p>
      <w:pPr>
        <w:pStyle w:val="yMiscellaneousBody"/>
        <w:tabs>
          <w:tab w:val="left" w:pos="1134"/>
        </w:tabs>
        <w:spacing w:before="60"/>
        <w:ind w:left="1134" w:hanging="567"/>
        <w:rPr>
          <w:ins w:id="43" w:author="Master Repository Process" w:date="2021-09-12T09:00:00Z"/>
          <w:snapToGrid w:val="0"/>
        </w:rPr>
      </w:pPr>
      <w:ins w:id="44" w:author="Master Repository Process" w:date="2021-09-12T09:00:00Z">
        <w:r>
          <w:rPr>
            <w:snapToGrid w:val="0"/>
          </w:rPr>
          <w:tab/>
          <w:t>and</w:t>
        </w:r>
      </w:ins>
    </w:p>
    <w:p>
      <w:pPr>
        <w:pStyle w:val="yMiscellaneousBody"/>
        <w:tabs>
          <w:tab w:val="left" w:pos="1134"/>
        </w:tabs>
        <w:spacing w:before="60"/>
        <w:ind w:left="1134" w:hanging="567"/>
        <w:rPr>
          <w:snapToGrid w:val="0"/>
        </w:rPr>
      </w:pPr>
      <w:ins w:id="45" w:author="Master Repository Process" w:date="2021-09-12T09:00:00Z">
        <w:r>
          <w:rPr>
            <w:snapToGrid w:val="0"/>
          </w:rPr>
          <w:t>(d)</w:t>
        </w:r>
        <w:r>
          <w:rPr>
            <w:snapToGrid w:val="0"/>
          </w:rPr>
          <w:tab/>
          <w:t xml:space="preserve">The </w:t>
        </w:r>
      </w:ins>
      <w:r>
        <w:rPr>
          <w:snapToGrid w:val="0"/>
        </w:rPr>
        <w:t xml:space="preserve">following other matters relating to </w:t>
      </w:r>
      <w:del w:id="46" w:author="Master Repository Process" w:date="2021-09-12T09:00:00Z">
        <w:r>
          <w:rPr>
            <w:snapToGrid w:val="0"/>
          </w:rPr>
          <w:delText>my</w:delText>
        </w:r>
      </w:del>
      <w:ins w:id="47" w:author="Master Repository Process" w:date="2021-09-12T09:00:00Z">
        <w:r>
          <w:rPr>
            <w:snapToGrid w:val="0"/>
          </w:rPr>
          <w:t>the</w:t>
        </w:r>
      </w:ins>
      <w:r>
        <w:rPr>
          <w:snapToGrid w:val="0"/>
        </w:rPr>
        <w:t xml:space="preserve"> analysis should be noted</w:t>
      </w:r>
      <w:del w:id="48" w:author="Master Repository Process" w:date="2021-09-12T09:00:00Z">
        <w:r>
          <w:rPr>
            <w:snapToGrid w:val="0"/>
          </w:rPr>
          <w:delText xml:space="preserve"> ..........................................................................................……</w:delText>
        </w:r>
      </w:del>
      <w:ins w:id="49" w:author="Master Repository Process" w:date="2021-09-12T09:00:00Z">
        <w:r>
          <w:rPr>
            <w:snapToGrid w:val="0"/>
          </w:rPr>
          <w:t>:</w:t>
        </w:r>
      </w:ins>
    </w:p>
    <w:p>
      <w:pPr>
        <w:pStyle w:val="yMiscellaneousBody"/>
        <w:tabs>
          <w:tab w:val="left" w:pos="1134"/>
        </w:tabs>
        <w:spacing w:before="60"/>
        <w:ind w:left="1134" w:hanging="567"/>
        <w:rPr>
          <w:del w:id="50" w:author="Master Repository Process" w:date="2021-09-12T09:00:00Z"/>
          <w:snapToGrid w:val="0"/>
        </w:rPr>
      </w:pPr>
      <w:del w:id="51" w:author="Master Repository Process" w:date="2021-09-12T09:00:00Z">
        <w:r>
          <w:rPr>
            <w:snapToGrid w:val="0"/>
          </w:rPr>
          <w:tab/>
          <w:delText>......................................................................................................</w:delText>
        </w:r>
      </w:del>
    </w:p>
    <w:p>
      <w:pPr>
        <w:pStyle w:val="yMiscellaneousBody"/>
        <w:tabs>
          <w:tab w:val="left" w:pos="1134"/>
        </w:tabs>
        <w:spacing w:before="60"/>
        <w:ind w:left="1134" w:hanging="567"/>
        <w:rPr>
          <w:ins w:id="52" w:author="Master Repository Process" w:date="2021-09-12T09:00:00Z"/>
          <w:snapToGrid w:val="0"/>
        </w:rPr>
      </w:pPr>
      <w:ins w:id="53" w:author="Master Repository Process" w:date="2021-09-12T09:00:00Z">
        <w:r>
          <w:rPr>
            <w:snapToGrid w:val="0"/>
          </w:rPr>
          <w:tab/>
          <w:t>..................................................................................</w:t>
        </w:r>
      </w:ins>
    </w:p>
    <w:p>
      <w:pPr>
        <w:pStyle w:val="yMiscellaneousBody"/>
        <w:tabs>
          <w:tab w:val="left" w:pos="1134"/>
        </w:tabs>
        <w:spacing w:before="60"/>
        <w:ind w:left="1134" w:hanging="567"/>
        <w:rPr>
          <w:ins w:id="54" w:author="Master Repository Process" w:date="2021-09-12T09:00:00Z"/>
          <w:snapToGrid w:val="0"/>
        </w:rPr>
      </w:pPr>
      <w:ins w:id="55" w:author="Master Repository Process" w:date="2021-09-12T09:00:00Z">
        <w:r>
          <w:rPr>
            <w:snapToGrid w:val="0"/>
          </w:rPr>
          <w:tab/>
          <w:t>..................................................................................</w:t>
        </w:r>
      </w:ins>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rPr>
          <w:ins w:id="56" w:author="Master Repository Process" w:date="2021-09-12T09:00:00Z"/>
        </w:rPr>
      </w:pPr>
      <w:ins w:id="57" w:author="Master Repository Process" w:date="2021-09-12T09:00:00Z">
        <w:r>
          <w:tab/>
          <w:t>[Form 1 amended in Gazette 9 Oct 2009 p. 3998-9.]</w:t>
        </w:r>
      </w:ins>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58" w:name="_Toc378863460"/>
      <w:bookmarkStart w:id="59" w:name="_Toc188957389"/>
      <w:r>
        <w:t>Notes</w:t>
      </w:r>
      <w:bookmarkEnd w:id="58"/>
      <w:bookmarkEnd w:id="59"/>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p>
    <w:p>
      <w:pPr>
        <w:pStyle w:val="nHeading3"/>
      </w:pPr>
      <w:bookmarkStart w:id="60" w:name="_Toc378863461"/>
      <w:bookmarkStart w:id="61" w:name="_Toc188957390"/>
      <w:r>
        <w:t>Compilation table</w:t>
      </w:r>
      <w:bookmarkEnd w:id="60"/>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Road Traffic (Drug Driving) Regulations 2007</w:t>
            </w:r>
          </w:p>
        </w:tc>
        <w:tc>
          <w:tcPr>
            <w:tcW w:w="1276" w:type="dxa"/>
            <w:tcBorders>
              <w:bottom w:val="nil"/>
            </w:tcBorders>
          </w:tcPr>
          <w:p>
            <w:pPr>
              <w:pStyle w:val="nTable"/>
              <w:spacing w:after="40"/>
              <w:rPr>
                <w:sz w:val="19"/>
              </w:rPr>
            </w:pPr>
            <w:r>
              <w:rPr>
                <w:sz w:val="19"/>
              </w:rPr>
              <w:t>11 Oct 2007 p. 5483-500</w:t>
            </w:r>
          </w:p>
        </w:tc>
        <w:tc>
          <w:tcPr>
            <w:tcW w:w="2693" w:type="dxa"/>
            <w:tcBorders>
              <w:bottom w:val="nil"/>
            </w:tcBorders>
          </w:tcPr>
          <w:p>
            <w:pPr>
              <w:pStyle w:val="nTable"/>
              <w:spacing w:after="40"/>
              <w:rPr>
                <w:del w:id="62" w:author="Master Repository Process" w:date="2021-09-12T09:00:00Z"/>
                <w:sz w:val="19"/>
              </w:rPr>
            </w:pPr>
            <w:r>
              <w:rPr>
                <w:sz w:val="19"/>
              </w:rPr>
              <w:t>r. 1 and 2: 11 Oct 2007 (see r. 2(a));</w:t>
            </w:r>
          </w:p>
          <w:p>
            <w:pPr>
              <w:pStyle w:val="nTable"/>
              <w:spacing w:after="40"/>
              <w:rPr>
                <w:sz w:val="19"/>
              </w:rPr>
            </w:pPr>
            <w:ins w:id="63" w:author="Master Repository Process" w:date="2021-09-12T09:00:00Z">
              <w:r>
                <w:rPr>
                  <w:sz w:val="19"/>
                </w:rPr>
                <w:br/>
              </w:r>
            </w:ins>
            <w:r>
              <w:rPr>
                <w:sz w:val="19"/>
              </w:rPr>
              <w:t xml:space="preserve">Regulations other than r. 1 and 2: 12 Oct 2007 (see r. 2(b) and </w:t>
            </w:r>
            <w:r>
              <w:rPr>
                <w:i/>
                <w:iCs/>
                <w:sz w:val="19"/>
              </w:rPr>
              <w:t>Gazette</w:t>
            </w:r>
            <w:r>
              <w:rPr>
                <w:sz w:val="19"/>
              </w:rPr>
              <w:t xml:space="preserve"> 11 Oct 2007 p. 5475)</w:t>
            </w:r>
          </w:p>
        </w:tc>
      </w:tr>
      <w:tr>
        <w:tc>
          <w:tcPr>
            <w:tcW w:w="3118" w:type="dxa"/>
            <w:tcBorders>
              <w:top w:val="nil"/>
              <w:bottom w:val="nil"/>
            </w:tcBorders>
          </w:tcPr>
          <w:p>
            <w:pPr>
              <w:pStyle w:val="nTable"/>
              <w:spacing w:after="40"/>
              <w:rPr>
                <w:i/>
                <w:sz w:val="19"/>
              </w:rPr>
            </w:pPr>
            <w:r>
              <w:rPr>
                <w:i/>
                <w:sz w:val="19"/>
              </w:rPr>
              <w:t>Road Traffic (Drug Driving) Amendment Regulations 2008</w:t>
            </w:r>
          </w:p>
        </w:tc>
        <w:tc>
          <w:tcPr>
            <w:tcW w:w="1276" w:type="dxa"/>
            <w:tcBorders>
              <w:top w:val="nil"/>
              <w:bottom w:val="nil"/>
            </w:tcBorders>
          </w:tcPr>
          <w:p>
            <w:pPr>
              <w:pStyle w:val="nTable"/>
              <w:spacing w:after="40"/>
              <w:rPr>
                <w:sz w:val="19"/>
              </w:rPr>
            </w:pPr>
            <w:r>
              <w:rPr>
                <w:sz w:val="19"/>
              </w:rPr>
              <w:t>25 Jan 2008 p. 216</w:t>
            </w:r>
            <w:r>
              <w:rPr>
                <w:sz w:val="19"/>
              </w:rPr>
              <w:noBreakHyphen/>
              <w:t>17</w:t>
            </w:r>
          </w:p>
        </w:tc>
        <w:tc>
          <w:tcPr>
            <w:tcW w:w="2693" w:type="dxa"/>
            <w:tcBorders>
              <w:top w:val="nil"/>
              <w:bottom w:val="nil"/>
            </w:tcBorders>
          </w:tcPr>
          <w:p>
            <w:pPr>
              <w:pStyle w:val="nTable"/>
              <w:spacing w:after="40"/>
              <w:rPr>
                <w:sz w:val="19"/>
              </w:rPr>
            </w:pPr>
            <w:r>
              <w:rPr>
                <w:snapToGrid w:val="0"/>
                <w:sz w:val="19"/>
              </w:rPr>
              <w:t>r. 1 and 2: 25 Jan 2008 (see </w:t>
            </w:r>
            <w:bookmarkStart w:id="64" w:name="UpToHere"/>
            <w:bookmarkEnd w:id="64"/>
            <w:r>
              <w:rPr>
                <w:snapToGrid w:val="0"/>
                <w:sz w:val="19"/>
              </w:rPr>
              <w:t>r. 2(a));</w:t>
            </w:r>
            <w:r>
              <w:rPr>
                <w:snapToGrid w:val="0"/>
                <w:sz w:val="19"/>
              </w:rPr>
              <w:br/>
              <w:t>Regulations other than r. 1 and 2: 26 Jan 2008 (see r. 2(b))</w:t>
            </w:r>
          </w:p>
        </w:tc>
      </w:tr>
    </w:tbl>
    <w:p>
      <w:pPr>
        <w:rPr>
          <w:del w:id="65" w:author="Master Repository Process" w:date="2021-09-12T09:00: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66" w:author="Master Repository Process" w:date="2021-09-12T09:00:00Z"/>
        </w:trPr>
        <w:tc>
          <w:tcPr>
            <w:tcW w:w="3118" w:type="dxa"/>
            <w:tcBorders>
              <w:top w:val="nil"/>
              <w:bottom w:val="single" w:sz="4" w:space="0" w:color="auto"/>
            </w:tcBorders>
          </w:tcPr>
          <w:p>
            <w:pPr>
              <w:pStyle w:val="nTable"/>
              <w:spacing w:after="40"/>
              <w:rPr>
                <w:ins w:id="67" w:author="Master Repository Process" w:date="2021-09-12T09:00:00Z"/>
                <w:i/>
                <w:sz w:val="19"/>
              </w:rPr>
            </w:pPr>
            <w:ins w:id="68" w:author="Master Repository Process" w:date="2021-09-12T09:00:00Z">
              <w:r>
                <w:rPr>
                  <w:i/>
                  <w:sz w:val="19"/>
                </w:rPr>
                <w:t>Road Traffic (Drug Driving) Amendment Regulations 2009</w:t>
              </w:r>
            </w:ins>
          </w:p>
        </w:tc>
        <w:tc>
          <w:tcPr>
            <w:tcW w:w="1276" w:type="dxa"/>
            <w:tcBorders>
              <w:top w:val="nil"/>
              <w:bottom w:val="single" w:sz="4" w:space="0" w:color="auto"/>
            </w:tcBorders>
          </w:tcPr>
          <w:p>
            <w:pPr>
              <w:pStyle w:val="nTable"/>
              <w:spacing w:after="40"/>
              <w:rPr>
                <w:ins w:id="69" w:author="Master Repository Process" w:date="2021-09-12T09:00:00Z"/>
                <w:sz w:val="19"/>
              </w:rPr>
            </w:pPr>
            <w:ins w:id="70" w:author="Master Repository Process" w:date="2021-09-12T09:00:00Z">
              <w:r>
                <w:rPr>
                  <w:sz w:val="19"/>
                </w:rPr>
                <w:t>9 Oct 2009 p. 3998-9</w:t>
              </w:r>
            </w:ins>
          </w:p>
        </w:tc>
        <w:tc>
          <w:tcPr>
            <w:tcW w:w="2693" w:type="dxa"/>
            <w:tcBorders>
              <w:top w:val="nil"/>
              <w:bottom w:val="single" w:sz="4" w:space="0" w:color="auto"/>
            </w:tcBorders>
          </w:tcPr>
          <w:p>
            <w:pPr>
              <w:pStyle w:val="nTable"/>
              <w:spacing w:after="40"/>
              <w:rPr>
                <w:ins w:id="71" w:author="Master Repository Process" w:date="2021-09-12T09:00:00Z"/>
                <w:snapToGrid w:val="0"/>
                <w:sz w:val="19"/>
              </w:rPr>
            </w:pPr>
            <w:ins w:id="72" w:author="Master Repository Process" w:date="2021-09-12T09:00:00Z">
              <w:r>
                <w:rPr>
                  <w:snapToGrid w:val="0"/>
                  <w:sz w:val="19"/>
                </w:rPr>
                <w:t>r. 1 &amp; 2: 9 Oct 2009 (see r. 2(a));</w:t>
              </w:r>
              <w:r>
                <w:rPr>
                  <w:snapToGrid w:val="0"/>
                  <w:sz w:val="19"/>
                </w:rPr>
                <w:br/>
                <w:t>Regulations other than r. 1 &amp; 2: 10 Oct 2009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(Drug Driving)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(Drug Driving)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(Drug Driving)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014333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349096-0159-4F86-923B-BCDB1CA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2476</Words>
  <Characters>17092</Characters>
  <Application>Microsoft Office Word</Application>
  <DocSecurity>0</DocSecurity>
  <Lines>657</Lines>
  <Paragraphs>416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00-b0-05 - 00-c0-02</dc:title>
  <dc:subject/>
  <dc:creator/>
  <cp:keywords/>
  <dc:description/>
  <cp:lastModifiedBy>Master Repository Process</cp:lastModifiedBy>
  <cp:revision>2</cp:revision>
  <cp:lastPrinted>2007-09-21T08:02:00Z</cp:lastPrinted>
  <dcterms:created xsi:type="dcterms:W3CDTF">2021-09-12T01:00:00Z</dcterms:created>
  <dcterms:modified xsi:type="dcterms:W3CDTF">2021-09-12T01:00:00Z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CommencementDate">
    <vt:lpwstr>20091010</vt:lpwstr>
  </property>
  <property fmtid="{D5CDD505-2E9C-101B-9397-08002B2CF9AE}" pid="4" name="DocumentType">
    <vt:lpwstr>Reg</vt:lpwstr>
  </property>
  <property fmtid="{D5CDD505-2E9C-101B-9397-08002B2CF9AE}" pid="5" name="OwlsUID">
    <vt:i4>39889</vt:i4>
  </property>
  <property fmtid="{D5CDD505-2E9C-101B-9397-08002B2CF9AE}" pid="6" name="FromSuffix">
    <vt:lpwstr>00-b0-05</vt:lpwstr>
  </property>
  <property fmtid="{D5CDD505-2E9C-101B-9397-08002B2CF9AE}" pid="7" name="FromAsAtDate">
    <vt:lpwstr>26 Jan 2008</vt:lpwstr>
  </property>
  <property fmtid="{D5CDD505-2E9C-101B-9397-08002B2CF9AE}" pid="8" name="ToSuffix">
    <vt:lpwstr>00-c0-02</vt:lpwstr>
  </property>
  <property fmtid="{D5CDD505-2E9C-101B-9397-08002B2CF9AE}" pid="9" name="ToAsAtDate">
    <vt:lpwstr>10 Oct 2009</vt:lpwstr>
  </property>
</Properties>
</file>