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Jul 2009</w:t>
      </w:r>
      <w:r>
        <w:fldChar w:fldCharType="end"/>
      </w:r>
      <w:r>
        <w:t xml:space="preserve">, </w:t>
      </w:r>
      <w:r>
        <w:fldChar w:fldCharType="begin"/>
      </w:r>
      <w:r>
        <w:instrText xml:space="preserve"> DocProperty FromSuffix </w:instrText>
      </w:r>
      <w:r>
        <w:fldChar w:fldCharType="separate"/>
      </w:r>
      <w:r>
        <w:t>06-f0-01</w:t>
      </w:r>
      <w:r>
        <w:fldChar w:fldCharType="end"/>
      </w:r>
      <w:r>
        <w:t>] and [</w:t>
      </w:r>
      <w:r>
        <w:fldChar w:fldCharType="begin"/>
      </w:r>
      <w:r>
        <w:instrText xml:space="preserve"> DocProperty ToAsAtDate</w:instrText>
      </w:r>
      <w:r>
        <w:fldChar w:fldCharType="separate"/>
      </w:r>
      <w:r>
        <w:t>09 Dec 2009</w:t>
      </w:r>
      <w:r>
        <w:fldChar w:fldCharType="end"/>
      </w:r>
      <w:r>
        <w:t xml:space="preserve">, </w:t>
      </w:r>
      <w:r>
        <w:fldChar w:fldCharType="begin"/>
      </w:r>
      <w:r>
        <w:instrText xml:space="preserve"> DocProperty ToSuffix</w:instrText>
      </w:r>
      <w:r>
        <w:fldChar w:fldCharType="separate"/>
      </w:r>
      <w:r>
        <w:t>06-g0-01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0" w:name="_Toc248051163"/>
      <w:bookmarkStart w:id="1" w:name="_Toc236467555"/>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3" w:name="_Toc248051164"/>
      <w:bookmarkStart w:id="4" w:name="_Toc236467556"/>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5" w:name="_Toc248051165"/>
      <w:bookmarkStart w:id="6" w:name="_Toc236467557"/>
      <w:r>
        <w:rPr>
          <w:rStyle w:val="CharSectno"/>
        </w:rPr>
        <w:t>3</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r>
      <w:r>
        <w:rPr>
          <w:snapToGrid w:val="0"/>
        </w:rPr>
        <w:tab/>
        <w:t>These regulations apply to and in relation to every public hospital to which the Act applies except for the Perth Dental Hospital.</w:t>
      </w:r>
    </w:p>
    <w:p>
      <w:pPr>
        <w:pStyle w:val="Heading5"/>
        <w:rPr>
          <w:snapToGrid w:val="0"/>
        </w:rPr>
      </w:pPr>
      <w:bookmarkStart w:id="7" w:name="_Toc248051166"/>
      <w:bookmarkStart w:id="8" w:name="_Toc236467558"/>
      <w:r>
        <w:rPr>
          <w:rStyle w:val="CharSectno"/>
        </w:rPr>
        <w:t>4</w:t>
      </w:r>
      <w:r>
        <w:rPr>
          <w:snapToGrid w:val="0"/>
        </w:rPr>
        <w:t>.</w:t>
      </w:r>
      <w:r>
        <w:rPr>
          <w:snapToGrid w:val="0"/>
        </w:rPr>
        <w:tab/>
        <w:t>Terms used in these regulations</w:t>
      </w:r>
      <w:bookmarkEnd w:id="7"/>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pPr>
      <w:r>
        <w:rPr>
          <w:b/>
        </w:rPr>
        <w:tab/>
      </w:r>
      <w:r>
        <w:rPr>
          <w:rStyle w:val="CharDefText"/>
        </w:rPr>
        <w:t>ineligible out</w:t>
      </w:r>
      <w:r>
        <w:rPr>
          <w:rStyle w:val="CharDefText"/>
        </w:rPr>
        <w:noBreakHyphen/>
        <w:t>patient</w:t>
      </w:r>
      <w:r>
        <w:t xml:space="preserve"> has the meaning given by regulation 9(c);</w:t>
      </w:r>
    </w:p>
    <w:p>
      <w:pPr>
        <w:pStyle w:val="Defstart"/>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pPr>
      <w:r>
        <w:rPr>
          <w:b/>
        </w:rPr>
        <w:tab/>
      </w:r>
      <w:r>
        <w:rPr>
          <w:rStyle w:val="CharDefText"/>
        </w:rPr>
        <w:t>nursing home type patient</w:t>
      </w:r>
      <w:r>
        <w:t xml:space="preserve"> has the meaning given by regulation 7(1)(d);</w:t>
      </w:r>
    </w:p>
    <w:p>
      <w:pPr>
        <w:pStyle w:val="Defstart"/>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r>
      <w:r>
        <w:rPr>
          <w:rStyle w:val="CharDefText"/>
        </w:rPr>
        <w:t>out</w:t>
      </w:r>
      <w:r>
        <w:rPr>
          <w:rStyle w:val="CharDefText"/>
        </w:rPr>
        <w:noBreakHyphen/>
        <w:t>patient</w:t>
      </w:r>
      <w:r>
        <w:t xml:space="preserve"> has the meaning given by regulation 6(c);</w:t>
      </w:r>
    </w:p>
    <w:p>
      <w:pPr>
        <w:pStyle w:val="Defstart"/>
      </w:pPr>
      <w:r>
        <w:rPr>
          <w:b/>
        </w:rPr>
        <w:tab/>
      </w:r>
      <w:r>
        <w:rPr>
          <w:rStyle w:val="CharDefText"/>
        </w:rPr>
        <w:t>participating hospital</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9(e);</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rPr>
          <w:b/>
        </w:rPr>
        <w:tab/>
      </w:r>
      <w:r>
        <w:rPr>
          <w:rStyle w:val="CharDefText"/>
        </w:rPr>
        <w:t>professional service</w:t>
      </w:r>
      <w:r>
        <w:t xml:space="preserve"> means service referred to in paragraph (a), (b) or (ba) of the definition of “professional service”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w:t>
      </w:r>
      <w:r>
        <w:rPr>
          <w:spacing w:val="-4"/>
        </w:rPr>
        <w:t>National Health</w:t>
      </w:r>
      <w:r>
        <w:t xml:space="preserve"> </w:t>
      </w:r>
      <w:r>
        <w:rPr>
          <w:rFonts w:ascii="Times" w:hAnsi="Times"/>
          <w:spacing w:val="-4"/>
        </w:rPr>
        <w:t>Act;</w:t>
      </w:r>
    </w:p>
    <w:p>
      <w:pPr>
        <w:pStyle w:val="Defstart"/>
      </w:pPr>
      <w:r>
        <w:rPr>
          <w:b/>
        </w:rPr>
        <w:tab/>
      </w:r>
      <w:r>
        <w:rPr>
          <w:rStyle w:val="CharDefText"/>
        </w:rPr>
        <w:t>the National Health Act</w:t>
      </w:r>
      <w:r>
        <w:t xml:space="preserve"> means the </w:t>
      </w:r>
      <w:r>
        <w:rPr>
          <w:i/>
        </w:rPr>
        <w:t>National Health Act 1953</w:t>
      </w:r>
      <w:r>
        <w:t>, as amended from time to time, of the Parliament of the Commonwealth;</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ind w:left="890" w:hanging="890"/>
      </w:pPr>
      <w:r>
        <w:t>[</w:t>
      </w:r>
      <w:r>
        <w:rPr>
          <w:b/>
        </w:rPr>
        <w:t>4A.</w:t>
      </w:r>
      <w:r>
        <w:tab/>
        <w:t>Deleted in Gazette 31 Mar 1995 p. 1156.]</w:t>
      </w:r>
    </w:p>
    <w:p>
      <w:pPr>
        <w:pStyle w:val="Heading5"/>
        <w:rPr>
          <w:snapToGrid w:val="0"/>
        </w:rPr>
      </w:pPr>
      <w:bookmarkStart w:id="9" w:name="_Toc248051167"/>
      <w:bookmarkStart w:id="10" w:name="_Toc236467559"/>
      <w:r>
        <w:rPr>
          <w:rStyle w:val="CharSectno"/>
        </w:rPr>
        <w:t>5</w:t>
      </w:r>
      <w:r>
        <w:rPr>
          <w:snapToGrid w:val="0"/>
        </w:rPr>
        <w:t>.</w:t>
      </w:r>
      <w:r>
        <w:rPr>
          <w:snapToGrid w:val="0"/>
        </w:rPr>
        <w:tab/>
        <w:t>Charges for services</w:t>
      </w:r>
      <w:bookmarkEnd w:id="9"/>
      <w:bookmarkEnd w:id="10"/>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in-patient;</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pPr>
      <w:r>
        <w:tab/>
        <w:t>(via)</w:t>
      </w:r>
      <w:r>
        <w:tab/>
        <w:t>a private same day patient;</w:t>
      </w:r>
    </w:p>
    <w:p>
      <w:pPr>
        <w:pStyle w:val="Indenti"/>
        <w:keepNext/>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28 Jul 2009 p. 2980-1.] </w:t>
      </w:r>
    </w:p>
    <w:p>
      <w:pPr>
        <w:pStyle w:val="Heading5"/>
        <w:rPr>
          <w:snapToGrid w:val="0"/>
        </w:rPr>
      </w:pPr>
      <w:bookmarkStart w:id="11" w:name="_Toc248051168"/>
      <w:bookmarkStart w:id="12" w:name="_Toc236467560"/>
      <w:r>
        <w:rPr>
          <w:rStyle w:val="CharSectno"/>
        </w:rPr>
        <w:t>6</w:t>
      </w:r>
      <w:r>
        <w:rPr>
          <w:snapToGrid w:val="0"/>
        </w:rPr>
        <w:t>.</w:t>
      </w:r>
      <w:r>
        <w:rPr>
          <w:snapToGrid w:val="0"/>
        </w:rPr>
        <w:tab/>
        <w:t>Classes of patients for purpose of services</w:t>
      </w:r>
      <w:bookmarkEnd w:id="11"/>
      <w:bookmarkEnd w:id="12"/>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13" w:name="_Toc248051169"/>
      <w:bookmarkStart w:id="14" w:name="_Toc236467561"/>
      <w:r>
        <w:rPr>
          <w:rStyle w:val="CharSectno"/>
        </w:rPr>
        <w:t>7</w:t>
      </w:r>
      <w:r>
        <w:rPr>
          <w:snapToGrid w:val="0"/>
        </w:rPr>
        <w:t>.</w:t>
      </w:r>
      <w:r>
        <w:rPr>
          <w:snapToGrid w:val="0"/>
        </w:rPr>
        <w:tab/>
        <w:t>Classes of in</w:t>
      </w:r>
      <w:r>
        <w:rPr>
          <w:snapToGrid w:val="0"/>
        </w:rPr>
        <w:noBreakHyphen/>
        <w:t>patients for purpose of payment of charges</w:t>
      </w:r>
      <w:bookmarkEnd w:id="13"/>
      <w:bookmarkEnd w:id="14"/>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15" w:name="_Toc248051170"/>
      <w:bookmarkStart w:id="16" w:name="_Toc236467562"/>
      <w:r>
        <w:rPr>
          <w:rStyle w:val="CharSectno"/>
        </w:rPr>
        <w:t>8</w:t>
      </w:r>
      <w:r>
        <w:rPr>
          <w:snapToGrid w:val="0"/>
        </w:rPr>
        <w:t>.</w:t>
      </w:r>
      <w:r>
        <w:rPr>
          <w:snapToGrid w:val="0"/>
        </w:rPr>
        <w:tab/>
        <w:t>Classes of day patients for purpose of payment of charges</w:t>
      </w:r>
      <w:bookmarkEnd w:id="15"/>
      <w:bookmarkEnd w:id="16"/>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17" w:name="_Toc248051171"/>
      <w:bookmarkStart w:id="18" w:name="_Toc236467563"/>
      <w:r>
        <w:rPr>
          <w:rStyle w:val="CharSectno"/>
        </w:rPr>
        <w:t>9</w:t>
      </w:r>
      <w:r>
        <w:rPr>
          <w:snapToGrid w:val="0"/>
        </w:rPr>
        <w:t>.</w:t>
      </w:r>
      <w:r>
        <w:rPr>
          <w:snapToGrid w:val="0"/>
        </w:rPr>
        <w:tab/>
        <w:t>Classes of out</w:t>
      </w:r>
      <w:r>
        <w:rPr>
          <w:snapToGrid w:val="0"/>
        </w:rPr>
        <w:noBreakHyphen/>
        <w:t>patients for purpose of payment of charges</w:t>
      </w:r>
      <w:bookmarkEnd w:id="17"/>
      <w:bookmarkEnd w:id="18"/>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9" w:name="_Toc248051172"/>
      <w:bookmarkStart w:id="20" w:name="_Toc236467564"/>
      <w:r>
        <w:rPr>
          <w:rStyle w:val="CharSectno"/>
        </w:rPr>
        <w:t>9A</w:t>
      </w:r>
      <w:r>
        <w:rPr>
          <w:snapToGrid w:val="0"/>
        </w:rPr>
        <w:t>.</w:t>
      </w:r>
      <w:r>
        <w:rPr>
          <w:snapToGrid w:val="0"/>
        </w:rPr>
        <w:tab/>
        <w:t>Classes of same day patients for purpose of payment of charges</w:t>
      </w:r>
      <w:bookmarkEnd w:id="19"/>
      <w:bookmarkEnd w:id="2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1" w:name="_Toc188956809"/>
      <w:bookmarkStart w:id="22" w:name="_Toc200875644"/>
      <w:bookmarkStart w:id="23" w:name="_Toc200939194"/>
      <w:bookmarkStart w:id="24" w:name="_Toc202335454"/>
      <w:bookmarkStart w:id="25" w:name="_Toc205108095"/>
      <w:bookmarkStart w:id="26" w:name="_Toc205110486"/>
      <w:bookmarkStart w:id="27" w:name="_Toc205110683"/>
      <w:bookmarkStart w:id="28" w:name="_Toc206836560"/>
      <w:bookmarkStart w:id="29" w:name="_Toc206907585"/>
      <w:bookmarkStart w:id="30" w:name="_Toc209497817"/>
      <w:bookmarkStart w:id="31" w:name="_Toc222022271"/>
      <w:bookmarkStart w:id="32" w:name="_Toc228869043"/>
      <w:bookmarkStart w:id="33" w:name="_Toc233699718"/>
      <w:bookmarkStart w:id="34" w:name="_Toc233699749"/>
      <w:bookmarkStart w:id="35" w:name="_Toc236467565"/>
      <w:bookmarkStart w:id="36" w:name="_Toc248050939"/>
      <w:bookmarkStart w:id="37" w:name="_Toc248051173"/>
      <w:r>
        <w:rPr>
          <w:rStyle w:val="CharSchNo"/>
        </w:rPr>
        <w:t>Schedule 1</w:t>
      </w:r>
      <w:r>
        <w:t> — </w:t>
      </w:r>
      <w:r>
        <w:rPr>
          <w:rStyle w:val="CharSchText"/>
        </w:rPr>
        <w:t>Charges for services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yShoulderClause"/>
      </w:pPr>
      <w:r>
        <w:t xml:space="preserve"> [r. 5, 7, 8, 9 and 9A]</w:t>
      </w:r>
    </w:p>
    <w:p>
      <w:pPr>
        <w:pStyle w:val="yFootnotesection"/>
        <w:spacing w:after="120"/>
      </w:pPr>
      <w:r>
        <w:tab/>
        <w:t>[Heading inserted in Gazette 29 Jun 2004 p. 2526.]</w:t>
      </w:r>
    </w:p>
    <w:p>
      <w:pPr>
        <w:pStyle w:val="yHeading3"/>
      </w:pPr>
      <w:bookmarkStart w:id="38" w:name="_Toc188956810"/>
      <w:bookmarkStart w:id="39" w:name="_Toc200875645"/>
      <w:bookmarkStart w:id="40" w:name="_Toc200939195"/>
      <w:bookmarkStart w:id="41" w:name="_Toc202335455"/>
      <w:bookmarkStart w:id="42" w:name="_Toc205108096"/>
      <w:bookmarkStart w:id="43" w:name="_Toc205110487"/>
      <w:bookmarkStart w:id="44" w:name="_Toc205110684"/>
      <w:bookmarkStart w:id="45" w:name="_Toc206836561"/>
      <w:bookmarkStart w:id="46" w:name="_Toc206907586"/>
      <w:bookmarkStart w:id="47" w:name="_Toc209497818"/>
      <w:bookmarkStart w:id="48" w:name="_Toc222022272"/>
      <w:bookmarkStart w:id="49" w:name="_Toc228869044"/>
      <w:bookmarkStart w:id="50" w:name="_Toc233699719"/>
      <w:bookmarkStart w:id="51" w:name="_Toc233699750"/>
      <w:bookmarkStart w:id="52" w:name="_Toc236467566"/>
      <w:bookmarkStart w:id="53" w:name="_Toc248050940"/>
      <w:bookmarkStart w:id="54" w:name="_Toc248051174"/>
      <w:r>
        <w:rPr>
          <w:rStyle w:val="CharSDivNo"/>
        </w:rPr>
        <w:t>Division 1</w:t>
      </w:r>
      <w:r>
        <w:t> — </w:t>
      </w:r>
      <w:r>
        <w:rPr>
          <w:rStyle w:val="CharSDivText"/>
        </w:rPr>
        <w:t>In</w:t>
      </w:r>
      <w:r>
        <w:rPr>
          <w:rStyle w:val="CharSDivText"/>
        </w:rPr>
        <w:noBreakHyphen/>
        <w:t>patients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pPr>
            <w:r>
              <w:t>1.</w:t>
            </w:r>
          </w:p>
        </w:tc>
        <w:tc>
          <w:tcPr>
            <w:tcW w:w="4850" w:type="dxa"/>
          </w:tcPr>
          <w:p>
            <w:pPr>
              <w:pStyle w:val="yTableNAm"/>
            </w:pPr>
            <w:r>
              <w:t>Accommodation, maintenance, nursing care and other services other than in hospital beds subject to a determination made under regulation 5(2) —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pPr>
            <w:r>
              <w:t>(a)</w:t>
            </w:r>
            <w:r>
              <w:tab/>
              <w:t>for public in</w:t>
            </w:r>
            <w:r>
              <w:noBreakHyphen/>
              <w:t>patients ......................................</w:t>
            </w:r>
          </w:p>
        </w:tc>
        <w:tc>
          <w:tcPr>
            <w:tcW w:w="1670" w:type="dxa"/>
          </w:tcPr>
          <w:p>
            <w:pPr>
              <w:pStyle w:val="yTableNAm"/>
            </w:pPr>
            <w:r>
              <w:t>no charge</w:t>
            </w:r>
          </w:p>
        </w:tc>
      </w:tr>
      <w:tr>
        <w:trPr>
          <w:gridAfter w:val="1"/>
          <w:wAfter w:w="10" w:type="dxa"/>
        </w:trPr>
        <w:tc>
          <w:tcPr>
            <w:tcW w:w="425" w:type="dxa"/>
          </w:tcPr>
          <w:p>
            <w:pPr>
              <w:pStyle w:val="yTableNAm"/>
            </w:pPr>
          </w:p>
        </w:tc>
        <w:tc>
          <w:tcPr>
            <w:tcW w:w="4850" w:type="dxa"/>
          </w:tcPr>
          <w:p>
            <w:pPr>
              <w:pStyle w:val="yTableNAm"/>
            </w:pPr>
            <w:r>
              <w:t>(b)</w:t>
            </w:r>
            <w:r>
              <w:tab/>
              <w:t>for private in</w:t>
            </w:r>
            <w:r>
              <w:noBreakHyphen/>
              <w:t>patients —</w:t>
            </w:r>
            <w:r>
              <w:rPr>
                <w:spacing w:val="-2"/>
              </w:rPr>
              <w:t>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w:t>
            </w:r>
            <w:r>
              <w:rPr>
                <w:spacing w:val="-2"/>
              </w:rPr>
              <w:tab/>
              <w:t>in single bed wards (if taken at patient’s request) ........................................</w:t>
            </w:r>
            <w:r>
              <w:t>.......….</w:t>
            </w:r>
          </w:p>
        </w:tc>
        <w:tc>
          <w:tcPr>
            <w:tcW w:w="1670" w:type="dxa"/>
          </w:tcPr>
          <w:p>
            <w:pPr>
              <w:pStyle w:val="yTableNAm"/>
            </w:pPr>
            <w:r>
              <w:br/>
              <w:t>$511 per day</w:t>
            </w: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(ii)</w:t>
            </w:r>
            <w:r>
              <w:rPr>
                <w:spacing w:val="-2"/>
              </w:rPr>
              <w:tab/>
              <w:t>in other wards ....................................</w:t>
            </w:r>
            <w:r>
              <w:t>......</w:t>
            </w:r>
          </w:p>
        </w:tc>
        <w:tc>
          <w:tcPr>
            <w:tcW w:w="1670" w:type="dxa"/>
          </w:tcPr>
          <w:p>
            <w:pPr>
              <w:pStyle w:val="yTableNAm"/>
            </w:pPr>
            <w:r>
              <w:t>$294 per day</w:t>
            </w:r>
          </w:p>
        </w:tc>
      </w:tr>
      <w:tr>
        <w:trPr>
          <w:gridAfter w:val="1"/>
          <w:wAfter w:w="10" w:type="dxa"/>
        </w:trPr>
        <w:tc>
          <w:tcPr>
            <w:tcW w:w="425" w:type="dxa"/>
          </w:tcPr>
          <w:p>
            <w:pPr>
              <w:pStyle w:val="yTableNAm"/>
            </w:pPr>
          </w:p>
        </w:tc>
        <w:tc>
          <w:tcPr>
            <w:tcW w:w="4850" w:type="dxa"/>
          </w:tcPr>
          <w:p>
            <w:pPr>
              <w:pStyle w:val="yTableNAm"/>
            </w:pPr>
            <w:r>
              <w:t>(c)</w:t>
            </w:r>
            <w:r>
              <w:tab/>
              <w:t>for nursing home type patients ......................</w:t>
            </w:r>
          </w:p>
        </w:tc>
        <w:tc>
          <w:tcPr>
            <w:tcW w:w="1670" w:type="dxa"/>
          </w:tcPr>
          <w:p>
            <w:pPr>
              <w:pStyle w:val="yTableNAm"/>
            </w:pPr>
            <w:r>
              <w:t>$</w:t>
            </w:r>
            <w:del w:id="55" w:author="Master Repository Process" w:date="2021-08-28T17:51:00Z">
              <w:r>
                <w:delText>41.35</w:delText>
              </w:r>
            </w:del>
            <w:ins w:id="56" w:author="Master Repository Process" w:date="2021-08-28T17:51:00Z">
              <w:r>
                <w:t>45.50</w:t>
              </w:r>
            </w:ins>
            <w:r>
              <w:t xml:space="preserve"> per day</w:t>
            </w:r>
          </w:p>
        </w:tc>
      </w:tr>
      <w:tr>
        <w:trPr>
          <w:gridAfter w:val="1"/>
          <w:wAfter w:w="10" w:type="dxa"/>
        </w:trPr>
        <w:tc>
          <w:tcPr>
            <w:tcW w:w="425" w:type="dxa"/>
          </w:tcPr>
          <w:p>
            <w:pPr>
              <w:pStyle w:val="yTableNAm"/>
            </w:pPr>
          </w:p>
        </w:tc>
        <w:tc>
          <w:tcPr>
            <w:tcW w:w="4850" w:type="dxa"/>
          </w:tcPr>
          <w:p>
            <w:pPr>
              <w:pStyle w:val="yTableNAm"/>
            </w:pPr>
            <w:r>
              <w:t>(d)</w:t>
            </w:r>
            <w:r>
              <w:tab/>
              <w:t>for private nursing home type patients ..........</w:t>
            </w:r>
          </w:p>
        </w:tc>
        <w:tc>
          <w:tcPr>
            <w:tcW w:w="1670" w:type="dxa"/>
          </w:tcPr>
          <w:p>
            <w:pPr>
              <w:pStyle w:val="yTableNAm"/>
            </w:pPr>
            <w:r>
              <w:t>$</w:t>
            </w:r>
            <w:del w:id="57" w:author="Master Repository Process" w:date="2021-08-28T17:51:00Z">
              <w:r>
                <w:delText>143</w:delText>
              </w:r>
            </w:del>
            <w:ins w:id="58" w:author="Master Repository Process" w:date="2021-08-28T17:51:00Z">
              <w:r>
                <w:t>147.15</w:t>
              </w:r>
            </w:ins>
            <w:r>
              <w:t xml:space="preserve"> per day</w:t>
            </w:r>
          </w:p>
        </w:tc>
      </w:tr>
      <w:tr>
        <w:trPr>
          <w:gridAfter w:val="1"/>
          <w:wAfter w:w="10" w:type="dxa"/>
        </w:trPr>
        <w:tc>
          <w:tcPr>
            <w:tcW w:w="425" w:type="dxa"/>
          </w:tcPr>
          <w:p>
            <w:pPr>
              <w:pStyle w:val="yTableNAm"/>
            </w:pPr>
          </w:p>
        </w:tc>
        <w:tc>
          <w:tcPr>
            <w:tcW w:w="4850" w:type="dxa"/>
          </w:tcPr>
          <w:p>
            <w:pPr>
              <w:pStyle w:val="yTableNAm"/>
            </w:pPr>
            <w:r>
              <w:t>(e)</w:t>
            </w:r>
            <w:r>
              <w:tab/>
              <w:t>for ineligible in</w:t>
            </w:r>
            <w:r>
              <w:noBreakHyphen/>
              <w:t>patients ................................</w:t>
            </w:r>
          </w:p>
        </w:tc>
        <w:tc>
          <w:tcPr>
            <w:tcW w:w="1670" w:type="dxa"/>
          </w:tcPr>
          <w:p>
            <w:pPr>
              <w:pStyle w:val="yTableNAm"/>
            </w:pPr>
            <w:r>
              <w:t>$1 374 per day</w:t>
            </w:r>
          </w:p>
        </w:tc>
      </w:tr>
      <w:tr>
        <w:trPr>
          <w:gridAfter w:val="1"/>
          <w:wAfter w:w="10" w:type="dxa"/>
        </w:trPr>
        <w:tc>
          <w:tcPr>
            <w:tcW w:w="425" w:type="dxa"/>
          </w:tcPr>
          <w:p>
            <w:pPr>
              <w:pStyle w:val="yTableNAm"/>
            </w:pPr>
          </w:p>
        </w:tc>
        <w:tc>
          <w:tcPr>
            <w:tcW w:w="4850" w:type="dxa"/>
          </w:tcPr>
          <w:p>
            <w:pPr>
              <w:pStyle w:val="yTableNAm"/>
            </w:pPr>
            <w:r>
              <w:t>(f)</w:t>
            </w:r>
            <w:r>
              <w:tab/>
              <w:t>for eligible war service veteran in</w:t>
            </w:r>
            <w:r>
              <w:noBreakHyphen/>
              <w:t>patients ...</w:t>
            </w:r>
          </w:p>
        </w:tc>
        <w:tc>
          <w:tcPr>
            <w:tcW w:w="1670" w:type="dxa"/>
          </w:tcPr>
          <w:p>
            <w:pPr>
              <w:pStyle w:val="yTableNAm"/>
            </w:pPr>
            <w:r>
              <w:t>no charge</w:t>
            </w:r>
          </w:p>
        </w:tc>
      </w:tr>
      <w:tr>
        <w:tc>
          <w:tcPr>
            <w:tcW w:w="425" w:type="dxa"/>
          </w:tcPr>
          <w:p>
            <w:pPr>
              <w:pStyle w:val="yTableNAm"/>
            </w:pPr>
            <w:r>
              <w:t>2.</w:t>
            </w:r>
          </w:p>
        </w:tc>
        <w:tc>
          <w:tcPr>
            <w:tcW w:w="4850" w:type="dxa"/>
          </w:tcPr>
          <w:p>
            <w:pPr>
              <w:pStyle w:val="yTableNAm"/>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pPr>
            <w:r>
              <w:br/>
            </w:r>
            <w:r>
              <w:br/>
            </w:r>
            <w:r>
              <w:br/>
            </w:r>
            <w:r>
              <w:br/>
            </w:r>
            <w:r>
              <w:br/>
              <w:t>no charge</w:t>
            </w:r>
          </w:p>
        </w:tc>
      </w:tr>
      <w:tr>
        <w:trPr>
          <w:cantSplit/>
          <w:trHeight w:val="1067"/>
        </w:trPr>
        <w:tc>
          <w:tcPr>
            <w:tcW w:w="425" w:type="dxa"/>
            <w:tcBorders>
              <w:bottom w:val="nil"/>
            </w:tcBorders>
          </w:tcPr>
          <w:p>
            <w:pPr>
              <w:pStyle w:val="yTableNAm"/>
            </w:pPr>
          </w:p>
        </w:tc>
        <w:tc>
          <w:tcPr>
            <w:tcW w:w="4850" w:type="dxa"/>
            <w:tcBorders>
              <w:bottom w:val="nil"/>
            </w:tcBorders>
          </w:tcPr>
          <w:p>
            <w:pPr>
              <w:pStyle w:val="yTableNAm"/>
            </w:pPr>
            <w:r>
              <w:t>This item does not apply to — </w:t>
            </w:r>
          </w:p>
          <w:p>
            <w:pPr>
              <w:pStyle w:val="yTableNAm"/>
              <w:ind w:left="542" w:hanging="542"/>
            </w:pPr>
            <w:r>
              <w:t>(a)</w:t>
            </w:r>
            <w:r>
              <w:tab/>
              <w:t xml:space="preserve">surgically implanted prostheses subject to a determination made under regulation 5(2)(c); or </w:t>
            </w:r>
          </w:p>
          <w:p>
            <w:pPr>
              <w:pStyle w:val="yTableNAm"/>
              <w:ind w:left="542" w:hanging="542"/>
            </w:pPr>
            <w:r>
              <w:t>(b)</w:t>
            </w:r>
            <w:r>
              <w:tab/>
              <w:t>specialized orthoses or prostheses subject to a determination made under regulation 5(2)(e).</w:t>
            </w:r>
          </w:p>
        </w:tc>
        <w:tc>
          <w:tcPr>
            <w:tcW w:w="1680" w:type="dxa"/>
            <w:gridSpan w:val="2"/>
            <w:tcBorders>
              <w:bottom w:val="nil"/>
            </w:tcBorders>
          </w:tcPr>
          <w:p>
            <w:pPr>
              <w:pStyle w:val="yTableNAm"/>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 10 Jun 2008 p. 2488</w:t>
      </w:r>
      <w:r>
        <w:noBreakHyphen/>
        <w:t>9; 19 Dec 2008 p. 5364; 1 May 2009 p. 1435; 23 Jun 2009 p. 2463</w:t>
      </w:r>
      <w:ins w:id="59" w:author="Master Repository Process" w:date="2021-08-28T17:51:00Z">
        <w:r>
          <w:t>; 8 Dec 2009 p. 5001</w:t>
        </w:r>
      </w:ins>
      <w:r>
        <w:t>.]</w:t>
      </w:r>
    </w:p>
    <w:p>
      <w:pPr>
        <w:pStyle w:val="yHeading3"/>
      </w:pPr>
      <w:bookmarkStart w:id="60" w:name="_Toc188956811"/>
      <w:bookmarkStart w:id="61" w:name="_Toc200875646"/>
      <w:bookmarkStart w:id="62" w:name="_Toc200939196"/>
      <w:bookmarkStart w:id="63" w:name="_Toc202335456"/>
      <w:bookmarkStart w:id="64" w:name="_Toc205108097"/>
      <w:bookmarkStart w:id="65" w:name="_Toc205110488"/>
      <w:bookmarkStart w:id="66" w:name="_Toc205110685"/>
      <w:bookmarkStart w:id="67" w:name="_Toc206836562"/>
      <w:bookmarkStart w:id="68" w:name="_Toc206907587"/>
      <w:bookmarkStart w:id="69" w:name="_Toc209497819"/>
      <w:bookmarkStart w:id="70" w:name="_Toc222022273"/>
      <w:bookmarkStart w:id="71" w:name="_Toc228869045"/>
      <w:bookmarkStart w:id="72" w:name="_Toc233699720"/>
      <w:bookmarkStart w:id="73" w:name="_Toc233699751"/>
      <w:bookmarkStart w:id="74" w:name="_Toc236467567"/>
      <w:bookmarkStart w:id="75" w:name="_Toc248050941"/>
      <w:bookmarkStart w:id="76" w:name="_Toc248051175"/>
      <w:r>
        <w:rPr>
          <w:rStyle w:val="CharSDivNo"/>
        </w:rPr>
        <w:t>Division 2</w:t>
      </w:r>
      <w:r>
        <w:t> — </w:t>
      </w:r>
      <w:r>
        <w:rPr>
          <w:rStyle w:val="CharSDivText"/>
        </w:rPr>
        <w:t>Day patients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pPr>
            <w:r>
              <w:t>3.</w:t>
            </w:r>
          </w:p>
        </w:tc>
        <w:tc>
          <w:tcPr>
            <w:tcW w:w="5103" w:type="dxa"/>
            <w:tcBorders>
              <w:top w:val="nil"/>
              <w:left w:val="nil"/>
              <w:bottom w:val="nil"/>
              <w:right w:val="nil"/>
            </w:tcBorders>
          </w:tcPr>
          <w:p>
            <w:pPr>
              <w:pStyle w:val="yTableNAm"/>
            </w:pPr>
            <w:r>
              <w:t>Accommodation, maintenance and other services for eligible day patients .................................................</w:t>
            </w:r>
          </w:p>
        </w:tc>
        <w:tc>
          <w:tcPr>
            <w:tcW w:w="1559" w:type="dxa"/>
            <w:tcBorders>
              <w:top w:val="nil"/>
              <w:left w:val="nil"/>
              <w:bottom w:val="nil"/>
              <w:right w:val="nil"/>
            </w:tcBorders>
          </w:tcPr>
          <w:p>
            <w:pPr>
              <w:pStyle w:val="yTableNAm"/>
            </w:pPr>
            <w:r>
              <w:br/>
              <w:t>no charge</w:t>
            </w:r>
          </w:p>
        </w:tc>
      </w:tr>
    </w:tbl>
    <w:p>
      <w:pPr>
        <w:pStyle w:val="yFootnotesection"/>
      </w:pPr>
      <w:r>
        <w:tab/>
        <w:t>[Division 2 inserted in Gazette 29 Jun 2004 p. 2527.]</w:t>
      </w:r>
    </w:p>
    <w:p>
      <w:pPr>
        <w:pStyle w:val="yHeading3"/>
      </w:pPr>
      <w:bookmarkStart w:id="77" w:name="_Toc188956812"/>
      <w:bookmarkStart w:id="78" w:name="_Toc200875647"/>
      <w:bookmarkStart w:id="79" w:name="_Toc200939197"/>
      <w:bookmarkStart w:id="80" w:name="_Toc202335457"/>
      <w:bookmarkStart w:id="81" w:name="_Toc205108098"/>
      <w:bookmarkStart w:id="82" w:name="_Toc205110489"/>
      <w:bookmarkStart w:id="83" w:name="_Toc205110686"/>
      <w:bookmarkStart w:id="84" w:name="_Toc206836563"/>
      <w:bookmarkStart w:id="85" w:name="_Toc206907588"/>
      <w:bookmarkStart w:id="86" w:name="_Toc209497820"/>
      <w:bookmarkStart w:id="87" w:name="_Toc222022274"/>
      <w:bookmarkStart w:id="88" w:name="_Toc228869046"/>
      <w:bookmarkStart w:id="89" w:name="_Toc233699721"/>
      <w:bookmarkStart w:id="90" w:name="_Toc233699752"/>
      <w:bookmarkStart w:id="91" w:name="_Toc236467568"/>
      <w:bookmarkStart w:id="92" w:name="_Toc248050942"/>
      <w:bookmarkStart w:id="93" w:name="_Toc248051176"/>
      <w:r>
        <w:rPr>
          <w:rStyle w:val="CharSDivNo"/>
        </w:rPr>
        <w:t>Division 3</w:t>
      </w:r>
      <w:r>
        <w:t> — </w:t>
      </w:r>
      <w:r>
        <w:rPr>
          <w:rStyle w:val="CharSDivText"/>
        </w:rPr>
        <w:t>Out</w:t>
      </w:r>
      <w:r>
        <w:rPr>
          <w:rStyle w:val="CharSDivText"/>
        </w:rPr>
        <w:noBreakHyphen/>
        <w:t>patients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$156</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left" w:pos="972"/>
              </w:tabs>
            </w:pPr>
            <w:r>
              <w:tab/>
              <w:t>•</w:t>
            </w:r>
            <w:r>
              <w:tab/>
              <w:t xml:space="preserve">pensioners; or </w:t>
            </w:r>
          </w:p>
          <w:p>
            <w:pPr>
              <w:pStyle w:val="yTableNAm"/>
              <w:tabs>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$5.30</w:t>
            </w: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(c)</w:t>
            </w:r>
            <w:r>
              <w:tab/>
              <w:t>for all other people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pPr>
            <w:r>
              <w:tab/>
              <w:t>(i)</w:t>
            </w:r>
            <w:r>
              <w:tab/>
              <w:t>at a participating hospital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w:t>
            </w:r>
            <w:r>
              <w:tab/>
              <w:t>for an item on the PBS list ..........</w:t>
            </w:r>
          </w:p>
        </w:tc>
        <w:tc>
          <w:tcPr>
            <w:tcW w:w="1547" w:type="dxa"/>
          </w:tcPr>
          <w:p>
            <w:pPr>
              <w:pStyle w:val="yTableNAm"/>
            </w:pPr>
            <w:r>
              <w:t>PBS price up to a maximum of $32.90</w:t>
            </w:r>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(II)</w:t>
            </w:r>
            <w:r>
              <w:tab/>
              <w:t>for an item not on the PBS list ....</w:t>
            </w:r>
          </w:p>
        </w:tc>
        <w:tc>
          <w:tcPr>
            <w:tcW w:w="1547" w:type="dxa"/>
          </w:tcPr>
          <w:p>
            <w:pPr>
              <w:pStyle w:val="yTableNAm"/>
            </w:pPr>
            <w:r>
              <w:t>$26.30</w:t>
            </w:r>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ind w:left="1212" w:hanging="1212"/>
            </w:pPr>
            <w:r>
              <w:tab/>
              <w:t>(ii)</w:t>
            </w:r>
            <w:r>
              <w:tab/>
              <w:t>at a hospital that is not a participating hospital....................................................</w:t>
            </w:r>
          </w:p>
        </w:tc>
        <w:tc>
          <w:tcPr>
            <w:tcW w:w="1547" w:type="dxa"/>
          </w:tcPr>
          <w:p>
            <w:pPr>
              <w:pStyle w:val="yTableNAm"/>
            </w:pPr>
            <w:r>
              <w:br/>
              <w:t>$26.30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273-4; 1 May 2009 p. 1435; 23 Jun 2009 p. 2463.]</w:t>
      </w:r>
    </w:p>
    <w:p>
      <w:pPr>
        <w:pStyle w:val="yHeading3"/>
      </w:pPr>
      <w:bookmarkStart w:id="94" w:name="_Toc188956813"/>
      <w:bookmarkStart w:id="95" w:name="_Toc200875648"/>
      <w:bookmarkStart w:id="96" w:name="_Toc200939198"/>
      <w:bookmarkStart w:id="97" w:name="_Toc202335458"/>
      <w:bookmarkStart w:id="98" w:name="_Toc205108099"/>
      <w:bookmarkStart w:id="99" w:name="_Toc205110490"/>
      <w:bookmarkStart w:id="100" w:name="_Toc205110687"/>
      <w:bookmarkStart w:id="101" w:name="_Toc206836564"/>
      <w:bookmarkStart w:id="102" w:name="_Toc206907589"/>
      <w:bookmarkStart w:id="103" w:name="_Toc209497821"/>
      <w:bookmarkStart w:id="104" w:name="_Toc222022275"/>
      <w:bookmarkStart w:id="105" w:name="_Toc228869047"/>
      <w:bookmarkStart w:id="106" w:name="_Toc233699722"/>
      <w:bookmarkStart w:id="107" w:name="_Toc233699753"/>
      <w:bookmarkStart w:id="108" w:name="_Toc236467569"/>
      <w:bookmarkStart w:id="109" w:name="_Toc248050943"/>
      <w:bookmarkStart w:id="110" w:name="_Toc248051177"/>
      <w:r>
        <w:rPr>
          <w:rStyle w:val="CharSDivNo"/>
        </w:rPr>
        <w:t>Division 4</w:t>
      </w:r>
      <w:r>
        <w:t> — </w:t>
      </w:r>
      <w:r>
        <w:rPr>
          <w:rStyle w:val="CharSDivText"/>
        </w:rPr>
        <w:t>Same day patients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pPr>
            <w:r>
              <w:t>6.</w:t>
            </w:r>
          </w:p>
        </w:tc>
        <w:tc>
          <w:tcPr>
            <w:tcW w:w="5099" w:type="dxa"/>
          </w:tcPr>
          <w:p>
            <w:pPr>
              <w:pStyle w:val="yTableNAm"/>
            </w:pPr>
            <w:r>
              <w:t>Same day treatment, other than a service subject to any determination made under regulation 5 associated with the rendering of such treatment —</w:t>
            </w:r>
          </w:p>
        </w:tc>
        <w:tc>
          <w:tcPr>
            <w:tcW w:w="1563" w:type="dxa"/>
          </w:tcPr>
          <w:p>
            <w:pPr>
              <w:pStyle w:val="yTableNAm"/>
            </w:pPr>
          </w:p>
        </w:tc>
      </w:tr>
      <w:tr>
        <w:trPr>
          <w:cantSplit/>
        </w:trPr>
        <w:tc>
          <w:tcPr>
            <w:tcW w:w="425" w:type="dxa"/>
          </w:tcPr>
          <w:p>
            <w:pPr>
              <w:pStyle w:val="yTableNAm"/>
            </w:pPr>
          </w:p>
        </w:tc>
        <w:tc>
          <w:tcPr>
            <w:tcW w:w="5099" w:type="dxa"/>
          </w:tcPr>
          <w:p>
            <w:pPr>
              <w:pStyle w:val="yTableNAm"/>
            </w:pPr>
            <w:r>
              <w:t>(a)</w:t>
            </w:r>
            <w:r>
              <w:tab/>
              <w:t>for public same day patients ...............................</w:t>
            </w:r>
          </w:p>
        </w:tc>
        <w:tc>
          <w:tcPr>
            <w:tcW w:w="1563" w:type="dxa"/>
          </w:tcPr>
          <w:p>
            <w:pPr>
              <w:pStyle w:val="yTableNAm"/>
            </w:pPr>
            <w:r>
              <w:t>no charge</w:t>
            </w:r>
          </w:p>
        </w:tc>
      </w:tr>
      <w:tr>
        <w:trPr>
          <w:cantSplit/>
        </w:trPr>
        <w:tc>
          <w:tcPr>
            <w:tcW w:w="425" w:type="dxa"/>
          </w:tcPr>
          <w:p>
            <w:pPr>
              <w:pStyle w:val="yTableNAm"/>
            </w:pPr>
          </w:p>
        </w:tc>
        <w:tc>
          <w:tcPr>
            <w:tcW w:w="5099" w:type="dxa"/>
          </w:tcPr>
          <w:p>
            <w:pPr>
              <w:pStyle w:val="yTableNAm"/>
            </w:pPr>
            <w:r>
              <w:t>(b)</w:t>
            </w:r>
            <w:r>
              <w:tab/>
              <w:t>for private same day patients ..............................</w:t>
            </w:r>
          </w:p>
        </w:tc>
        <w:tc>
          <w:tcPr>
            <w:tcW w:w="1563" w:type="dxa"/>
          </w:tcPr>
          <w:p>
            <w:pPr>
              <w:pStyle w:val="yTableNAm"/>
            </w:pPr>
            <w:r>
              <w:t>$230 per day</w:t>
            </w:r>
          </w:p>
        </w:tc>
      </w:tr>
      <w:tr>
        <w:trPr>
          <w:cantSplit/>
        </w:trPr>
        <w:tc>
          <w:tcPr>
            <w:tcW w:w="425" w:type="dxa"/>
          </w:tcPr>
          <w:p>
            <w:pPr>
              <w:pStyle w:val="yTableNAm"/>
            </w:pPr>
          </w:p>
        </w:tc>
        <w:tc>
          <w:tcPr>
            <w:tcW w:w="5099" w:type="dxa"/>
          </w:tcPr>
          <w:p>
            <w:pPr>
              <w:pStyle w:val="yTableNAm"/>
              <w:ind w:left="542" w:hanging="542"/>
            </w:pPr>
            <w:r>
              <w:t>(c)</w:t>
            </w:r>
            <w:r>
              <w:tab/>
              <w:t>for eligible war service veteran same day patients ................................................................</w:t>
            </w:r>
          </w:p>
        </w:tc>
        <w:tc>
          <w:tcPr>
            <w:tcW w:w="1563" w:type="dxa"/>
          </w:tcPr>
          <w:p>
            <w:pPr>
              <w:pStyle w:val="yTableNAm"/>
            </w:pPr>
            <w:r>
              <w:br/>
              <w:t>no charge</w:t>
            </w:r>
          </w:p>
        </w:tc>
      </w:tr>
      <w:tr>
        <w:trPr>
          <w:cantSplit/>
        </w:trPr>
        <w:tc>
          <w:tcPr>
            <w:tcW w:w="425" w:type="dxa"/>
          </w:tcPr>
          <w:p>
            <w:pPr>
              <w:pStyle w:val="yTableNAm"/>
            </w:pPr>
          </w:p>
        </w:tc>
        <w:tc>
          <w:tcPr>
            <w:tcW w:w="5099" w:type="dxa"/>
          </w:tcPr>
          <w:p>
            <w:pPr>
              <w:pStyle w:val="yTableNAm"/>
            </w:pPr>
            <w:r>
              <w:t>(d)</w:t>
            </w:r>
            <w:r>
              <w:tab/>
              <w:t>for ineligible same day patients ..........................</w:t>
            </w:r>
          </w:p>
        </w:tc>
        <w:tc>
          <w:tcPr>
            <w:tcW w:w="1563" w:type="dxa"/>
          </w:tcPr>
          <w:p>
            <w:pPr>
              <w:pStyle w:val="yTableNAm"/>
            </w:pPr>
            <w:r>
              <w:t>$1 312 per day</w:t>
            </w:r>
          </w:p>
        </w:tc>
      </w:tr>
    </w:tbl>
    <w:p>
      <w:pPr>
        <w:pStyle w:val="yFootnotesection"/>
      </w:pPr>
      <w:r>
        <w:tab/>
        <w:t>[Division 4 inserted in Gazette 29 Jun 2004 p. 2528; amended in Gazette 28 Jun 2005 p. 2922; 13 Jun 2006 p. 2063; 10 Jul 2007 p. 3419; 10 Jun 2008 p. 2489; 23 Jun 2009 p. 2463</w:t>
      </w:r>
      <w:r>
        <w:noBreakHyphen/>
        <w:t>4.]</w:t>
      </w:r>
    </w:p>
    <w:p>
      <w:pPr>
        <w:pStyle w:val="yHeading3"/>
      </w:pPr>
      <w:bookmarkStart w:id="111" w:name="_Toc188956814"/>
      <w:bookmarkStart w:id="112" w:name="_Toc200875649"/>
      <w:bookmarkStart w:id="113" w:name="_Toc200939199"/>
      <w:bookmarkStart w:id="114" w:name="_Toc202335459"/>
      <w:bookmarkStart w:id="115" w:name="_Toc205108100"/>
      <w:bookmarkStart w:id="116" w:name="_Toc205110491"/>
      <w:bookmarkStart w:id="117" w:name="_Toc205110688"/>
      <w:bookmarkStart w:id="118" w:name="_Toc206836565"/>
      <w:bookmarkStart w:id="119" w:name="_Toc206907590"/>
      <w:bookmarkStart w:id="120" w:name="_Toc209497822"/>
      <w:bookmarkStart w:id="121" w:name="_Toc222022276"/>
      <w:bookmarkStart w:id="122" w:name="_Toc228869048"/>
      <w:bookmarkStart w:id="123" w:name="_Toc233699723"/>
      <w:bookmarkStart w:id="124" w:name="_Toc233699754"/>
      <w:bookmarkStart w:id="125" w:name="_Toc236467570"/>
      <w:bookmarkStart w:id="126" w:name="_Toc248050944"/>
      <w:bookmarkStart w:id="127" w:name="_Toc248051178"/>
      <w:r>
        <w:rPr>
          <w:rStyle w:val="CharSDivNo"/>
        </w:rPr>
        <w:t>Division 5</w:t>
      </w:r>
      <w:r>
        <w:t> — </w:t>
      </w:r>
      <w:r>
        <w:rPr>
          <w:rStyle w:val="CharSDivText"/>
        </w:rPr>
        <w:t>Other services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NAm"/>
            </w:pPr>
            <w:r>
              <w:t>7.</w:t>
            </w:r>
          </w:p>
        </w:tc>
        <w:tc>
          <w:tcPr>
            <w:tcW w:w="5099" w:type="dxa"/>
            <w:tcBorders>
              <w:top w:val="nil"/>
              <w:left w:val="nil"/>
              <w:bottom w:val="nil"/>
              <w:right w:val="nil"/>
            </w:tcBorders>
          </w:tcPr>
          <w:p>
            <w:pPr>
              <w:pStyle w:val="yTableNAm"/>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pPr>
            <w:r>
              <w:br/>
            </w:r>
            <w:r>
              <w:br/>
            </w:r>
            <w:r>
              <w:br/>
              <w:t>$28.50 per day</w:t>
            </w:r>
          </w:p>
        </w:tc>
      </w:tr>
    </w:tbl>
    <w:p>
      <w:pPr>
        <w:pStyle w:val="yFootnotesection"/>
      </w:pPr>
      <w:r>
        <w:tab/>
        <w:t>[Division 5 inserted in Gazette 29 Jun 2004 p. 2528; amended in Gazette 28 Jun 2005 p. 2922; 13 Jun 2006 p. 2063; 10 Jul 2007 p. 3419; 10 Jun 2008 p. 2489; 23 Jun 2009 p. 2463</w:t>
      </w:r>
      <w:r>
        <w:noBreakHyphen/>
        <w:t>4.]</w:t>
      </w:r>
    </w:p>
    <w:p>
      <w:pPr>
        <w:tabs>
          <w:tab w:val="left" w:pos="459"/>
        </w:tabs>
        <w:ind w:left="459" w:hanging="459"/>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28" w:name="_Toc188956815"/>
      <w:bookmarkStart w:id="129" w:name="_Toc200875650"/>
      <w:bookmarkStart w:id="130" w:name="_Toc200939200"/>
      <w:bookmarkStart w:id="131" w:name="_Toc202335460"/>
      <w:bookmarkStart w:id="132" w:name="_Toc205108101"/>
      <w:bookmarkStart w:id="133" w:name="_Toc205110492"/>
      <w:bookmarkStart w:id="134" w:name="_Toc205110689"/>
      <w:bookmarkStart w:id="135" w:name="_Toc206836566"/>
      <w:bookmarkStart w:id="136" w:name="_Toc206907591"/>
      <w:bookmarkStart w:id="137" w:name="_Toc209497823"/>
      <w:bookmarkStart w:id="138" w:name="_Toc222022277"/>
      <w:bookmarkStart w:id="139" w:name="_Toc228869049"/>
      <w:bookmarkStart w:id="140" w:name="_Toc233699724"/>
      <w:bookmarkStart w:id="141" w:name="_Toc233699755"/>
      <w:bookmarkStart w:id="142" w:name="_Toc236467571"/>
      <w:bookmarkStart w:id="143" w:name="_Toc248050945"/>
      <w:bookmarkStart w:id="144" w:name="_Toc248051179"/>
      <w:r>
        <w:t>Notes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45" w:name="_Toc248051180"/>
      <w:bookmarkStart w:id="146" w:name="_Toc236467572"/>
      <w:r>
        <w:t>Compilation table</w:t>
      </w:r>
      <w:bookmarkEnd w:id="145"/>
      <w:bookmarkEnd w:id="1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w:t>
            </w:r>
            <w:r>
              <w:rPr>
                <w:snapToGrid w:val="0"/>
                <w:sz w:val="19"/>
                <w:lang w:val="en-US"/>
              </w:rPr>
              <w:t xml:space="preserve"> 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w:t>
            </w:r>
            <w:r>
              <w:rPr>
                <w:snapToGrid w:val="0"/>
                <w:sz w:val="19"/>
                <w:lang w:val="en-US"/>
              </w:rPr>
              <w:t xml:space="preserve"> 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w:t>
            </w:r>
            <w:r>
              <w:rPr>
                <w:snapToGrid w:val="0"/>
                <w:sz w:val="19"/>
                <w:lang w:val="en-US"/>
              </w:rPr>
              <w:t xml:space="preserve"> 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w:t>
            </w:r>
            <w:r>
              <w:rPr>
                <w:snapToGrid w:val="0"/>
                <w:sz w:val="19"/>
                <w:lang w:val="en-US"/>
              </w:rPr>
              <w:t xml:space="preserve"> 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ins w:id="147" w:author="Master Repository Process" w:date="2021-08-28T17:51:00Z"/>
        </w:trPr>
        <w:tc>
          <w:tcPr>
            <w:tcW w:w="3119" w:type="dxa"/>
            <w:tcBorders>
              <w:bottom w:val="single" w:sz="4" w:space="0" w:color="auto"/>
            </w:tcBorders>
          </w:tcPr>
          <w:p>
            <w:pPr>
              <w:pStyle w:val="nTable"/>
              <w:spacing w:after="40"/>
              <w:rPr>
                <w:ins w:id="148" w:author="Master Repository Process" w:date="2021-08-28T17:51:00Z"/>
                <w:i/>
                <w:sz w:val="19"/>
              </w:rPr>
            </w:pPr>
            <w:ins w:id="149" w:author="Master Repository Process" w:date="2021-08-28T17:51:00Z">
              <w:r>
                <w:rPr>
                  <w:i/>
                  <w:sz w:val="19"/>
                </w:rPr>
                <w:t>Hospitals (Services Charges) Amendment Regulations (No. 5) 2009</w:t>
              </w:r>
            </w:ins>
          </w:p>
        </w:tc>
        <w:tc>
          <w:tcPr>
            <w:tcW w:w="1276" w:type="dxa"/>
            <w:tcBorders>
              <w:bottom w:val="single" w:sz="4" w:space="0" w:color="auto"/>
            </w:tcBorders>
          </w:tcPr>
          <w:p>
            <w:pPr>
              <w:pStyle w:val="nTable"/>
              <w:spacing w:after="40"/>
              <w:rPr>
                <w:ins w:id="150" w:author="Master Repository Process" w:date="2021-08-28T17:51:00Z"/>
                <w:sz w:val="19"/>
              </w:rPr>
            </w:pPr>
            <w:ins w:id="151" w:author="Master Repository Process" w:date="2021-08-28T17:51:00Z">
              <w:r>
                <w:rPr>
                  <w:sz w:val="19"/>
                </w:rPr>
                <w:t>8 Dec 2009 p. 5001</w:t>
              </w:r>
            </w:ins>
          </w:p>
        </w:tc>
        <w:tc>
          <w:tcPr>
            <w:tcW w:w="2693" w:type="dxa"/>
            <w:tcBorders>
              <w:bottom w:val="single" w:sz="4" w:space="0" w:color="auto"/>
            </w:tcBorders>
          </w:tcPr>
          <w:p>
            <w:pPr>
              <w:pStyle w:val="nTable"/>
              <w:spacing w:after="40"/>
              <w:rPr>
                <w:ins w:id="152" w:author="Master Repository Process" w:date="2021-08-28T17:51:00Z"/>
                <w:snapToGrid w:val="0"/>
                <w:spacing w:val="-2"/>
                <w:sz w:val="19"/>
                <w:lang w:val="en-US"/>
              </w:rPr>
            </w:pPr>
            <w:ins w:id="153" w:author="Master Repository Process" w:date="2021-08-28T17:51:00Z">
              <w:r>
                <w:rPr>
                  <w:snapToGrid w:val="0"/>
                  <w:spacing w:val="-2"/>
                  <w:sz w:val="19"/>
                  <w:lang w:val="en-US"/>
                </w:rPr>
                <w:t>r. 1 and 2: 8 Dec 2009 (see r. 2(a));</w:t>
              </w:r>
              <w:r>
                <w:rPr>
                  <w:snapToGrid w:val="0"/>
                  <w:spacing w:val="-2"/>
                  <w:sz w:val="19"/>
                  <w:lang w:val="en-US"/>
                </w:rPr>
                <w:br/>
                <w:t>Regulations other than r. 1 and 2: 9 Dec 2009 (see r. 2(b))</w:t>
              </w:r>
            </w:ins>
          </w:p>
        </w:tc>
      </w:tr>
    </w:tbl>
    <w:p>
      <w:pPr>
        <w:pStyle w:val="nSubsection"/>
        <w:spacing w:before="160"/>
      </w:pPr>
      <w:bookmarkStart w:id="154" w:name="UpToHere"/>
      <w:bookmarkEnd w:id="154"/>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23C3AC-1908-4AC0-9B29-52E57475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6485</Words>
  <Characters>31907</Characters>
  <Application>Microsoft Office Word</Application>
  <DocSecurity>0</DocSecurity>
  <Lines>1276</Lines>
  <Paragraphs>738</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37654</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06-f0-01 - 06-g0-01</dc:title>
  <dc:subject/>
  <dc:creator/>
  <cp:keywords/>
  <dc:description/>
  <cp:lastModifiedBy>Master Repository Process</cp:lastModifiedBy>
  <cp:revision>2</cp:revision>
  <cp:lastPrinted>2008-08-19T03:15:00Z</cp:lastPrinted>
  <dcterms:created xsi:type="dcterms:W3CDTF">2021-08-28T09:51:00Z</dcterms:created>
  <dcterms:modified xsi:type="dcterms:W3CDTF">2021-08-28T09:51:00Z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20091209</vt:lpwstr>
  </property>
  <property fmtid="{D5CDD505-2E9C-101B-9397-08002B2CF9AE}" pid="4" name="DocumentType">
    <vt:lpwstr>Reg</vt:lpwstr>
  </property>
  <property fmtid="{D5CDD505-2E9C-101B-9397-08002B2CF9AE}" pid="5" name="OwlsUID">
    <vt:i4>4512</vt:i4>
  </property>
  <property fmtid="{D5CDD505-2E9C-101B-9397-08002B2CF9AE}" pid="6" name="ReprintNo">
    <vt:lpwstr>6</vt:lpwstr>
  </property>
  <property fmtid="{D5CDD505-2E9C-101B-9397-08002B2CF9AE}" pid="7" name="FromSuffix">
    <vt:lpwstr>06-f0-01</vt:lpwstr>
  </property>
  <property fmtid="{D5CDD505-2E9C-101B-9397-08002B2CF9AE}" pid="8" name="FromAsAtDate">
    <vt:lpwstr>29 Jul 2009</vt:lpwstr>
  </property>
  <property fmtid="{D5CDD505-2E9C-101B-9397-08002B2CF9AE}" pid="9" name="ToSuffix">
    <vt:lpwstr>06-g0-01</vt:lpwstr>
  </property>
  <property fmtid="{D5CDD505-2E9C-101B-9397-08002B2CF9AE}" pid="10" name="ToAsAtDate">
    <vt:lpwstr>09 Dec 2009</vt:lpwstr>
  </property>
</Properties>
</file>