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(Emergency Procedures and Safety of Navigation)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Marine Act 1982</w:t>
      </w:r>
    </w:p>
    <w:p>
      <w:pPr>
        <w:pStyle w:val="NameofActReg"/>
      </w:pPr>
      <w:r>
        <w:t>W.A. Marine (Emergency Procedures and Safety of Navigation) Regulations 1983</w:t>
      </w:r>
    </w:p>
    <w:p>
      <w:pPr>
        <w:pStyle w:val="Heading5"/>
        <w:rPr>
          <w:snapToGrid w:val="0"/>
        </w:rPr>
      </w:pPr>
      <w:bookmarkStart w:id="1" w:name="_Toc379274241"/>
      <w:bookmarkStart w:id="2" w:name="_Toc425241667"/>
      <w:bookmarkStart w:id="3" w:name="_Toc435406892"/>
      <w:bookmarkStart w:id="4" w:name="_Toc532371722"/>
      <w:bookmarkStart w:id="5" w:name="_Toc536519353"/>
      <w:bookmarkStart w:id="6" w:name="_Toc212606744"/>
      <w:bookmarkStart w:id="7" w:name="_Toc212606824"/>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(Emergency Procedures and Safety of Navigation) Regulations 1983</w:t>
      </w:r>
      <w:r>
        <w:rPr>
          <w:snapToGrid w:val="0"/>
          <w:vertAlign w:val="superscript"/>
        </w:rPr>
        <w:t> 1</w:t>
      </w:r>
      <w:r>
        <w:rPr>
          <w:snapToGrid w:val="0"/>
        </w:rPr>
        <w:t>.</w:t>
      </w:r>
    </w:p>
    <w:p>
      <w:pPr>
        <w:pStyle w:val="Heading5"/>
        <w:rPr>
          <w:snapToGrid w:val="0"/>
        </w:rPr>
      </w:pPr>
      <w:bookmarkStart w:id="9" w:name="_Toc379274242"/>
      <w:bookmarkStart w:id="10" w:name="_Toc425241668"/>
      <w:bookmarkStart w:id="11" w:name="_Toc435406893"/>
      <w:bookmarkStart w:id="12" w:name="_Toc532371723"/>
      <w:bookmarkStart w:id="13" w:name="_Toc536519354"/>
      <w:bookmarkStart w:id="14" w:name="_Toc212606745"/>
      <w:bookmarkStart w:id="15" w:name="_Toc212606825"/>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shall come into operation on 1 January 1984.</w:t>
      </w:r>
    </w:p>
    <w:p>
      <w:pPr>
        <w:pStyle w:val="Heading5"/>
      </w:pPr>
      <w:bookmarkStart w:id="16" w:name="endcomma"/>
      <w:bookmarkStart w:id="17" w:name="_Toc435406894"/>
      <w:bookmarkStart w:id="18" w:name="_Toc532371724"/>
      <w:bookmarkStart w:id="19" w:name="_Toc536519355"/>
      <w:bookmarkStart w:id="20" w:name="_Toc212606746"/>
      <w:bookmarkStart w:id="21" w:name="_Toc212606826"/>
      <w:bookmarkStart w:id="22" w:name="_Toc379274243"/>
      <w:bookmarkStart w:id="23" w:name="_Toc425241669"/>
      <w:bookmarkEnd w:id="16"/>
      <w:r>
        <w:rPr>
          <w:rStyle w:val="CharSectno"/>
        </w:rPr>
        <w:t>3</w:t>
      </w:r>
      <w:r>
        <w:t>.</w:t>
      </w:r>
      <w:r>
        <w:tab/>
      </w:r>
      <w:del w:id="24" w:author="Master Repository Process" w:date="2021-09-18T18:28:00Z">
        <w:r>
          <w:rPr>
            <w:snapToGrid w:val="0"/>
          </w:rPr>
          <w:delText>Interpretation</w:delText>
        </w:r>
        <w:bookmarkEnd w:id="17"/>
        <w:bookmarkEnd w:id="18"/>
        <w:bookmarkEnd w:id="19"/>
        <w:bookmarkEnd w:id="20"/>
        <w:bookmarkEnd w:id="21"/>
        <w:r>
          <w:rPr>
            <w:snapToGrid w:val="0"/>
          </w:rPr>
          <w:delText xml:space="preserve"> </w:delText>
        </w:r>
      </w:del>
      <w:ins w:id="25" w:author="Master Repository Process" w:date="2021-09-18T18:28:00Z">
        <w:r>
          <w:t>Terms used</w:t>
        </w:r>
      </w:ins>
      <w:bookmarkEnd w:id="22"/>
      <w:bookmarkEnd w:id="23"/>
    </w:p>
    <w:p>
      <w:pPr>
        <w:pStyle w:val="Subsection"/>
      </w:pPr>
      <w:r>
        <w:tab/>
      </w:r>
      <w:ins w:id="26" w:author="Master Repository Process" w:date="2021-09-18T18:28:00Z">
        <w:r>
          <w:t>(1)</w:t>
        </w:r>
      </w:ins>
      <w:r>
        <w:tab/>
        <w:t>In these regulations</w:t>
      </w:r>
      <w:del w:id="27" w:author="Master Repository Process" w:date="2021-09-18T18:28:00Z">
        <w:r>
          <w:rPr>
            <w:snapToGrid w:val="0"/>
          </w:rPr>
          <w:delText>, unless the contrary intention appears — </w:delText>
        </w:r>
      </w:del>
      <w:ins w:id="28" w:author="Master Repository Process" w:date="2021-09-18T18:28:00Z">
        <w:r>
          <w:t> —</w:t>
        </w:r>
      </w:ins>
    </w:p>
    <w:p>
      <w:pPr>
        <w:pStyle w:val="Defstart"/>
        <w:rPr>
          <w:del w:id="29" w:author="Master Repository Process" w:date="2021-09-18T18:28:00Z"/>
        </w:rPr>
      </w:pPr>
      <w:del w:id="30" w:author="Master Repository Process" w:date="2021-09-18T18:28:00Z">
        <w:r>
          <w:rPr>
            <w:b/>
          </w:rPr>
          <w:tab/>
        </w:r>
        <w:r>
          <w:rPr>
            <w:rStyle w:val="CharDefText"/>
          </w:rPr>
          <w:delText>Authority</w:delText>
        </w:r>
        <w:r>
          <w:delText xml:space="preserve"> means the chief executive officer; and</w:delText>
        </w:r>
      </w:del>
    </w:p>
    <w:p>
      <w:pPr>
        <w:pStyle w:val="Defstart"/>
        <w:rPr>
          <w:del w:id="31" w:author="Master Repository Process" w:date="2021-09-18T18:28:00Z"/>
        </w:rPr>
      </w:pPr>
      <w:r>
        <w:tab/>
      </w:r>
      <w:r>
        <w:rPr>
          <w:rStyle w:val="CharDefText"/>
        </w:rPr>
        <w:t>Code</w:t>
      </w:r>
      <w:r>
        <w:t xml:space="preserve"> means the Uniform Shipping Laws Code</w:t>
      </w:r>
      <w:del w:id="32" w:author="Master Repository Process" w:date="2021-09-18T18:28:00Z">
        <w:r>
          <w:delText xml:space="preserve"> incorporating the amendments adopted by the Australian Transport Council on 1 October 2007;</w:delText>
        </w:r>
      </w:del>
    </w:p>
    <w:p>
      <w:pPr>
        <w:pStyle w:val="Defstart"/>
        <w:rPr>
          <w:del w:id="33" w:author="Master Repository Process" w:date="2021-09-18T18:28:00Z"/>
        </w:rPr>
      </w:pPr>
      <w:del w:id="34" w:author="Master Repository Process" w:date="2021-09-18T18:28:00Z">
        <w:r>
          <w:rPr>
            <w:b/>
          </w:rPr>
          <w:tab/>
        </w:r>
        <w:r>
          <w:rPr>
            <w:rStyle w:val="CharDefText"/>
          </w:rPr>
          <w:delText>NSCV</w:delText>
        </w:r>
        <w:r>
          <w:delText xml:space="preserve"> means the National Standard for Commercial Vessels described in the Code.</w:delText>
        </w:r>
      </w:del>
    </w:p>
    <w:p>
      <w:pPr>
        <w:pStyle w:val="Defstart"/>
      </w:pPr>
      <w:del w:id="35" w:author="Master Repository Process" w:date="2021-09-18T18:28:00Z">
        <w:r>
          <w:tab/>
          <w:delText>Note:</w:delText>
        </w:r>
        <w:r>
          <w:tab/>
          <w:delText xml:space="preserve">The definition of </w:delText>
        </w:r>
        <w:r>
          <w:rPr>
            <w:b/>
            <w:bCs/>
            <w:i/>
            <w:iCs/>
          </w:rPr>
          <w:delText>Code</w:delText>
        </w:r>
        <w:r>
          <w:delText xml:space="preserve"> refers to the Code as amended by Amendment Lists 5 and 6 adopted by the Australian Transport Council on 1 October 2007 and available at </w:delText>
        </w:r>
        <w:r>
          <w:rPr>
            <w:color w:val="0000FF"/>
            <w:u w:val="single"/>
          </w:rPr>
          <w:delText>http:/www.nmsc.gov.au/uslcode_2.html</w:delText>
        </w:r>
        <w:r>
          <w:delText xml:space="preserve"> . That version of the Code contains provisions that affect the operation of regulations that refer to it, and should be</w:delText>
        </w:r>
      </w:del>
      <w:ins w:id="36" w:author="Master Repository Process" w:date="2021-09-18T18:28:00Z">
        <w:r>
          <w:t>,</w:t>
        </w:r>
      </w:ins>
      <w:r>
        <w:t xml:space="preserve"> referred to </w:t>
      </w:r>
      <w:del w:id="37" w:author="Master Repository Process" w:date="2021-09-18T18:28:00Z">
        <w:r>
          <w:delText>when interpreting those regulations</w:delText>
        </w:r>
      </w:del>
      <w:ins w:id="38" w:author="Master Repository Process" w:date="2021-09-18T18:28:00Z">
        <w:r>
          <w:t>in section 115 of the Act, as in existence on 1 October 2009</w:t>
        </w:r>
      </w:ins>
      <w:r>
        <w:t>.</w:t>
      </w:r>
    </w:p>
    <w:p>
      <w:pPr>
        <w:pStyle w:val="Subsection"/>
        <w:rPr>
          <w:ins w:id="39" w:author="Master Repository Process" w:date="2021-09-18T18:28:00Z"/>
        </w:rPr>
      </w:pPr>
      <w:ins w:id="40" w:author="Master Repository Process" w:date="2021-09-18T18:28:00Z">
        <w:r>
          <w:tab/>
          <w:t>(2)</w:t>
        </w:r>
        <w:r>
          <w:tab/>
          <w:t>In the provisions of the Code incorporated in these regulations, a term has the same meaning as it has in the Code.</w:t>
        </w:r>
      </w:ins>
    </w:p>
    <w:p>
      <w:pPr>
        <w:pStyle w:val="Footnotesection"/>
      </w:pPr>
      <w:r>
        <w:tab/>
        <w:t xml:space="preserve">[Regulation 3 </w:t>
      </w:r>
      <w:del w:id="41" w:author="Master Repository Process" w:date="2021-09-18T18:28:00Z">
        <w:r>
          <w:delText>amended in</w:delText>
        </w:r>
      </w:del>
      <w:ins w:id="42" w:author="Master Repository Process" w:date="2021-09-18T18:28:00Z">
        <w:r>
          <w:t>inserted:</w:t>
        </w:r>
      </w:ins>
      <w:r>
        <w:t xml:space="preserve"> Gazette 11 </w:t>
      </w:r>
      <w:del w:id="43" w:author="Master Repository Process" w:date="2021-09-18T18:28:00Z">
        <w:r>
          <w:delText>Aug 1992</w:delText>
        </w:r>
      </w:del>
      <w:ins w:id="44" w:author="Master Repository Process" w:date="2021-09-18T18:28:00Z">
        <w:r>
          <w:t>Dec 2009</w:t>
        </w:r>
      </w:ins>
      <w:r>
        <w:t xml:space="preserve"> p. </w:t>
      </w:r>
      <w:del w:id="45" w:author="Master Repository Process" w:date="2021-09-18T18:28:00Z">
        <w:r>
          <w:delText xml:space="preserve">3978; 24 Oct 2008 p. 4672-3.] </w:delText>
        </w:r>
      </w:del>
      <w:ins w:id="46" w:author="Master Repository Process" w:date="2021-09-18T18:28:00Z">
        <w:r>
          <w:t>5093.]</w:t>
        </w:r>
      </w:ins>
    </w:p>
    <w:p>
      <w:pPr>
        <w:pStyle w:val="Heading5"/>
        <w:rPr>
          <w:del w:id="47" w:author="Master Repository Process" w:date="2021-09-18T18:28:00Z"/>
          <w:snapToGrid w:val="0"/>
        </w:rPr>
      </w:pPr>
      <w:bookmarkStart w:id="48" w:name="_Toc435406895"/>
      <w:bookmarkStart w:id="49" w:name="_Toc532371725"/>
      <w:bookmarkStart w:id="50" w:name="_Toc536519356"/>
      <w:bookmarkStart w:id="51" w:name="_Toc212606747"/>
      <w:bookmarkStart w:id="52" w:name="_Toc212606827"/>
      <w:bookmarkStart w:id="53" w:name="_Toc379274244"/>
      <w:bookmarkStart w:id="54" w:name="_Toc425241670"/>
      <w:r>
        <w:rPr>
          <w:rStyle w:val="CharSectno"/>
        </w:rPr>
        <w:t>4</w:t>
      </w:r>
      <w:r>
        <w:t>.</w:t>
      </w:r>
      <w:r>
        <w:tab/>
      </w:r>
      <w:del w:id="55" w:author="Master Repository Process" w:date="2021-09-18T18:28:00Z">
        <w:r>
          <w:rPr>
            <w:snapToGrid w:val="0"/>
          </w:rPr>
          <w:delText>Application</w:delText>
        </w:r>
        <w:bookmarkEnd w:id="48"/>
        <w:bookmarkEnd w:id="49"/>
        <w:bookmarkEnd w:id="50"/>
        <w:bookmarkEnd w:id="51"/>
        <w:bookmarkEnd w:id="52"/>
        <w:r>
          <w:rPr>
            <w:snapToGrid w:val="0"/>
          </w:rPr>
          <w:delText xml:space="preserve"> </w:delText>
        </w:r>
      </w:del>
    </w:p>
    <w:p>
      <w:pPr>
        <w:pStyle w:val="Subsection"/>
        <w:rPr>
          <w:del w:id="56" w:author="Master Repository Process" w:date="2021-09-18T18:28:00Z"/>
          <w:snapToGrid w:val="0"/>
        </w:rPr>
      </w:pPr>
      <w:del w:id="57" w:author="Master Repository Process" w:date="2021-09-18T18:28:00Z">
        <w:r>
          <w:rPr>
            <w:snapToGrid w:val="0"/>
          </w:rPr>
          <w:tab/>
        </w:r>
        <w:r>
          <w:rPr>
            <w:snapToGrid w:val="0"/>
          </w:rPr>
          <w:tab/>
          <w:delText>These regulations apply to all vessels to which the Act applies.</w:delText>
        </w:r>
      </w:del>
    </w:p>
    <w:p>
      <w:pPr>
        <w:pStyle w:val="Heading5"/>
      </w:pPr>
      <w:bookmarkStart w:id="58" w:name="_Toc435406896"/>
      <w:bookmarkStart w:id="59" w:name="_Toc532371726"/>
      <w:bookmarkStart w:id="60" w:name="_Toc536519357"/>
      <w:bookmarkStart w:id="61" w:name="_Toc212606748"/>
      <w:bookmarkStart w:id="62" w:name="_Toc212606828"/>
      <w:del w:id="63" w:author="Master Repository Process" w:date="2021-09-18T18:28:00Z">
        <w:r>
          <w:rPr>
            <w:rStyle w:val="CharSectno"/>
          </w:rPr>
          <w:delText>5</w:delText>
        </w:r>
        <w:r>
          <w:rPr>
            <w:snapToGrid w:val="0"/>
          </w:rPr>
          <w:delText>.</w:delText>
        </w:r>
        <w:r>
          <w:rPr>
            <w:snapToGrid w:val="0"/>
          </w:rPr>
          <w:tab/>
          <w:delText>Application</w:delText>
        </w:r>
      </w:del>
      <w:ins w:id="64" w:author="Master Repository Process" w:date="2021-09-18T18:28:00Z">
        <w:r>
          <w:t>Incorporation</w:t>
        </w:r>
      </w:ins>
      <w:r>
        <w:t xml:space="preserve"> of Section 15 of Code</w:t>
      </w:r>
      <w:bookmarkEnd w:id="53"/>
      <w:bookmarkEnd w:id="54"/>
      <w:bookmarkEnd w:id="58"/>
      <w:bookmarkEnd w:id="59"/>
      <w:bookmarkEnd w:id="60"/>
      <w:bookmarkEnd w:id="61"/>
      <w:bookmarkEnd w:id="62"/>
      <w:del w:id="65" w:author="Master Repository Process" w:date="2021-09-18T18:28:00Z">
        <w:r>
          <w:rPr>
            <w:snapToGrid w:val="0"/>
          </w:rPr>
          <w:delText xml:space="preserve"> </w:delText>
        </w:r>
      </w:del>
    </w:p>
    <w:p>
      <w:pPr>
        <w:pStyle w:val="Subsection"/>
      </w:pPr>
      <w:r>
        <w:tab/>
        <w:t>(1)</w:t>
      </w:r>
      <w:r>
        <w:tab/>
      </w:r>
      <w:del w:id="66" w:author="Master Repository Process" w:date="2021-09-18T18:28:00Z">
        <w:r>
          <w:rPr>
            <w:snapToGrid w:val="0"/>
          </w:rPr>
          <w:delText xml:space="preserve">Subject to subregulation (2), the </w:delText>
        </w:r>
      </w:del>
      <w:ins w:id="67" w:author="Master Repository Process" w:date="2021-09-18T18:28:00Z">
        <w:r>
          <w:t xml:space="preserve">The </w:t>
        </w:r>
      </w:ins>
      <w:r>
        <w:t>provisions of Section 15 of the Code</w:t>
      </w:r>
      <w:del w:id="68" w:author="Master Repository Process" w:date="2021-09-18T18:28:00Z">
        <w:r>
          <w:rPr>
            <w:snapToGrid w:val="0"/>
          </w:rPr>
          <w:delText xml:space="preserve"> </w:delText>
        </w:r>
      </w:del>
      <w:ins w:id="69" w:author="Master Repository Process" w:date="2021-09-18T18:28:00Z">
        <w:r>
          <w:t xml:space="preserve">, modified as set out in subregulation (2), </w:t>
        </w:r>
      </w:ins>
      <w:r>
        <w:t xml:space="preserve">are incorporated in these regulations and </w:t>
      </w:r>
      <w:del w:id="70" w:author="Master Repository Process" w:date="2021-09-18T18:28:00Z">
        <w:r>
          <w:rPr>
            <w:snapToGrid w:val="0"/>
          </w:rPr>
          <w:delText xml:space="preserve">shall </w:delText>
        </w:r>
      </w:del>
      <w:r>
        <w:rPr>
          <w:snapToGrid w:val="0"/>
        </w:rPr>
        <w:t>extend and apply to and in respect of all vessels and voyages to which the Act applies.</w:t>
      </w:r>
    </w:p>
    <w:p>
      <w:pPr>
        <w:pStyle w:val="Subsection"/>
        <w:rPr>
          <w:del w:id="71" w:author="Master Repository Process" w:date="2021-09-18T18:28:00Z"/>
          <w:snapToGrid w:val="0"/>
        </w:rPr>
      </w:pPr>
      <w:r>
        <w:tab/>
        <w:t>(2)</w:t>
      </w:r>
      <w:r>
        <w:tab/>
      </w:r>
      <w:del w:id="72" w:author="Master Repository Process" w:date="2021-09-18T18:28:00Z">
        <w:r>
          <w:rPr>
            <w:snapToGrid w:val="0"/>
          </w:rPr>
          <w:delText xml:space="preserve">The incorporation and application of </w:delText>
        </w:r>
      </w:del>
      <w:ins w:id="73" w:author="Master Repository Process" w:date="2021-09-18T18:28:00Z">
        <w:r>
          <w:t xml:space="preserve">For the purposes of subregulation (1) </w:t>
        </w:r>
      </w:ins>
      <w:r>
        <w:t xml:space="preserve">Section 15 of the Code </w:t>
      </w:r>
      <w:del w:id="74" w:author="Master Repository Process" w:date="2021-09-18T18:28:00Z">
        <w:r>
          <w:rPr>
            <w:snapToGrid w:val="0"/>
          </w:rPr>
          <w:delText xml:space="preserve">by subregulation (1) </w:delText>
        </w:r>
      </w:del>
      <w:r>
        <w:t xml:space="preserve">is </w:t>
      </w:r>
      <w:del w:id="75" w:author="Master Repository Process" w:date="2021-09-18T18:28:00Z">
        <w:r>
          <w:rPr>
            <w:snapToGrid w:val="0"/>
          </w:rPr>
          <w:delText>subject to the following modifications — </w:delText>
        </w:r>
      </w:del>
    </w:p>
    <w:p>
      <w:pPr>
        <w:pStyle w:val="Indenta"/>
        <w:rPr>
          <w:del w:id="76" w:author="Master Repository Process" w:date="2021-09-18T18:28:00Z"/>
          <w:snapToGrid w:val="0"/>
        </w:rPr>
      </w:pPr>
      <w:del w:id="77" w:author="Master Repository Process" w:date="2021-09-18T18:28:00Z">
        <w:r>
          <w:rPr>
            <w:snapToGrid w:val="0"/>
          </w:rPr>
          <w:tab/>
          <w:delText>(a)</w:delText>
        </w:r>
        <w:r>
          <w:rPr>
            <w:snapToGrid w:val="0"/>
          </w:rPr>
          <w:tab/>
          <w:delText>clauses 4.1, 5.1, 7.2, 7.5, 7.6, 7.7, 7.8, 8.1, 8.3, 9.1 and 9.3 shall not apply to vessels of Classes 2B, 2C, 2D, 2E, 3A, 3B, 3C, 3D and 3E not exceeding 25 metres in length where the number of persons on board, excluding passengers, does not exceed 4;</w:delText>
        </w:r>
      </w:del>
    </w:p>
    <w:p>
      <w:pPr>
        <w:pStyle w:val="Indenta"/>
        <w:rPr>
          <w:del w:id="78" w:author="Master Repository Process" w:date="2021-09-18T18:28:00Z"/>
          <w:snapToGrid w:val="0"/>
        </w:rPr>
      </w:pPr>
      <w:del w:id="79" w:author="Master Repository Process" w:date="2021-09-18T18:28:00Z">
        <w:r>
          <w:rPr>
            <w:snapToGrid w:val="0"/>
          </w:rPr>
          <w:tab/>
          <w:delText>(b)</w:delText>
        </w:r>
        <w:r>
          <w:rPr>
            <w:snapToGrid w:val="0"/>
          </w:rPr>
          <w:tab/>
          <w:delText>for clause 10.1 there shall be substituted the following — </w:delText>
        </w:r>
      </w:del>
    </w:p>
    <w:p>
      <w:pPr>
        <w:pStyle w:val="Subsection"/>
        <w:tabs>
          <w:tab w:val="clear" w:pos="879"/>
          <w:tab w:val="left" w:pos="1560"/>
          <w:tab w:val="left" w:pos="2268"/>
          <w:tab w:val="left" w:pos="2977"/>
        </w:tabs>
        <w:ind w:left="1985" w:hanging="1985"/>
        <w:rPr>
          <w:del w:id="80" w:author="Master Repository Process" w:date="2021-09-18T18:28:00Z"/>
          <w:snapToGrid w:val="0"/>
        </w:rPr>
      </w:pPr>
      <w:del w:id="81" w:author="Master Repository Process" w:date="2021-09-18T18:28:00Z">
        <w:r>
          <w:rPr>
            <w:snapToGrid w:val="0"/>
          </w:rPr>
          <w:tab/>
        </w:r>
        <w:r>
          <w:rPr>
            <w:snapToGrid w:val="0"/>
          </w:rPr>
          <w:tab/>
          <w:delText>“</w:delText>
        </w:r>
        <w:r>
          <w:rPr>
            <w:snapToGrid w:val="0"/>
          </w:rPr>
          <w:tab/>
        </w:r>
        <w:r>
          <w:rPr>
            <w:snapToGrid w:val="0"/>
          </w:rPr>
          <w:tab/>
          <w:delText xml:space="preserve">10.1 </w:delText>
        </w:r>
        <w:r>
          <w:rPr>
            <w:snapToGrid w:val="0"/>
          </w:rPr>
          <w:tab/>
          <w:delText xml:space="preserve">The master of </w:delText>
        </w:r>
      </w:del>
      <w:ins w:id="82" w:author="Master Repository Process" w:date="2021-09-18T18:28:00Z">
        <w:r>
          <w:t xml:space="preserve">modified as follows — </w:t>
        </w:r>
      </w:ins>
      <w:r>
        <w:t xml:space="preserve">a </w:t>
      </w:r>
      <w:del w:id="83" w:author="Master Repository Process" w:date="2021-09-18T18:28:00Z">
        <w:r>
          <w:rPr>
            <w:snapToGrid w:val="0"/>
          </w:rPr>
          <w:delText>Class 1B vessel having a length in excess of 45 metres shall — </w:delText>
        </w:r>
      </w:del>
    </w:p>
    <w:p>
      <w:pPr>
        <w:pStyle w:val="IndentI0"/>
        <w:rPr>
          <w:del w:id="84" w:author="Master Repository Process" w:date="2021-09-18T18:28:00Z"/>
          <w:snapToGrid w:val="0"/>
        </w:rPr>
      </w:pPr>
      <w:del w:id="85" w:author="Master Repository Process" w:date="2021-09-18T18:28:00Z">
        <w:r>
          <w:rPr>
            <w:snapToGrid w:val="0"/>
          </w:rPr>
          <w:tab/>
          <w:delText>(a)</w:delText>
        </w:r>
        <w:r>
          <w:rPr>
            <w:snapToGrid w:val="0"/>
          </w:rPr>
          <w:tab/>
          <w:delText>drill those members of the crew assigned for special duties in connection with the assembly and use of rocket line throwing apparatus at such times as he thinks fit; and</w:delText>
        </w:r>
      </w:del>
    </w:p>
    <w:p>
      <w:pPr>
        <w:pStyle w:val="IndentI0"/>
        <w:rPr>
          <w:del w:id="86" w:author="Master Repository Process" w:date="2021-09-18T18:28:00Z"/>
          <w:snapToGrid w:val="0"/>
        </w:rPr>
      </w:pPr>
      <w:del w:id="87" w:author="Master Repository Process" w:date="2021-09-18T18:28:00Z">
        <w:r>
          <w:rPr>
            <w:snapToGrid w:val="0"/>
          </w:rPr>
          <w:tab/>
          <w:delText>(b)</w:delText>
        </w:r>
        <w:r>
          <w:rPr>
            <w:snapToGrid w:val="0"/>
          </w:rPr>
          <w:tab/>
          <w:delText>hold practices with the apparatus within 1 week of the commencement of an agreement with a new crew and thereafter at intervals of not more than 3 months.</w:delText>
        </w:r>
      </w:del>
    </w:p>
    <w:p>
      <w:pPr>
        <w:pStyle w:val="Subsection"/>
        <w:tabs>
          <w:tab w:val="clear" w:pos="595"/>
          <w:tab w:val="clear" w:pos="879"/>
          <w:tab w:val="left" w:pos="2268"/>
          <w:tab w:val="left" w:pos="2977"/>
        </w:tabs>
        <w:ind w:left="1985" w:hanging="1985"/>
        <w:rPr>
          <w:del w:id="88" w:author="Master Repository Process" w:date="2021-09-18T18:28:00Z"/>
          <w:snapToGrid w:val="0"/>
        </w:rPr>
      </w:pPr>
      <w:del w:id="89" w:author="Master Repository Process" w:date="2021-09-18T18:28:00Z">
        <w:r>
          <w:rPr>
            <w:snapToGrid w:val="0"/>
          </w:rPr>
          <w:tab/>
        </w:r>
        <w:r>
          <w:rPr>
            <w:snapToGrid w:val="0"/>
          </w:rPr>
          <w:tab/>
          <w:delText xml:space="preserve">10.2 </w:delText>
        </w:r>
        <w:r>
          <w:rPr>
            <w:snapToGrid w:val="0"/>
          </w:rPr>
          <w:tab/>
          <w:delText>A practice with the rocket line throwing apparatus shall not be held — </w:delText>
        </w:r>
      </w:del>
    </w:p>
    <w:p>
      <w:pPr>
        <w:pStyle w:val="IndentI0"/>
        <w:rPr>
          <w:del w:id="90" w:author="Master Repository Process" w:date="2021-09-18T18:28:00Z"/>
          <w:snapToGrid w:val="0"/>
        </w:rPr>
      </w:pPr>
      <w:del w:id="91" w:author="Master Repository Process" w:date="2021-09-18T18:28:00Z">
        <w:r>
          <w:rPr>
            <w:snapToGrid w:val="0"/>
          </w:rPr>
          <w:tab/>
          <w:delText>(a)</w:delText>
        </w:r>
        <w:r>
          <w:rPr>
            <w:snapToGrid w:val="0"/>
          </w:rPr>
          <w:tab/>
          <w:delText>other than during the hours of daylight; or</w:delText>
        </w:r>
      </w:del>
    </w:p>
    <w:p>
      <w:pPr>
        <w:pStyle w:val="IndentI0"/>
        <w:rPr>
          <w:del w:id="92" w:author="Master Repository Process" w:date="2021-09-18T18:28:00Z"/>
          <w:snapToGrid w:val="0"/>
        </w:rPr>
      </w:pPr>
      <w:del w:id="93" w:author="Master Repository Process" w:date="2021-09-18T18:28:00Z">
        <w:r>
          <w:rPr>
            <w:snapToGrid w:val="0"/>
          </w:rPr>
          <w:tab/>
          <w:delText>(b)</w:delText>
        </w:r>
        <w:r>
          <w:rPr>
            <w:snapToGrid w:val="0"/>
          </w:rPr>
          <w:tab/>
        </w:r>
      </w:del>
      <w:ins w:id="94" w:author="Master Repository Process" w:date="2021-09-18T18:28:00Z">
        <w:r>
          <w:t xml:space="preserve">reference </w:t>
        </w:r>
      </w:ins>
      <w:r>
        <w:t xml:space="preserve">in </w:t>
      </w:r>
      <w:del w:id="95" w:author="Master Repository Process" w:date="2021-09-18T18:28:00Z">
        <w:r>
          <w:rPr>
            <w:snapToGrid w:val="0"/>
          </w:rPr>
          <w:delText>a port where the firing of the rocket would be likely to cause damage to property.</w:delText>
        </w:r>
      </w:del>
    </w:p>
    <w:p>
      <w:pPr>
        <w:pStyle w:val="Subsection"/>
        <w:tabs>
          <w:tab w:val="clear" w:pos="595"/>
          <w:tab w:val="clear" w:pos="879"/>
          <w:tab w:val="left" w:pos="2268"/>
          <w:tab w:val="left" w:pos="2977"/>
        </w:tabs>
        <w:ind w:left="1985" w:hanging="1985"/>
        <w:rPr>
          <w:del w:id="96" w:author="Master Repository Process" w:date="2021-09-18T18:28:00Z"/>
          <w:snapToGrid w:val="0"/>
        </w:rPr>
      </w:pPr>
      <w:del w:id="97" w:author="Master Repository Process" w:date="2021-09-18T18:28:00Z">
        <w:r>
          <w:rPr>
            <w:snapToGrid w:val="0"/>
          </w:rPr>
          <w:tab/>
        </w:r>
        <w:r>
          <w:rPr>
            <w:snapToGrid w:val="0"/>
          </w:rPr>
          <w:tab/>
          <w:delText xml:space="preserve">10.3 </w:delText>
        </w:r>
        <w:r>
          <w:rPr>
            <w:snapToGrid w:val="0"/>
          </w:rPr>
          <w:tab/>
          <w:delText xml:space="preserve">Nothing in this regulation authorizes or requires a practice with rocket line throwing apparatus that would involve a contravention of any other law.     ”; </w:delText>
        </w:r>
      </w:del>
    </w:p>
    <w:p>
      <w:pPr>
        <w:pStyle w:val="Indenta"/>
        <w:rPr>
          <w:del w:id="98" w:author="Master Repository Process" w:date="2021-09-18T18:28:00Z"/>
          <w:snapToGrid w:val="0"/>
        </w:rPr>
      </w:pPr>
      <w:del w:id="99" w:author="Master Repository Process" w:date="2021-09-18T18:28:00Z">
        <w:r>
          <w:rPr>
            <w:snapToGrid w:val="0"/>
          </w:rPr>
          <w:tab/>
        </w:r>
        <w:r>
          <w:rPr>
            <w:snapToGrid w:val="0"/>
          </w:rPr>
          <w:tab/>
          <w:delText>and</w:delText>
        </w:r>
      </w:del>
    </w:p>
    <w:p>
      <w:pPr>
        <w:pStyle w:val="Indenta"/>
        <w:rPr>
          <w:del w:id="100" w:author="Master Repository Process" w:date="2021-09-18T18:28:00Z"/>
          <w:snapToGrid w:val="0"/>
        </w:rPr>
      </w:pPr>
      <w:del w:id="101" w:author="Master Repository Process" w:date="2021-09-18T18:28:00Z">
        <w:r>
          <w:rPr>
            <w:snapToGrid w:val="0"/>
          </w:rPr>
          <w:tab/>
          <w:delText>(c)</w:delText>
        </w:r>
        <w:r>
          <w:rPr>
            <w:snapToGrid w:val="0"/>
          </w:rPr>
          <w:tab/>
          <w:delText>Part III shall be deleted.</w:delText>
        </w:r>
      </w:del>
    </w:p>
    <w:p>
      <w:pPr>
        <w:pStyle w:val="Heading5"/>
        <w:rPr>
          <w:del w:id="102" w:author="Master Repository Process" w:date="2021-09-18T18:28:00Z"/>
          <w:snapToGrid w:val="0"/>
        </w:rPr>
      </w:pPr>
      <w:bookmarkStart w:id="103" w:name="_Toc435406897"/>
      <w:bookmarkStart w:id="104" w:name="_Toc532371727"/>
      <w:bookmarkStart w:id="105" w:name="_Toc536519358"/>
      <w:bookmarkStart w:id="106" w:name="_Toc212606749"/>
      <w:bookmarkStart w:id="107" w:name="_Toc212606829"/>
      <w:del w:id="108" w:author="Master Repository Process" w:date="2021-09-18T18:28:00Z">
        <w:r>
          <w:rPr>
            <w:rStyle w:val="CharSectno"/>
          </w:rPr>
          <w:delText>6</w:delText>
        </w:r>
        <w:r>
          <w:rPr>
            <w:snapToGrid w:val="0"/>
          </w:rPr>
          <w:delText>.</w:delText>
        </w:r>
        <w:r>
          <w:rPr>
            <w:snapToGrid w:val="0"/>
          </w:rPr>
          <w:tab/>
          <w:delText>Responsibility of master of certain vessels</w:delText>
        </w:r>
        <w:bookmarkEnd w:id="103"/>
        <w:bookmarkEnd w:id="104"/>
        <w:bookmarkEnd w:id="105"/>
        <w:bookmarkEnd w:id="106"/>
        <w:bookmarkEnd w:id="107"/>
        <w:r>
          <w:rPr>
            <w:snapToGrid w:val="0"/>
          </w:rPr>
          <w:delText xml:space="preserve"> </w:delText>
        </w:r>
      </w:del>
    </w:p>
    <w:p>
      <w:pPr>
        <w:pStyle w:val="Subsection"/>
      </w:pPr>
      <w:del w:id="109" w:author="Master Repository Process" w:date="2021-09-18T18:28:00Z">
        <w:r>
          <w:rPr>
            <w:snapToGrid w:val="0"/>
          </w:rPr>
          <w:tab/>
        </w:r>
        <w:r>
          <w:rPr>
            <w:snapToGrid w:val="0"/>
          </w:rPr>
          <w:tab/>
          <w:delText xml:space="preserve">The master of a vessel to which various clauses of </w:delText>
        </w:r>
      </w:del>
      <w:r>
        <w:t xml:space="preserve">Section 15 of the Code </w:t>
      </w:r>
      <w:del w:id="110" w:author="Master Repository Process" w:date="2021-09-18T18:28:00Z">
        <w:r>
          <w:rPr>
            <w:snapToGrid w:val="0"/>
          </w:rPr>
          <w:delText>do not apply by reason of regulation 5(2)(a) shall ensure that — </w:delText>
        </w:r>
      </w:del>
      <w:ins w:id="111" w:author="Master Repository Process" w:date="2021-09-18T18:28:00Z">
        <w:r>
          <w:t xml:space="preserve">to Part E of the National Standard for Commercial Vessels does not include a reference to either of the following — </w:t>
        </w:r>
      </w:ins>
    </w:p>
    <w:p>
      <w:pPr>
        <w:pStyle w:val="Indenta"/>
        <w:rPr>
          <w:del w:id="112" w:author="Master Repository Process" w:date="2021-09-18T18:28:00Z"/>
          <w:snapToGrid w:val="0"/>
        </w:rPr>
      </w:pPr>
      <w:del w:id="113" w:author="Master Repository Process" w:date="2021-09-18T18:28:00Z">
        <w:r>
          <w:rPr>
            <w:snapToGrid w:val="0"/>
          </w:rPr>
          <w:tab/>
          <w:delText xml:space="preserve">(a) </w:delText>
        </w:r>
        <w:r>
          <w:rPr>
            <w:snapToGrid w:val="0"/>
          </w:rPr>
          <w:tab/>
          <w:delText>the crew of the vessel is familiar with the procedure for launching survival craft;</w:delText>
        </w:r>
      </w:del>
    </w:p>
    <w:p>
      <w:pPr>
        <w:pStyle w:val="Indenta"/>
        <w:rPr>
          <w:del w:id="114" w:author="Master Repository Process" w:date="2021-09-18T18:28:00Z"/>
          <w:snapToGrid w:val="0"/>
        </w:rPr>
      </w:pPr>
      <w:del w:id="115" w:author="Master Repository Process" w:date="2021-09-18T18:28:00Z">
        <w:r>
          <w:rPr>
            <w:snapToGrid w:val="0"/>
          </w:rPr>
          <w:tab/>
          <w:delText xml:space="preserve">(b) </w:delText>
        </w:r>
        <w:r>
          <w:rPr>
            <w:snapToGrid w:val="0"/>
          </w:rPr>
          <w:tab/>
          <w:delText>survival craft are kept ready for launching at all times;</w:delText>
        </w:r>
      </w:del>
    </w:p>
    <w:p>
      <w:pPr>
        <w:pStyle w:val="Indenta"/>
        <w:rPr>
          <w:del w:id="116" w:author="Master Repository Process" w:date="2021-09-18T18:28:00Z"/>
          <w:snapToGrid w:val="0"/>
        </w:rPr>
      </w:pPr>
      <w:del w:id="117" w:author="Master Repository Process" w:date="2021-09-18T18:28:00Z">
        <w:r>
          <w:rPr>
            <w:snapToGrid w:val="0"/>
          </w:rPr>
          <w:tab/>
          <w:delText xml:space="preserve">(c) </w:delText>
        </w:r>
        <w:r>
          <w:rPr>
            <w:snapToGrid w:val="0"/>
          </w:rPr>
          <w:tab/>
          <w:delText>all crew members are instructed in and familiar with fire fighting procedures; and</w:delText>
        </w:r>
      </w:del>
    </w:p>
    <w:p>
      <w:pPr>
        <w:pStyle w:val="Indenta"/>
        <w:rPr>
          <w:del w:id="118" w:author="Master Repository Process" w:date="2021-09-18T18:28:00Z"/>
          <w:snapToGrid w:val="0"/>
        </w:rPr>
      </w:pPr>
      <w:del w:id="119" w:author="Master Repository Process" w:date="2021-09-18T18:28:00Z">
        <w:r>
          <w:rPr>
            <w:snapToGrid w:val="0"/>
          </w:rPr>
          <w:tab/>
          <w:delText xml:space="preserve">(d) </w:delText>
        </w:r>
        <w:r>
          <w:rPr>
            <w:snapToGrid w:val="0"/>
          </w:rPr>
          <w:tab/>
          <w:delText>all crew members are familiar with collision procedures.</w:delText>
        </w:r>
      </w:del>
    </w:p>
    <w:p>
      <w:pPr>
        <w:pStyle w:val="Indenta"/>
        <w:rPr>
          <w:ins w:id="120" w:author="Master Repository Process" w:date="2021-09-18T18:28:00Z"/>
        </w:rPr>
      </w:pPr>
      <w:ins w:id="121" w:author="Master Repository Process" w:date="2021-09-18T18:28:00Z">
        <w:r>
          <w:tab/>
          <w:t>(a)</w:t>
        </w:r>
        <w:r>
          <w:tab/>
          <w:t>Part E item 2.8.5.2 of that Standard;</w:t>
        </w:r>
      </w:ins>
    </w:p>
    <w:p>
      <w:pPr>
        <w:pStyle w:val="Indenta"/>
        <w:rPr>
          <w:ins w:id="122" w:author="Master Repository Process" w:date="2021-09-18T18:28:00Z"/>
        </w:rPr>
      </w:pPr>
      <w:ins w:id="123" w:author="Master Repository Process" w:date="2021-09-18T18:28:00Z">
        <w:r>
          <w:tab/>
          <w:t>(b)</w:t>
        </w:r>
        <w:r>
          <w:tab/>
          <w:t>Part E item 2.11.1.3 of that Standard.</w:t>
        </w:r>
      </w:ins>
    </w:p>
    <w:p>
      <w:pPr>
        <w:pStyle w:val="Footnotesection"/>
        <w:rPr>
          <w:ins w:id="124" w:author="Master Repository Process" w:date="2021-09-18T18:28:00Z"/>
        </w:rPr>
      </w:pPr>
      <w:ins w:id="125" w:author="Master Repository Process" w:date="2021-09-18T18:28:00Z">
        <w:r>
          <w:tab/>
          <w:t>[Regulation 4 inserted: Gazette 11 Dec 2009 p. 5093</w:t>
        </w:r>
        <w:r>
          <w:noBreakHyphen/>
          <w:t>4.]</w:t>
        </w:r>
      </w:ins>
    </w:p>
    <w:p>
      <w:pPr>
        <w:pStyle w:val="Ednotesection"/>
        <w:rPr>
          <w:ins w:id="126" w:author="Master Repository Process" w:date="2021-09-18T18:28:00Z"/>
        </w:rPr>
      </w:pPr>
      <w:ins w:id="127" w:author="Master Repository Process" w:date="2021-09-18T18:28:00Z">
        <w:r>
          <w:t>[</w:t>
        </w:r>
        <w:r>
          <w:rPr>
            <w:b/>
          </w:rPr>
          <w:t>5, 6.</w:t>
        </w:r>
        <w:r>
          <w:t xml:space="preserve"> </w:t>
        </w:r>
        <w:r>
          <w:tab/>
          <w:t>Deleted: Gazette 11 Dec 2009 p. 5093.]</w:t>
        </w:r>
      </w:ins>
    </w:p>
    <w:p>
      <w:pPr>
        <w:pStyle w:val="Heading5"/>
        <w:rPr>
          <w:snapToGrid w:val="0"/>
        </w:rPr>
      </w:pPr>
      <w:bookmarkStart w:id="128" w:name="_Toc379274245"/>
      <w:bookmarkStart w:id="129" w:name="_Toc425241671"/>
      <w:bookmarkStart w:id="130" w:name="_Toc435406898"/>
      <w:bookmarkStart w:id="131" w:name="_Toc532371728"/>
      <w:bookmarkStart w:id="132" w:name="_Toc536519359"/>
      <w:bookmarkStart w:id="133" w:name="_Toc212606750"/>
      <w:bookmarkStart w:id="134" w:name="_Toc212606830"/>
      <w:r>
        <w:rPr>
          <w:rStyle w:val="CharSectno"/>
        </w:rPr>
        <w:t>7</w:t>
      </w:r>
      <w:r>
        <w:rPr>
          <w:snapToGrid w:val="0"/>
        </w:rPr>
        <w:t>.</w:t>
      </w:r>
      <w:r>
        <w:rPr>
          <w:snapToGrid w:val="0"/>
        </w:rPr>
        <w:tab/>
        <w:t>Offences</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master of a vessel or any other person who without reasonable excuse contravenes or otherwise fails to comply with a requirement of these regulations is guilty of an offence and is liable on conviction to a fine of $1 000.</w:t>
      </w:r>
    </w:p>
    <w:p>
      <w:pPr>
        <w:pStyle w:val="Heading5"/>
        <w:rPr>
          <w:del w:id="135" w:author="Master Repository Process" w:date="2021-09-18T18:28:00Z"/>
        </w:rPr>
      </w:pPr>
      <w:ins w:id="136" w:author="Master Repository Process" w:date="2021-09-18T18:28:00Z">
        <w:r>
          <w:rPr>
            <w:rStyle w:val="CharSectno"/>
          </w:rPr>
          <w:t>[</w:t>
        </w:r>
      </w:ins>
      <w:bookmarkStart w:id="137" w:name="_Toc212606751"/>
      <w:bookmarkStart w:id="138" w:name="_Toc212606831"/>
      <w:bookmarkStart w:id="139" w:name="_Toc435406900"/>
      <w:bookmarkStart w:id="140" w:name="_Toc532371730"/>
      <w:bookmarkStart w:id="141" w:name="_Toc536519361"/>
      <w:r>
        <w:rPr>
          <w:rStyle w:val="CharSectno"/>
          <w:bCs/>
        </w:rPr>
        <w:t>8.</w:t>
      </w:r>
      <w:del w:id="142" w:author="Master Repository Process" w:date="2021-09-18T18:28:00Z">
        <w:r>
          <w:tab/>
          <w:delText>Construction of Code</w:delText>
        </w:r>
        <w:bookmarkEnd w:id="137"/>
        <w:bookmarkEnd w:id="138"/>
      </w:del>
    </w:p>
    <w:p>
      <w:pPr>
        <w:pStyle w:val="Subsection"/>
        <w:rPr>
          <w:del w:id="143" w:author="Master Repository Process" w:date="2021-09-18T18:28:00Z"/>
        </w:rPr>
      </w:pPr>
      <w:del w:id="144" w:author="Master Repository Process" w:date="2021-09-18T18:28:00Z">
        <w:r>
          <w:tab/>
        </w:r>
        <w:r>
          <w:tab/>
          <w:delText>In the construction of the Code as incorporated in these regulations, words and expressions defined in the NSCV, Part B, Clause 1.8 shall, unless otherwise provided by the Act or these regulations, have the meanings assigned in that clause.</w:delText>
        </w:r>
      </w:del>
    </w:p>
    <w:p>
      <w:pPr>
        <w:pStyle w:val="Ednotesection"/>
        <w:rPr>
          <w:rStyle w:val="CharSectno"/>
        </w:rPr>
      </w:pPr>
      <w:del w:id="145" w:author="Master Repository Process" w:date="2021-09-18T18:28:00Z">
        <w:r>
          <w:tab/>
          <w:delText>[Regulation 8 inserted in</w:delText>
        </w:r>
      </w:del>
      <w:ins w:id="146" w:author="Master Repository Process" w:date="2021-09-18T18:28:00Z">
        <w:r>
          <w:rPr>
            <w:rStyle w:val="CharSectno"/>
          </w:rPr>
          <w:t xml:space="preserve"> </w:t>
        </w:r>
        <w:r>
          <w:rPr>
            <w:rStyle w:val="CharSectno"/>
          </w:rPr>
          <w:tab/>
          <w:t>Deleted:</w:t>
        </w:r>
      </w:ins>
      <w:r>
        <w:rPr>
          <w:rStyle w:val="CharSectno"/>
        </w:rPr>
        <w:t xml:space="preserve"> Gazette </w:t>
      </w:r>
      <w:del w:id="147" w:author="Master Repository Process" w:date="2021-09-18T18:28:00Z">
        <w:r>
          <w:delText>24 Oct 2008</w:delText>
        </w:r>
      </w:del>
      <w:ins w:id="148" w:author="Master Repository Process" w:date="2021-09-18T18:28:00Z">
        <w:r>
          <w:rPr>
            <w:rStyle w:val="CharSectno"/>
          </w:rPr>
          <w:t>11 Dec 2009</w:t>
        </w:r>
      </w:ins>
      <w:r>
        <w:rPr>
          <w:rStyle w:val="CharSectno"/>
        </w:rPr>
        <w:t xml:space="preserve"> p. </w:t>
      </w:r>
      <w:del w:id="149" w:author="Master Repository Process" w:date="2021-09-18T18:28:00Z">
        <w:r>
          <w:delText>4673</w:delText>
        </w:r>
      </w:del>
      <w:ins w:id="150" w:author="Master Repository Process" w:date="2021-09-18T18:28:00Z">
        <w:r>
          <w:rPr>
            <w:rStyle w:val="CharSectno"/>
          </w:rPr>
          <w:t>5094</w:t>
        </w:r>
      </w:ins>
      <w:r>
        <w:rPr>
          <w:rStyle w:val="CharSectno"/>
        </w:rPr>
        <w:t>.]</w:t>
      </w:r>
    </w:p>
    <w:p>
      <w:pPr>
        <w:pStyle w:val="Heading5"/>
        <w:rPr>
          <w:snapToGrid w:val="0"/>
        </w:rPr>
      </w:pPr>
      <w:bookmarkStart w:id="151" w:name="_Toc379274246"/>
      <w:bookmarkStart w:id="152" w:name="_Toc425241672"/>
      <w:bookmarkStart w:id="153" w:name="_Toc212606752"/>
      <w:bookmarkStart w:id="154" w:name="_Toc212606832"/>
      <w:r>
        <w:rPr>
          <w:rStyle w:val="CharSectno"/>
        </w:rPr>
        <w:t>9</w:t>
      </w:r>
      <w:r>
        <w:rPr>
          <w:snapToGrid w:val="0"/>
        </w:rPr>
        <w:t>.</w:t>
      </w:r>
      <w:r>
        <w:rPr>
          <w:snapToGrid w:val="0"/>
        </w:rPr>
        <w:tab/>
        <w:t>Classification of vessels</w:t>
      </w:r>
      <w:bookmarkEnd w:id="151"/>
      <w:bookmarkEnd w:id="152"/>
      <w:bookmarkEnd w:id="139"/>
      <w:bookmarkEnd w:id="140"/>
      <w:bookmarkEnd w:id="141"/>
      <w:bookmarkEnd w:id="153"/>
      <w:bookmarkEnd w:id="154"/>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155" w:name="_Toc379274247"/>
      <w:bookmarkStart w:id="156" w:name="_Toc425241651"/>
      <w:bookmarkStart w:id="157" w:name="_Toc425241673"/>
      <w:bookmarkStart w:id="158" w:name="_Toc212606753"/>
      <w:bookmarkStart w:id="159" w:name="_Toc212606822"/>
      <w:bookmarkStart w:id="160" w:name="_Toc212606833"/>
      <w:r>
        <w:t>Notes</w:t>
      </w:r>
      <w:bookmarkEnd w:id="155"/>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snapToGrid w:val="0"/>
        </w:rPr>
        <w:t>W.A. Marine (Emergency Procedures and Safety of Navigation) Regulations 1983</w:t>
      </w:r>
      <w:r>
        <w:rPr>
          <w:snapToGrid w:val="0"/>
        </w:rPr>
        <w:t xml:space="preserve"> and includes the amendments made by the other written laws referred to in the following table.</w:t>
      </w:r>
      <w:ins w:id="161" w:author="Master Repository Process" w:date="2021-09-18T18:28:00Z">
        <w:r>
          <w:rPr>
            <w:snapToGrid w:val="0"/>
          </w:rPr>
          <w:t xml:space="preserve">  The table also contains information about any reprint.</w:t>
        </w:r>
      </w:ins>
    </w:p>
    <w:p>
      <w:pPr>
        <w:pStyle w:val="nHeading3"/>
        <w:rPr>
          <w:spacing w:val="-2"/>
        </w:rPr>
      </w:pPr>
      <w:bookmarkStart w:id="162" w:name="_Toc379274248"/>
      <w:bookmarkStart w:id="163" w:name="_Toc425241674"/>
      <w:bookmarkStart w:id="164" w:name="_Toc536519362"/>
      <w:bookmarkStart w:id="165" w:name="_Toc212606754"/>
      <w:bookmarkStart w:id="166" w:name="_Toc212606834"/>
      <w:r>
        <w:rPr>
          <w:snapToGrid w:val="0"/>
        </w:rPr>
        <w:t>Compilation table</w:t>
      </w:r>
      <w:bookmarkEnd w:id="162"/>
      <w:bookmarkEnd w:id="163"/>
      <w:bookmarkEnd w:id="164"/>
      <w:bookmarkEnd w:id="165"/>
      <w:bookmarkEnd w:id="166"/>
    </w:p>
    <w:tbl>
      <w:tblPr>
        <w:tblW w:w="7088" w:type="dxa"/>
        <w:tblInd w:w="56" w:type="dxa"/>
        <w:tblLayout w:type="fixed"/>
        <w:tblCellMar>
          <w:left w:w="28" w:type="dxa"/>
          <w:right w:w="28" w:type="dxa"/>
        </w:tblCellMar>
        <w:tblLook w:val="0000" w:firstRow="0" w:lastRow="0" w:firstColumn="0" w:lastColumn="0" w:noHBand="0" w:noVBand="0"/>
      </w:tblPr>
      <w:tblGrid>
        <w:gridCol w:w="3107"/>
        <w:gridCol w:w="11"/>
        <w:gridCol w:w="1277"/>
        <w:gridCol w:w="2674"/>
        <w:gridCol w:w="19"/>
      </w:tblGrid>
      <w:tr>
        <w:trPr>
          <w:cantSplit/>
          <w:tblHeader/>
        </w:trPr>
        <w:tc>
          <w:tcPr>
            <w:tcW w:w="3118" w:type="dxa"/>
            <w:gridSpan w:val="2"/>
            <w:tcBorders>
              <w:top w:val="single" w:sz="12" w:space="0" w:color="auto"/>
              <w:bottom w:val="single" w:sz="12" w:space="0" w:color="auto"/>
            </w:tcBorders>
          </w:tcPr>
          <w:p>
            <w:pPr>
              <w:pStyle w:val="nTable"/>
              <w:spacing w:before="60" w:after="60"/>
              <w:ind w:right="113"/>
              <w:rPr>
                <w:b/>
              </w:rPr>
            </w:pPr>
            <w:r>
              <w:rPr>
                <w:b/>
              </w:rPr>
              <w:t>Citation</w:t>
            </w:r>
          </w:p>
        </w:tc>
        <w:tc>
          <w:tcPr>
            <w:tcW w:w="1277" w:type="dxa"/>
            <w:tcBorders>
              <w:top w:val="single" w:sz="12" w:space="0" w:color="auto"/>
              <w:bottom w:val="single" w:sz="12" w:space="0" w:color="auto"/>
            </w:tcBorders>
          </w:tcPr>
          <w:p>
            <w:pPr>
              <w:pStyle w:val="nTable"/>
              <w:spacing w:before="60" w:after="60"/>
              <w:rPr>
                <w:b/>
              </w:rPr>
            </w:pPr>
            <w:r>
              <w:rPr>
                <w:b/>
              </w:rPr>
              <w:t>Gazettal</w:t>
            </w:r>
          </w:p>
        </w:tc>
        <w:tc>
          <w:tcPr>
            <w:tcW w:w="2693"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8" w:type="dxa"/>
            <w:gridSpan w:val="2"/>
          </w:tcPr>
          <w:p>
            <w:pPr>
              <w:pStyle w:val="nTable"/>
              <w:spacing w:before="120"/>
              <w:ind w:right="113"/>
            </w:pPr>
            <w:r>
              <w:rPr>
                <w:i/>
              </w:rPr>
              <w:t>W.A. Marine (Emergency Procedures and Safety of Navigation) Regulations 1983</w:t>
            </w:r>
          </w:p>
        </w:tc>
        <w:tc>
          <w:tcPr>
            <w:tcW w:w="1277" w:type="dxa"/>
          </w:tcPr>
          <w:p>
            <w:pPr>
              <w:pStyle w:val="nTable"/>
              <w:spacing w:before="120"/>
            </w:pPr>
            <w:r>
              <w:t>1 Jul 1983 p. 2182</w:t>
            </w:r>
            <w:r>
              <w:noBreakHyphen/>
              <w:t>3</w:t>
            </w:r>
          </w:p>
        </w:tc>
        <w:tc>
          <w:tcPr>
            <w:tcW w:w="2693" w:type="dxa"/>
            <w:gridSpan w:val="2"/>
          </w:tcPr>
          <w:p>
            <w:pPr>
              <w:pStyle w:val="nTable"/>
              <w:spacing w:before="120"/>
            </w:pPr>
            <w:r>
              <w:t>1 Jan 1984 (see r. 2)</w:t>
            </w:r>
          </w:p>
        </w:tc>
      </w:tr>
      <w:tr>
        <w:trPr>
          <w:cantSplit/>
        </w:trPr>
        <w:tc>
          <w:tcPr>
            <w:tcW w:w="3118" w:type="dxa"/>
            <w:gridSpan w:val="2"/>
          </w:tcPr>
          <w:p>
            <w:pPr>
              <w:pStyle w:val="nTable"/>
              <w:spacing w:before="120"/>
              <w:ind w:right="113"/>
            </w:pPr>
            <w:r>
              <w:rPr>
                <w:i/>
              </w:rPr>
              <w:t>W.A. Marine Amendment Regulations 1992</w:t>
            </w:r>
            <w:r>
              <w:t xml:space="preserve"> Pt. 5</w:t>
            </w:r>
          </w:p>
        </w:tc>
        <w:tc>
          <w:tcPr>
            <w:tcW w:w="1277" w:type="dxa"/>
          </w:tcPr>
          <w:p>
            <w:pPr>
              <w:pStyle w:val="nTable"/>
              <w:spacing w:before="120"/>
            </w:pPr>
            <w:r>
              <w:t>11 Aug 1992 p. 3976-80</w:t>
            </w:r>
          </w:p>
        </w:tc>
        <w:tc>
          <w:tcPr>
            <w:tcW w:w="2693" w:type="dxa"/>
            <w:gridSpan w:val="2"/>
          </w:tcPr>
          <w:p>
            <w:pPr>
              <w:pStyle w:val="nTable"/>
              <w:spacing w:before="120"/>
            </w:pPr>
            <w:r>
              <w:t>11 Aug 1992</w:t>
            </w:r>
          </w:p>
        </w:tc>
      </w:tr>
      <w:tr>
        <w:trPr>
          <w:cantSplit/>
        </w:trPr>
        <w:tc>
          <w:tcPr>
            <w:tcW w:w="7088" w:type="dxa"/>
            <w:gridSpan w:val="5"/>
          </w:tcPr>
          <w:p>
            <w:pPr>
              <w:pStyle w:val="nTable"/>
              <w:spacing w:before="120"/>
            </w:pPr>
            <w:r>
              <w:rPr>
                <w:b/>
              </w:rPr>
              <w:t xml:space="preserve">Reprint of the </w:t>
            </w:r>
            <w:r>
              <w:rPr>
                <w:b/>
                <w:i/>
              </w:rPr>
              <w:t>W.A. Marine (Emergency Procedures and Safety of Navigation) Regulations 1983</w:t>
            </w:r>
            <w:r>
              <w:rPr>
                <w:b/>
              </w:rPr>
              <w:t xml:space="preserve"> as at 4 Jan 2002</w:t>
            </w:r>
            <w:r>
              <w:t xml:space="preserve"> (includes amendment listed above)</w:t>
            </w:r>
          </w:p>
        </w:tc>
      </w:tr>
      <w:tr>
        <w:trPr>
          <w:cantSplit/>
        </w:trPr>
        <w:tc>
          <w:tcPr>
            <w:tcW w:w="3118" w:type="dxa"/>
            <w:gridSpan w:val="2"/>
          </w:tcPr>
          <w:p>
            <w:pPr>
              <w:pStyle w:val="nTable"/>
              <w:spacing w:before="120"/>
              <w:ind w:right="113"/>
            </w:pPr>
            <w:r>
              <w:rPr>
                <w:i/>
              </w:rPr>
              <w:t>W.A. Marine (Emergency Procedures and Safety of Navigation) Amendment Regulations 2008</w:t>
            </w:r>
          </w:p>
        </w:tc>
        <w:tc>
          <w:tcPr>
            <w:tcW w:w="1277" w:type="dxa"/>
          </w:tcPr>
          <w:p>
            <w:pPr>
              <w:pStyle w:val="nTable"/>
              <w:spacing w:before="120"/>
            </w:pPr>
            <w:r>
              <w:t>24 Oct 2008 p. 4672-3</w:t>
            </w:r>
          </w:p>
        </w:tc>
        <w:tc>
          <w:tcPr>
            <w:tcW w:w="2693" w:type="dxa"/>
            <w:gridSpan w:val="2"/>
          </w:tcPr>
          <w:p>
            <w:pPr>
              <w:pStyle w:val="nTable"/>
              <w:spacing w:before="120"/>
            </w:pPr>
            <w:r>
              <w:t>r. 1 and 2: 24 Oct 2008 (see r. 2(a));</w:t>
            </w:r>
          </w:p>
          <w:p>
            <w:pPr>
              <w:pStyle w:val="nTable"/>
              <w:spacing w:before="0"/>
            </w:pPr>
            <w:r>
              <w:t>Regulations other than r. 1 and 2: 25 Oct 2008 (see r. 2(b))</w:t>
            </w:r>
          </w:p>
        </w:tc>
      </w:tr>
      <w:tr>
        <w:trPr>
          <w:gridAfter w:val="1"/>
          <w:wAfter w:w="19" w:type="dxa"/>
          <w:cantSplit/>
          <w:ins w:id="167" w:author="Master Repository Process" w:date="2021-09-18T18:28:00Z"/>
        </w:trPr>
        <w:tc>
          <w:tcPr>
            <w:tcW w:w="3107" w:type="dxa"/>
            <w:tcBorders>
              <w:bottom w:val="single" w:sz="4" w:space="0" w:color="auto"/>
            </w:tcBorders>
          </w:tcPr>
          <w:p>
            <w:pPr>
              <w:pStyle w:val="nTable"/>
              <w:spacing w:before="120"/>
              <w:ind w:right="113"/>
              <w:rPr>
                <w:ins w:id="168" w:author="Master Repository Process" w:date="2021-09-18T18:28:00Z"/>
                <w:i/>
              </w:rPr>
            </w:pPr>
            <w:ins w:id="169" w:author="Master Repository Process" w:date="2021-09-18T18:28:00Z">
              <w:r>
                <w:rPr>
                  <w:i/>
                </w:rPr>
                <w:t xml:space="preserve">W.A. Marine Amendment Regulations 2009 </w:t>
              </w:r>
              <w:r>
                <w:t>Pt. 5</w:t>
              </w:r>
            </w:ins>
          </w:p>
        </w:tc>
        <w:tc>
          <w:tcPr>
            <w:tcW w:w="1288" w:type="dxa"/>
            <w:gridSpan w:val="2"/>
            <w:tcBorders>
              <w:bottom w:val="single" w:sz="4" w:space="0" w:color="auto"/>
            </w:tcBorders>
          </w:tcPr>
          <w:p>
            <w:pPr>
              <w:pStyle w:val="nTable"/>
              <w:spacing w:before="120"/>
              <w:rPr>
                <w:ins w:id="170" w:author="Master Repository Process" w:date="2021-09-18T18:28:00Z"/>
              </w:rPr>
            </w:pPr>
            <w:ins w:id="171" w:author="Master Repository Process" w:date="2021-09-18T18:28:00Z">
              <w:r>
                <w:t>11 Dec 2009 p. 5087</w:t>
              </w:r>
              <w:r>
                <w:noBreakHyphen/>
                <w:t>109</w:t>
              </w:r>
            </w:ins>
          </w:p>
        </w:tc>
        <w:tc>
          <w:tcPr>
            <w:tcW w:w="2674" w:type="dxa"/>
            <w:tcBorders>
              <w:bottom w:val="single" w:sz="4" w:space="0" w:color="auto"/>
            </w:tcBorders>
          </w:tcPr>
          <w:p>
            <w:pPr>
              <w:pStyle w:val="nTable"/>
              <w:spacing w:before="120"/>
              <w:rPr>
                <w:ins w:id="172" w:author="Master Repository Process" w:date="2021-09-18T18:28:00Z"/>
              </w:rPr>
            </w:pPr>
            <w:ins w:id="173" w:author="Master Repository Process" w:date="2021-09-18T18:28:00Z">
              <w:r>
                <w:t>12 Dec 2009 (see r. 2(b))</w:t>
              </w:r>
            </w:ins>
          </w:p>
        </w:tc>
      </w:tr>
    </w:tbl>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(Emergency Procedures and Safety of Navigation)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(Emergency Procedures and Safety of Navigation)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(Emergency Procedures and Safety of Navigation)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(Emergency Procedures and Safety of Navigation)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9E5B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881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E000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EC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9099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1209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3C1C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B601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1AA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D8D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6AA11E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649"/>
    <w:docVar w:name="WAFER_20140204100537" w:val="RemoveTocBookmarks,RemoveUnusedBookmarks,RemoveLanguageTags,UsedStyles,ResetPageSize,UpdateArrangement"/>
    <w:docVar w:name="WAFER_20140204100537_GUID" w:val="1d0cdecc-860d-4544-862e-6c9adb332990"/>
    <w:docVar w:name="WAFER_20140204102935" w:val="RemoveTocBookmarks,RunningHeaders"/>
    <w:docVar w:name="WAFER_20140204102935_GUID" w:val="cec111ab-7b9b-4ec3-9776-7f2a71a4c2b7"/>
    <w:docVar w:name="WAFER_20150721112152" w:val="ResetPageSize,UpdateArrangement,UpdateNTable"/>
    <w:docVar w:name="WAFER_20150721112152_GUID" w:val="b90d4d98-5dec-40bb-989b-316a9c00bfbe"/>
    <w:docVar w:name="WAFER_20151112112649" w:val="UpdateStyles,UsedStyles"/>
    <w:docVar w:name="WAFER_20151112112649_GUID" w:val="dd04f0d7-631c-4fbf-87ce-3f6d540359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3BDF9D-B498-426D-A58B-192D06A5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4945</Characters>
  <Application>Microsoft Office Word</Application>
  <DocSecurity>0</DocSecurity>
  <Lines>170</Lines>
  <Paragraphs>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(Emergency Procedures and Safety of Navigation) Regulations 1983 01-b0-01 - 01-c0-07</dc:title>
  <dc:subject/>
  <dc:creator/>
  <cp:keywords/>
  <dc:description/>
  <cp:lastModifiedBy>Master Repository Process</cp:lastModifiedBy>
  <cp:revision>2</cp:revision>
  <cp:lastPrinted>2002-01-10T03:40:00Z</cp:lastPrinted>
  <dcterms:created xsi:type="dcterms:W3CDTF">2021-09-18T10:27:00Z</dcterms:created>
  <dcterms:modified xsi:type="dcterms:W3CDTF">2021-09-18T10:28:00Z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pp.2182-3</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4841</vt:i4>
  </property>
  <property fmtid="{D5CDD505-2E9C-101B-9397-08002B2CF9AE}" pid="6" name="FromSuffix">
    <vt:lpwstr>01-b0-01</vt:lpwstr>
  </property>
  <property fmtid="{D5CDD505-2E9C-101B-9397-08002B2CF9AE}" pid="7" name="FromAsAtDate">
    <vt:lpwstr>25 Oct 2008</vt:lpwstr>
  </property>
  <property fmtid="{D5CDD505-2E9C-101B-9397-08002B2CF9AE}" pid="8" name="ToSuffix">
    <vt:lpwstr>01-c0-07</vt:lpwstr>
  </property>
  <property fmtid="{D5CDD505-2E9C-101B-9397-08002B2CF9AE}" pid="9" name="ToAsAtDate">
    <vt:lpwstr>12 Dec 2009</vt:lpwstr>
  </property>
</Properties>
</file>