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2007</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23 Dec 2009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rPr>
          <w:ins w:id="0" w:author="Master Repository Process" w:date="2021-09-11T15:51:00Z"/>
        </w:rPr>
      </w:pPr>
      <w:ins w:id="1" w:author="Master Repository Process" w:date="2021-09-11T15:51:00Z">
        <w:r>
          <w:lastRenderedPageBreak/>
          <w:t>Western Australia</w:t>
        </w:r>
      </w:ins>
    </w:p>
    <w:p>
      <w:pPr>
        <w:pStyle w:val="PrincipalActReg"/>
      </w:pPr>
      <w:r>
        <w:t>Optometrists Act 2005</w:t>
      </w:r>
    </w:p>
    <w:p>
      <w:pPr>
        <w:pStyle w:val="NameofActReg"/>
      </w:pPr>
      <w:r>
        <w:t>Optometrists Regulations 2006</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45119126"/>
      <w:bookmarkStart w:id="10" w:name="_Toc249175201"/>
      <w:bookmarkStart w:id="11" w:name="_Toc165453314"/>
      <w:r>
        <w:rPr>
          <w:rStyle w:val="CharSectno"/>
        </w:rPr>
        <w:t>1</w:t>
      </w:r>
      <w:bookmarkStart w:id="12" w:name="_GoBack"/>
      <w:bookmarkEnd w:id="12"/>
      <w:r>
        <w:t>.</w:t>
      </w:r>
      <w:r>
        <w:tab/>
        <w:t>Citation</w:t>
      </w:r>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Optometrists Regulations 2006 </w:t>
      </w:r>
      <w:r>
        <w:rPr>
          <w:vertAlign w:val="superscript"/>
        </w:rPr>
        <w:t>1</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145119127"/>
      <w:bookmarkStart w:id="22" w:name="_Toc249175202"/>
      <w:bookmarkStart w:id="23" w:name="_Toc165453315"/>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 xml:space="preserve">These regulations come into operation on the day on which the </w:t>
      </w:r>
      <w:r>
        <w:rPr>
          <w:i/>
          <w:spacing w:val="-2"/>
        </w:rPr>
        <w:t>Optometrists Act 2005</w:t>
      </w:r>
      <w:r>
        <w:rPr>
          <w:spacing w:val="-2"/>
        </w:rPr>
        <w:t xml:space="preserve"> comes into operation</w:t>
      </w:r>
      <w:r>
        <w:t>.</w:t>
      </w:r>
    </w:p>
    <w:p>
      <w:pPr>
        <w:pStyle w:val="Heading5"/>
      </w:pPr>
      <w:bookmarkStart w:id="24" w:name="_Toc145119128"/>
      <w:bookmarkStart w:id="25" w:name="_Toc249175203"/>
      <w:bookmarkStart w:id="26" w:name="_Toc165453316"/>
      <w:bookmarkStart w:id="27" w:name="_Toc113695922"/>
      <w:r>
        <w:rPr>
          <w:rStyle w:val="CharSectno"/>
        </w:rPr>
        <w:t>3</w:t>
      </w:r>
      <w:r>
        <w:t>.</w:t>
      </w:r>
      <w:r>
        <w:tab/>
        <w:t>Criminal record screening</w:t>
      </w:r>
      <w:bookmarkEnd w:id="24"/>
      <w:bookmarkEnd w:id="25"/>
      <w:bookmarkEnd w:id="26"/>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8" w:name="_Toc145119129"/>
      <w:bookmarkStart w:id="29" w:name="_Toc249175204"/>
      <w:bookmarkStart w:id="30" w:name="_Toc165453317"/>
      <w:r>
        <w:rPr>
          <w:rStyle w:val="CharSectno"/>
        </w:rPr>
        <w:t>4</w:t>
      </w:r>
      <w:r>
        <w:t>.</w:t>
      </w:r>
      <w:r>
        <w:tab/>
        <w:t>Prescribed qualifications under section 27(2)(f) for registration</w:t>
      </w:r>
      <w:bookmarkEnd w:id="28"/>
      <w:bookmarkEnd w:id="29"/>
      <w:bookmarkEnd w:id="30"/>
    </w:p>
    <w:p>
      <w:pPr>
        <w:pStyle w:val="Subsection"/>
      </w:pPr>
      <w:r>
        <w:tab/>
      </w:r>
      <w:r>
        <w:tab/>
        <w:t>For the purposes of the Act section 27(2)(f), the degrees or certificate specified in column 1 of the Table to this regulation opposite the university or council specified in column 2 of that Table are prescribed as a qualification for registration as an optometrist.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Diploma or degree</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c>
          <w:tcPr>
            <w:tcW w:w="2977" w:type="dxa"/>
            <w:tcBorders>
              <w:top w:val="single" w:sz="4" w:space="0" w:color="auto"/>
            </w:tcBorders>
          </w:tcPr>
          <w:p>
            <w:pPr>
              <w:pStyle w:val="Table"/>
            </w:pPr>
            <w:r>
              <w:t>Bachelor of Applied Science (Optometry)</w:t>
            </w:r>
          </w:p>
        </w:tc>
        <w:tc>
          <w:tcPr>
            <w:tcW w:w="3260" w:type="dxa"/>
            <w:tcBorders>
              <w:top w:val="single" w:sz="4" w:space="0" w:color="auto"/>
            </w:tcBorders>
          </w:tcPr>
          <w:p>
            <w:pPr>
              <w:pStyle w:val="Table"/>
            </w:pPr>
            <w:r>
              <w:t>Queensland University of Technology</w:t>
            </w:r>
          </w:p>
        </w:tc>
      </w:tr>
      <w:tr>
        <w:tc>
          <w:tcPr>
            <w:tcW w:w="2977" w:type="dxa"/>
          </w:tcPr>
          <w:p>
            <w:pPr>
              <w:pStyle w:val="Table"/>
            </w:pPr>
            <w:r>
              <w:t>Bachelor of Optometry</w:t>
            </w:r>
          </w:p>
        </w:tc>
        <w:tc>
          <w:tcPr>
            <w:tcW w:w="3260" w:type="dxa"/>
          </w:tcPr>
          <w:p>
            <w:pPr>
              <w:pStyle w:val="Table"/>
            </w:pPr>
            <w:r>
              <w:t>University of Melbourne</w:t>
            </w:r>
          </w:p>
        </w:tc>
      </w:tr>
      <w:tr>
        <w:tc>
          <w:tcPr>
            <w:tcW w:w="2977" w:type="dxa"/>
          </w:tcPr>
          <w:p>
            <w:pPr>
              <w:pStyle w:val="Table"/>
            </w:pPr>
            <w:r>
              <w:t>Bachelor of Optometry</w:t>
            </w:r>
          </w:p>
        </w:tc>
        <w:tc>
          <w:tcPr>
            <w:tcW w:w="3260" w:type="dxa"/>
          </w:tcPr>
          <w:p>
            <w:pPr>
              <w:pStyle w:val="Table"/>
            </w:pPr>
            <w:r>
              <w:t>University of New South Wales</w:t>
            </w:r>
          </w:p>
        </w:tc>
      </w:tr>
      <w:tr>
        <w:tc>
          <w:tcPr>
            <w:tcW w:w="2977" w:type="dxa"/>
          </w:tcPr>
          <w:p>
            <w:pPr>
              <w:pStyle w:val="Table"/>
            </w:pPr>
            <w:r>
              <w:t>Bachelor of Optometry</w:t>
            </w:r>
          </w:p>
        </w:tc>
        <w:tc>
          <w:tcPr>
            <w:tcW w:w="3260" w:type="dxa"/>
          </w:tcPr>
          <w:p>
            <w:pPr>
              <w:pStyle w:val="Table"/>
            </w:pPr>
            <w:r>
              <w:t>University of Auckland</w:t>
            </w:r>
          </w:p>
        </w:tc>
      </w:tr>
      <w:tr>
        <w:tc>
          <w:tcPr>
            <w:tcW w:w="2977" w:type="dxa"/>
            <w:tcBorders>
              <w:bottom w:val="single" w:sz="4" w:space="0" w:color="auto"/>
            </w:tcBorders>
          </w:tcPr>
          <w:p>
            <w:pPr>
              <w:pStyle w:val="Table"/>
            </w:pPr>
            <w:r>
              <w:t>Certificate of Competency</w:t>
            </w:r>
          </w:p>
        </w:tc>
        <w:tc>
          <w:tcPr>
            <w:tcW w:w="3260" w:type="dxa"/>
            <w:tcBorders>
              <w:bottom w:val="single" w:sz="4" w:space="0" w:color="auto"/>
            </w:tcBorders>
          </w:tcPr>
          <w:p>
            <w:pPr>
              <w:pStyle w:val="Table"/>
            </w:pPr>
            <w:r>
              <w:t>Optometry Council of Australia and New Zealand</w:t>
            </w:r>
          </w:p>
        </w:tc>
      </w:tr>
    </w:tbl>
    <w:p>
      <w:pPr>
        <w:pStyle w:val="Heading5"/>
      </w:pPr>
      <w:bookmarkStart w:id="31" w:name="_Toc145119130"/>
      <w:bookmarkStart w:id="32" w:name="_Toc249175205"/>
      <w:bookmarkStart w:id="33" w:name="_Toc165453318"/>
      <w:r>
        <w:rPr>
          <w:rStyle w:val="CharSectno"/>
        </w:rPr>
        <w:t>5</w:t>
      </w:r>
      <w:r>
        <w:t>.</w:t>
      </w:r>
      <w:r>
        <w:tab/>
        <w:t>Prescribed period for registration and renewal of registration under section 33</w:t>
      </w:r>
      <w:bookmarkEnd w:id="31"/>
      <w:bookmarkEnd w:id="32"/>
      <w:bookmarkEnd w:id="33"/>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34" w:name="_Toc145119131"/>
      <w:bookmarkStart w:id="35" w:name="_Toc249175206"/>
      <w:bookmarkStart w:id="36" w:name="_Toc165453319"/>
      <w:r>
        <w:rPr>
          <w:rStyle w:val="CharSectno"/>
        </w:rPr>
        <w:t>6</w:t>
      </w:r>
      <w:r>
        <w:t>.</w:t>
      </w:r>
      <w:r>
        <w:tab/>
        <w:t>Day on which fee falls due under section 34(1)</w:t>
      </w:r>
      <w:bookmarkEnd w:id="34"/>
      <w:bookmarkEnd w:id="35"/>
      <w:bookmarkEnd w:id="36"/>
    </w:p>
    <w:p>
      <w:pPr>
        <w:pStyle w:val="Subsection"/>
      </w:pPr>
      <w:r>
        <w:tab/>
      </w:r>
      <w:r>
        <w:tab/>
        <w:t>For the purposes of the Act section 34(1), the day in each year on which the prescribed fee for the renewal of registration falls due is 30 June.</w:t>
      </w:r>
    </w:p>
    <w:p>
      <w:pPr>
        <w:pStyle w:val="Heading5"/>
      </w:pPr>
      <w:bookmarkStart w:id="37" w:name="_Toc145119132"/>
      <w:bookmarkStart w:id="38" w:name="_Toc249175207"/>
      <w:bookmarkStart w:id="39" w:name="_Toc165453320"/>
      <w:r>
        <w:rPr>
          <w:rStyle w:val="CharSectno"/>
        </w:rPr>
        <w:t>7</w:t>
      </w:r>
      <w:r>
        <w:t>.</w:t>
      </w:r>
      <w:r>
        <w:tab/>
        <w:t>Prescribed information under section 36(g)</w:t>
      </w:r>
      <w:bookmarkEnd w:id="37"/>
      <w:bookmarkEnd w:id="38"/>
      <w:bookmarkEnd w:id="39"/>
    </w:p>
    <w:p>
      <w:pPr>
        <w:pStyle w:val="Subsection"/>
      </w:pPr>
      <w:r>
        <w:tab/>
      </w:r>
      <w:r>
        <w:tab/>
        <w:t xml:space="preserve">For the purposes of the Act section 36(g), the following information is prescribed — </w:t>
      </w:r>
    </w:p>
    <w:p>
      <w:pPr>
        <w:pStyle w:val="Indenta"/>
      </w:pPr>
      <w:r>
        <w:tab/>
        <w:t>(a)</w:t>
      </w:r>
      <w:r>
        <w:tab/>
        <w:t>any offence under the Act for which the optometrist has been convicted;</w:t>
      </w:r>
    </w:p>
    <w:p>
      <w:pPr>
        <w:pStyle w:val="Indenta"/>
      </w:pPr>
      <w:r>
        <w:tab/>
        <w:t>(b)</w:t>
      </w:r>
      <w:r>
        <w:tab/>
        <w:t>the date on which the optometrist was first registered as an optometrist;</w:t>
      </w:r>
    </w:p>
    <w:p>
      <w:pPr>
        <w:pStyle w:val="Indenta"/>
      </w:pPr>
      <w:r>
        <w:tab/>
        <w:t>(c)</w:t>
      </w:r>
      <w:r>
        <w:tab/>
        <w:t xml:space="preserve">any authorisation given to the optometrist under the </w:t>
      </w:r>
      <w:r>
        <w:rPr>
          <w:i/>
        </w:rPr>
        <w:t>Poisons Act 1964</w:t>
      </w:r>
      <w:r>
        <w:t>.</w:t>
      </w:r>
    </w:p>
    <w:p>
      <w:pPr>
        <w:pStyle w:val="Heading5"/>
      </w:pPr>
      <w:bookmarkStart w:id="40" w:name="_Toc145119133"/>
      <w:bookmarkStart w:id="41" w:name="_Toc249175208"/>
      <w:bookmarkStart w:id="42" w:name="_Toc165453321"/>
      <w:r>
        <w:rPr>
          <w:rStyle w:val="CharSectno"/>
        </w:rPr>
        <w:t>8</w:t>
      </w:r>
      <w:r>
        <w:t>.</w:t>
      </w:r>
      <w:r>
        <w:tab/>
        <w:t>Amendment of particulars</w:t>
      </w:r>
      <w:bookmarkEnd w:id="40"/>
      <w:bookmarkEnd w:id="41"/>
      <w:bookmarkEnd w:id="42"/>
    </w:p>
    <w:p>
      <w:pPr>
        <w:pStyle w:val="Subsection"/>
      </w:pPr>
      <w:r>
        <w:tab/>
      </w:r>
      <w:r>
        <w:tab/>
        <w:t>An optometrist may at any time apply to the Board for the amendment of the particulars recorded in the register relating to that optometrist, and if the Board is satisfied that the amendment may properly be made, the Board, on payment of the prescribed fee, is to cause those particulars to be amended.</w:t>
      </w:r>
    </w:p>
    <w:p>
      <w:pPr>
        <w:pStyle w:val="Heading5"/>
      </w:pPr>
      <w:bookmarkStart w:id="43" w:name="_Toc145119134"/>
      <w:bookmarkStart w:id="44" w:name="_Toc249175209"/>
      <w:bookmarkStart w:id="45" w:name="_Toc165453322"/>
      <w:r>
        <w:rPr>
          <w:rStyle w:val="CharSectno"/>
        </w:rPr>
        <w:t>9</w:t>
      </w:r>
      <w:r>
        <w:t>.</w:t>
      </w:r>
      <w:r>
        <w:tab/>
        <w:t>Change of name</w:t>
      </w:r>
      <w:bookmarkEnd w:id="43"/>
      <w:bookmarkEnd w:id="44"/>
      <w:bookmarkEnd w:id="45"/>
    </w:p>
    <w:p>
      <w:pPr>
        <w:pStyle w:val="Subsection"/>
      </w:pPr>
      <w:r>
        <w:tab/>
        <w:t>(1)</w:t>
      </w:r>
      <w:r>
        <w:tab/>
        <w:t>An optometrist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46" w:name="_Toc145119135"/>
      <w:bookmarkStart w:id="47" w:name="_Toc249175210"/>
      <w:bookmarkStart w:id="48" w:name="_Toc165453323"/>
      <w:r>
        <w:rPr>
          <w:rStyle w:val="CharSectno"/>
        </w:rPr>
        <w:t>10</w:t>
      </w:r>
      <w:r>
        <w:t>.</w:t>
      </w:r>
      <w:r>
        <w:tab/>
        <w:t>Complaints to the complaints assessment committee</w:t>
      </w:r>
      <w:bookmarkEnd w:id="46"/>
      <w:bookmarkEnd w:id="47"/>
      <w:bookmarkEnd w:id="48"/>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9" w:name="_Toc145119136"/>
      <w:bookmarkStart w:id="50" w:name="_Toc249175211"/>
      <w:bookmarkStart w:id="51" w:name="_Toc165453324"/>
      <w:r>
        <w:rPr>
          <w:rStyle w:val="CharSectno"/>
        </w:rPr>
        <w:t>11</w:t>
      </w:r>
      <w:r>
        <w:t>.</w:t>
      </w:r>
      <w:r>
        <w:tab/>
        <w:t>Appointment of a conciliator</w:t>
      </w:r>
      <w:bookmarkEnd w:id="49"/>
      <w:bookmarkEnd w:id="50"/>
      <w:bookmarkEnd w:id="51"/>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52" w:name="_Toc145119137"/>
      <w:bookmarkStart w:id="53" w:name="_Toc249175212"/>
      <w:bookmarkStart w:id="54" w:name="_Toc165453325"/>
      <w:r>
        <w:rPr>
          <w:rStyle w:val="CharSectno"/>
        </w:rPr>
        <w:t>12</w:t>
      </w:r>
      <w:r>
        <w:t>.</w:t>
      </w:r>
      <w:r>
        <w:tab/>
        <w:t>Advertising</w:t>
      </w:r>
      <w:bookmarkEnd w:id="52"/>
      <w:bookmarkEnd w:id="53"/>
      <w:bookmarkEnd w:id="54"/>
    </w:p>
    <w:p>
      <w:pPr>
        <w:pStyle w:val="Subsection"/>
      </w:pPr>
      <w:r>
        <w:tab/>
      </w:r>
      <w:r>
        <w:tab/>
        <w:t xml:space="preserve">An optometrist who advertises, or causes to be advertised, any material relating to the optometrist’s practice of optometry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optometrist’s services,</w:t>
      </w:r>
    </w:p>
    <w:p>
      <w:pPr>
        <w:pStyle w:val="Subsection"/>
      </w:pPr>
      <w:r>
        <w:tab/>
      </w:r>
      <w:r>
        <w:tab/>
        <w:t>commits an offence.</w:t>
      </w:r>
    </w:p>
    <w:p>
      <w:pPr>
        <w:pStyle w:val="Penstart"/>
      </w:pPr>
      <w:r>
        <w:tab/>
        <w:t>Penalty: a fine of $1 000.</w:t>
      </w:r>
    </w:p>
    <w:p>
      <w:pPr>
        <w:pStyle w:val="Heading5"/>
      </w:pPr>
      <w:bookmarkStart w:id="55" w:name="_Toc145119138"/>
      <w:bookmarkStart w:id="56" w:name="_Toc249175213"/>
      <w:bookmarkStart w:id="57" w:name="_Toc165453326"/>
      <w:r>
        <w:rPr>
          <w:rStyle w:val="CharSectno"/>
        </w:rPr>
        <w:t>13</w:t>
      </w:r>
      <w:r>
        <w:t>.</w:t>
      </w:r>
      <w:r>
        <w:tab/>
        <w:t>Proceedings valid despite notice irregularities</w:t>
      </w:r>
      <w:bookmarkEnd w:id="55"/>
      <w:bookmarkEnd w:id="56"/>
      <w:bookmarkEnd w:id="57"/>
    </w:p>
    <w:p>
      <w:pPr>
        <w:pStyle w:val="Subsection"/>
      </w:pPr>
      <w:r>
        <w:tab/>
      </w:r>
      <w:r>
        <w:tab/>
        <w:t xml:space="preserve">Proceedings at any meeting of the Board are not invalidated by reason only of — </w:t>
      </w:r>
    </w:p>
    <w:p>
      <w:pPr>
        <w:pStyle w:val="Indenta"/>
      </w:pPr>
      <w:r>
        <w:tab/>
        <w:t>(a)</w:t>
      </w:r>
      <w:r>
        <w:tab/>
        <w:t xml:space="preserve">the omission to give due notice of the meeting to one or more members of the Board in accordance with the procedure for convening meetings of the Board determined by the Board under the Act Schedule 1 Division 1 clause 5(4); or </w:t>
      </w:r>
    </w:p>
    <w:p>
      <w:pPr>
        <w:pStyle w:val="Indenta"/>
      </w:pPr>
      <w:r>
        <w:tab/>
        <w:t>(b)</w:t>
      </w:r>
      <w:r>
        <w:tab/>
        <w:t>the non</w:t>
      </w:r>
      <w:r>
        <w:noBreakHyphen/>
        <w:t>receipt of a notice by a member.</w:t>
      </w:r>
    </w:p>
    <w:p>
      <w:pPr>
        <w:pStyle w:val="Heading5"/>
      </w:pPr>
      <w:bookmarkStart w:id="58" w:name="_Toc145119139"/>
      <w:bookmarkStart w:id="59" w:name="_Toc249175214"/>
      <w:bookmarkStart w:id="60" w:name="_Toc165453327"/>
      <w:r>
        <w:rPr>
          <w:rStyle w:val="CharSectno"/>
        </w:rPr>
        <w:t>14</w:t>
      </w:r>
      <w:r>
        <w:t>.</w:t>
      </w:r>
      <w:r>
        <w:tab/>
        <w:t>Fees</w:t>
      </w:r>
      <w:bookmarkEnd w:id="58"/>
      <w:bookmarkEnd w:id="59"/>
      <w:bookmarkEnd w:id="60"/>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61" w:name="_Toc145119140"/>
      <w:bookmarkStart w:id="62" w:name="_Toc165453328"/>
      <w:bookmarkStart w:id="63" w:name="_Toc249175215"/>
      <w:bookmarkStart w:id="64" w:name="_Toc145119141"/>
      <w:r>
        <w:rPr>
          <w:rStyle w:val="CharSectno"/>
        </w:rPr>
        <w:t>15</w:t>
      </w:r>
      <w:r>
        <w:t>.</w:t>
      </w:r>
      <w:r>
        <w:tab/>
        <w:t xml:space="preserve">Fees for registration under the </w:t>
      </w:r>
      <w:r>
        <w:rPr>
          <w:i/>
        </w:rPr>
        <w:t>Mutual Recognition (Western Australia) Act </w:t>
      </w:r>
      <w:r>
        <w:rPr>
          <w:i/>
          <w:iCs/>
        </w:rPr>
        <w:t>2001</w:t>
      </w:r>
      <w:bookmarkEnd w:id="61"/>
      <w:bookmarkEnd w:id="62"/>
      <w:ins w:id="65" w:author="Master Repository Process" w:date="2021-09-11T15:51:00Z">
        <w:r>
          <w:t xml:space="preserve"> or </w:t>
        </w:r>
        <w:r>
          <w:rPr>
            <w:i/>
          </w:rPr>
          <w:t>Trans</w:t>
        </w:r>
        <w:r>
          <w:rPr>
            <w:i/>
          </w:rPr>
          <w:noBreakHyphen/>
          <w:t>Tasman Mutual Recognition (Western Australia) Act 2007</w:t>
        </w:r>
      </w:ins>
      <w:bookmarkEnd w:id="63"/>
    </w:p>
    <w:p>
      <w:pPr>
        <w:pStyle w:val="Subsection"/>
        <w:rPr>
          <w:ins w:id="66" w:author="Master Repository Process" w:date="2021-09-11T15:51:00Z"/>
        </w:rPr>
      </w:pPr>
      <w:r>
        <w:tab/>
      </w:r>
      <w:r>
        <w:tab/>
        <w:t>The fees in Schedule</w:t>
      </w:r>
      <w:del w:id="67" w:author="Master Repository Process" w:date="2021-09-11T15:51:00Z">
        <w:r>
          <w:delText> </w:delText>
        </w:r>
      </w:del>
      <w:ins w:id="68" w:author="Master Repository Process" w:date="2021-09-11T15:51:00Z">
        <w:r>
          <w:t xml:space="preserve"> </w:t>
        </w:r>
      </w:ins>
      <w:r>
        <w:t>2 are prescribed as the fees payable in respect of the registration of a person entitled under</w:t>
      </w:r>
      <w:del w:id="69" w:author="Master Repository Process" w:date="2021-09-11T15:51:00Z">
        <w:r>
          <w:delText xml:space="preserve"> </w:delText>
        </w:r>
      </w:del>
      <w:ins w:id="70" w:author="Master Repository Process" w:date="2021-09-11T15:51:00Z">
        <w:r>
          <w:t xml:space="preserve"> — </w:t>
        </w:r>
      </w:ins>
    </w:p>
    <w:p>
      <w:pPr>
        <w:pStyle w:val="Indenta"/>
        <w:rPr>
          <w:ins w:id="71" w:author="Master Repository Process" w:date="2021-09-11T15:51:00Z"/>
        </w:rPr>
      </w:pPr>
      <w:ins w:id="72" w:author="Master Repository Process" w:date="2021-09-11T15:51:00Z">
        <w:r>
          <w:tab/>
          <w:t>(a)</w:t>
        </w:r>
        <w:r>
          <w:tab/>
        </w:r>
      </w:ins>
      <w:r>
        <w:t xml:space="preserve">the </w:t>
      </w:r>
      <w:r>
        <w:rPr>
          <w:i/>
          <w:iCs/>
        </w:rPr>
        <w:t>Mutual Recognition Act</w:t>
      </w:r>
      <w:del w:id="73" w:author="Master Repository Process" w:date="2021-09-11T15:51:00Z">
        <w:r>
          <w:rPr>
            <w:i/>
            <w:iCs/>
          </w:rPr>
          <w:delText> </w:delText>
        </w:r>
      </w:del>
      <w:ins w:id="74" w:author="Master Repository Process" w:date="2021-09-11T15:51:00Z">
        <w:r>
          <w:rPr>
            <w:i/>
            <w:iCs/>
          </w:rPr>
          <w:t xml:space="preserve"> </w:t>
        </w:r>
      </w:ins>
      <w:r>
        <w:rPr>
          <w:i/>
          <w:iCs/>
        </w:rPr>
        <w:t>1992</w:t>
      </w:r>
      <w:r>
        <w:t xml:space="preserve"> </w:t>
      </w:r>
      <w:del w:id="75" w:author="Master Repository Process" w:date="2021-09-11T15:51:00Z">
        <w:r>
          <w:delText xml:space="preserve">of the </w:delText>
        </w:r>
      </w:del>
      <w:ins w:id="76" w:author="Master Repository Process" w:date="2021-09-11T15:51:00Z">
        <w:r>
          <w:t>(</w:t>
        </w:r>
      </w:ins>
      <w:r>
        <w:t>Commonwealth</w:t>
      </w:r>
      <w:del w:id="77" w:author="Master Repository Process" w:date="2021-09-11T15:51:00Z">
        <w:r>
          <w:delText>,</w:delText>
        </w:r>
      </w:del>
      <w:ins w:id="78" w:author="Master Repository Process" w:date="2021-09-11T15:51:00Z">
        <w:r>
          <w:t>),</w:t>
        </w:r>
      </w:ins>
      <w:r>
        <w:t xml:space="preserve"> as adopted by the </w:t>
      </w:r>
      <w:r>
        <w:rPr>
          <w:i/>
        </w:rPr>
        <w:t>Mutual Recognition (Western Australia) Act 2001</w:t>
      </w:r>
      <w:del w:id="79" w:author="Master Repository Process" w:date="2021-09-11T15:51:00Z">
        <w:r>
          <w:delText xml:space="preserve">, </w:delText>
        </w:r>
      </w:del>
      <w:ins w:id="80" w:author="Master Repository Process" w:date="2021-09-11T15:51:00Z">
        <w:r>
          <w:t>; or</w:t>
        </w:r>
      </w:ins>
    </w:p>
    <w:p>
      <w:pPr>
        <w:pStyle w:val="Indenta"/>
        <w:rPr>
          <w:ins w:id="81" w:author="Master Repository Process" w:date="2021-09-11T15:51:00Z"/>
        </w:rPr>
      </w:pPr>
      <w:ins w:id="82" w:author="Master Repository Process" w:date="2021-09-11T15:51:00Z">
        <w:r>
          <w:tab/>
          <w:t>(b)</w:t>
        </w:r>
        <w:r>
          <w:tab/>
          <w:t xml:space="preserve">the </w:t>
        </w:r>
        <w:r>
          <w:rPr>
            <w:i/>
            <w:iCs/>
          </w:rPr>
          <w:t>Trans-Tasman Mutual Recognition Act 1997</w:t>
        </w:r>
        <w:r>
          <w:t xml:space="preserve"> (Commonwealth), as adopted by the </w:t>
        </w:r>
        <w:r>
          <w:rPr>
            <w:i/>
          </w:rPr>
          <w:t>Trans</w:t>
        </w:r>
        <w:r>
          <w:rPr>
            <w:i/>
          </w:rPr>
          <w:noBreakHyphen/>
          <w:t>Tasman Mutual Recognition (Western Australia) Act 2007</w:t>
        </w:r>
        <w:r>
          <w:t>,</w:t>
        </w:r>
      </w:ins>
    </w:p>
    <w:p>
      <w:pPr>
        <w:pStyle w:val="Subsection"/>
      </w:pPr>
      <w:ins w:id="83" w:author="Master Repository Process" w:date="2021-09-11T15:51:00Z">
        <w:r>
          <w:tab/>
        </w:r>
        <w:r>
          <w:tab/>
        </w:r>
      </w:ins>
      <w:r>
        <w:t>to be registered in this State as an optometrist.</w:t>
      </w:r>
    </w:p>
    <w:p>
      <w:pPr>
        <w:pStyle w:val="Footnotesection"/>
        <w:rPr>
          <w:ins w:id="84" w:author="Master Repository Process" w:date="2021-09-11T15:51:00Z"/>
        </w:rPr>
      </w:pPr>
      <w:ins w:id="85" w:author="Master Repository Process" w:date="2021-09-11T15:51:00Z">
        <w:r>
          <w:tab/>
          <w:t>[Regulation 15 inserted in Gazette 22 Dec 2009 p. 5262.]</w:t>
        </w:r>
      </w:ins>
    </w:p>
    <w:p>
      <w:pPr>
        <w:pStyle w:val="Heading5"/>
      </w:pPr>
      <w:bookmarkStart w:id="86" w:name="_Toc249175216"/>
      <w:bookmarkStart w:id="87" w:name="_Toc165453329"/>
      <w:r>
        <w:rPr>
          <w:rStyle w:val="CharSectno"/>
        </w:rPr>
        <w:t>16</w:t>
      </w:r>
      <w:r>
        <w:t>.</w:t>
      </w:r>
      <w:r>
        <w:tab/>
        <w:t>Reduction, waiver or refund of fees</w:t>
      </w:r>
      <w:bookmarkEnd w:id="64"/>
      <w:bookmarkEnd w:id="86"/>
      <w:bookmarkEnd w:id="87"/>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88" w:name="_Toc129572752"/>
      <w:bookmarkStart w:id="89" w:name="_Toc129573083"/>
      <w:bookmarkStart w:id="90" w:name="_Toc129574124"/>
      <w:bookmarkStart w:id="91" w:name="_Toc129574141"/>
      <w:bookmarkStart w:id="92" w:name="_Toc129574309"/>
      <w:bookmarkStart w:id="93" w:name="_Toc129574944"/>
      <w:bookmarkStart w:id="94" w:name="_Toc129588691"/>
      <w:bookmarkStart w:id="95" w:name="_Toc129594456"/>
      <w:bookmarkStart w:id="96" w:name="_Toc129653864"/>
      <w:bookmarkStart w:id="97" w:name="_Toc129653903"/>
      <w:bookmarkStart w:id="98" w:name="_Toc129686701"/>
      <w:bookmarkStart w:id="99" w:name="_Toc129755982"/>
      <w:bookmarkStart w:id="100" w:name="_Toc129759180"/>
      <w:bookmarkStart w:id="101" w:name="_Toc129759458"/>
      <w:bookmarkStart w:id="102" w:name="_Toc131569473"/>
      <w:bookmarkStart w:id="103" w:name="_Toc135616731"/>
      <w:bookmarkStart w:id="104" w:name="_Toc135618140"/>
      <w:bookmarkStart w:id="105" w:name="_Toc136325392"/>
      <w:bookmarkStart w:id="106" w:name="_Toc136325411"/>
      <w:bookmarkStart w:id="107" w:name="_Toc136325445"/>
      <w:bookmarkStart w:id="108" w:name="_Toc136758364"/>
      <w:bookmarkStart w:id="109" w:name="_Toc136758562"/>
      <w:bookmarkStart w:id="110" w:name="_Toc136829281"/>
      <w:bookmarkStart w:id="111" w:name="_Toc136831126"/>
      <w:bookmarkStart w:id="112" w:name="_Toc136831147"/>
      <w:bookmarkStart w:id="113" w:name="_Toc136831271"/>
      <w:bookmarkStart w:id="114" w:name="_Toc138474900"/>
      <w:bookmarkStart w:id="115" w:name="_Toc138474996"/>
      <w:bookmarkStart w:id="116" w:name="_Toc138475020"/>
      <w:bookmarkStart w:id="117" w:name="_Toc138475051"/>
      <w:bookmarkStart w:id="118" w:name="_Toc138475069"/>
      <w:bookmarkStart w:id="119" w:name="_Toc138485203"/>
      <w:bookmarkStart w:id="120" w:name="_Toc138653776"/>
      <w:bookmarkStart w:id="121" w:name="_Toc139852667"/>
      <w:bookmarkStart w:id="122" w:name="_Toc139856156"/>
      <w:bookmarkStart w:id="123" w:name="_Toc139857424"/>
      <w:bookmarkStart w:id="124" w:name="_Toc139937411"/>
      <w:bookmarkStart w:id="125" w:name="_Toc139938789"/>
      <w:bookmarkStart w:id="126" w:name="_Toc139938817"/>
      <w:bookmarkStart w:id="127" w:name="_Toc139938884"/>
      <w:bookmarkStart w:id="128" w:name="_Toc139938938"/>
      <w:bookmarkStart w:id="129" w:name="_Toc139941803"/>
      <w:bookmarkStart w:id="130" w:name="_Toc140045250"/>
      <w:bookmarkStart w:id="131" w:name="_Toc140281894"/>
      <w:bookmarkStart w:id="132" w:name="_Toc140282140"/>
      <w:bookmarkStart w:id="133" w:name="_Toc140290934"/>
      <w:bookmarkStart w:id="134" w:name="_Toc141665447"/>
      <w:bookmarkStart w:id="135" w:name="_Toc141665469"/>
      <w:bookmarkStart w:id="136" w:name="_Toc141665595"/>
      <w:bookmarkStart w:id="137" w:name="_Toc141667608"/>
      <w:bookmarkStart w:id="138" w:name="_Toc141668036"/>
      <w:bookmarkStart w:id="139" w:name="_Toc141668881"/>
      <w:bookmarkStart w:id="140" w:name="_Toc141668907"/>
      <w:bookmarkStart w:id="141" w:name="_Toc141868284"/>
      <w:bookmarkStart w:id="142" w:name="_Toc141868392"/>
      <w:bookmarkStart w:id="143" w:name="_Toc141868626"/>
      <w:bookmarkStart w:id="144" w:name="_Toc142100026"/>
      <w:bookmarkStart w:id="145" w:name="_Toc142101102"/>
      <w:bookmarkStart w:id="146" w:name="_Toc142357589"/>
      <w:bookmarkStart w:id="147" w:name="_Toc142358307"/>
      <w:bookmarkStart w:id="148" w:name="_Toc142358418"/>
      <w:bookmarkStart w:id="149" w:name="_Toc142359698"/>
      <w:bookmarkStart w:id="150" w:name="_Toc144623526"/>
      <w:bookmarkStart w:id="151" w:name="_Toc144692336"/>
      <w:bookmarkStart w:id="152" w:name="_Toc144693891"/>
      <w:bookmarkStart w:id="153" w:name="_Toc144703843"/>
      <w:bookmarkStart w:id="154" w:name="_Toc144804932"/>
      <w:bookmarkStart w:id="155" w:name="_Toc145119142"/>
    </w:p>
    <w:p>
      <w:pPr>
        <w:pStyle w:val="yScheduleHeading"/>
      </w:pPr>
      <w:bookmarkStart w:id="156" w:name="_Toc165453330"/>
      <w:bookmarkStart w:id="157" w:name="_Toc249175171"/>
      <w:bookmarkStart w:id="158" w:name="_Toc249175217"/>
      <w:r>
        <w:rPr>
          <w:rStyle w:val="CharSchNo"/>
        </w:rPr>
        <w:t>Schedule 1</w:t>
      </w:r>
      <w:r>
        <w:rPr>
          <w:rStyle w:val="CharSDivNo"/>
        </w:rPr>
        <w:t> </w:t>
      </w:r>
      <w:r>
        <w:t>—</w:t>
      </w:r>
      <w:bookmarkStart w:id="159" w:name="AutoSch"/>
      <w:bookmarkEnd w:id="159"/>
      <w:r>
        <w:rPr>
          <w:rStyle w:val="CharSDivText"/>
        </w:rPr>
        <w:t> </w:t>
      </w:r>
      <w:r>
        <w:rPr>
          <w:rStyle w:val="CharSchText"/>
        </w:rPr>
        <w:t>Fe</w:t>
      </w:r>
      <w:bookmarkStart w:id="160" w:name="UpToHere"/>
      <w:bookmarkEnd w:id="160"/>
      <w:r>
        <w:rPr>
          <w:rStyle w:val="CharSchText"/>
        </w:rPr>
        <w:t>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250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125</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for the conduct of criminal record screening.</w:t>
            </w:r>
          </w:p>
        </w:tc>
        <w:tc>
          <w:tcPr>
            <w:tcW w:w="1559" w:type="dxa"/>
          </w:tcPr>
          <w:p>
            <w:pPr>
              <w:pStyle w:val="yTable"/>
              <w:jc w:val="center"/>
            </w:pPr>
            <w:r>
              <w:br/>
            </w:r>
            <w:r>
              <w:br/>
              <w:t>s. 27 and 97(2)(h)</w:t>
            </w:r>
          </w:p>
        </w:tc>
        <w:tc>
          <w:tcPr>
            <w:tcW w:w="1276" w:type="dxa"/>
          </w:tcPr>
          <w:p>
            <w:pPr>
              <w:pStyle w:val="yTable"/>
              <w:jc w:val="center"/>
            </w:pP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250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250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31(1)(c)</w:t>
            </w:r>
          </w:p>
        </w:tc>
        <w:tc>
          <w:tcPr>
            <w:tcW w:w="1276" w:type="dxa"/>
          </w:tcPr>
          <w:p>
            <w:pPr>
              <w:pStyle w:val="yTable"/>
              <w:jc w:val="center"/>
            </w:pPr>
            <w:r>
              <w:br/>
            </w:r>
            <w:r>
              <w:br/>
              <w:t>150</w:t>
            </w:r>
          </w:p>
        </w:tc>
      </w:tr>
      <w:tr>
        <w:trPr>
          <w:cantSplit/>
        </w:trPr>
        <w:tc>
          <w:tcPr>
            <w:tcW w:w="567" w:type="dxa"/>
          </w:tcPr>
          <w:p>
            <w:pPr>
              <w:pStyle w:val="yTable"/>
            </w:pPr>
            <w:r>
              <w:t>8.</w:t>
            </w:r>
          </w:p>
        </w:tc>
        <w:tc>
          <w:tcPr>
            <w:tcW w:w="3119" w:type="dxa"/>
          </w:tcPr>
          <w:p>
            <w:pPr>
              <w:pStyle w:val="yTable"/>
            </w:pPr>
            <w:r>
              <w:t>Fee payable by an optometrist for renewal of registration of the optometrist.</w:t>
            </w:r>
          </w:p>
        </w:tc>
        <w:tc>
          <w:tcPr>
            <w:tcW w:w="1559" w:type="dxa"/>
          </w:tcPr>
          <w:p>
            <w:pPr>
              <w:pStyle w:val="yTable"/>
              <w:jc w:val="center"/>
            </w:pPr>
            <w:r>
              <w:br/>
            </w:r>
            <w:r>
              <w:br/>
              <w:t>s. 34(1)</w:t>
            </w:r>
          </w:p>
        </w:tc>
        <w:tc>
          <w:tcPr>
            <w:tcW w:w="1276" w:type="dxa"/>
          </w:tcPr>
          <w:p>
            <w:pPr>
              <w:pStyle w:val="yTable"/>
              <w:jc w:val="center"/>
            </w:pPr>
            <w:r>
              <w:br/>
            </w:r>
            <w:r>
              <w:br/>
              <w:t>250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34(2)</w:t>
            </w:r>
          </w:p>
        </w:tc>
        <w:tc>
          <w:tcPr>
            <w:tcW w:w="1276" w:type="dxa"/>
          </w:tcPr>
          <w:p>
            <w:pPr>
              <w:pStyle w:val="yTable"/>
              <w:jc w:val="center"/>
            </w:pPr>
            <w:r>
              <w:br/>
            </w:r>
            <w:r>
              <w:br/>
            </w:r>
            <w:r>
              <w:br/>
              <w:t>75</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37(4)</w:t>
            </w:r>
          </w:p>
        </w:tc>
        <w:tc>
          <w:tcPr>
            <w:tcW w:w="1276" w:type="dxa"/>
          </w:tcPr>
          <w:p>
            <w:pPr>
              <w:pStyle w:val="yTable"/>
              <w:jc w:val="center"/>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8 and s. 97(2)(h)</w:t>
            </w:r>
          </w:p>
        </w:tc>
        <w:tc>
          <w:tcPr>
            <w:tcW w:w="1276" w:type="dxa"/>
            <w:tcBorders>
              <w:bottom w:val="single" w:sz="4" w:space="0" w:color="auto"/>
            </w:tcBorders>
          </w:tcPr>
          <w:p>
            <w:pPr>
              <w:pStyle w:val="yTable"/>
              <w:jc w:val="center"/>
            </w:pPr>
            <w:r>
              <w:br/>
            </w:r>
            <w:r>
              <w:br/>
              <w:t>20</w:t>
            </w:r>
          </w:p>
        </w:tc>
      </w:tr>
    </w:tbl>
    <w:p>
      <w:pPr>
        <w:pStyle w:val="yScheduleHeading"/>
      </w:pPr>
      <w:bookmarkStart w:id="161" w:name="_Toc129755983"/>
      <w:bookmarkStart w:id="162" w:name="_Toc129759181"/>
      <w:bookmarkStart w:id="163" w:name="_Toc129759459"/>
      <w:bookmarkStart w:id="164" w:name="_Toc131569474"/>
      <w:bookmarkStart w:id="165" w:name="_Toc135616732"/>
      <w:bookmarkStart w:id="166" w:name="_Toc135618141"/>
      <w:bookmarkStart w:id="167" w:name="_Toc136325393"/>
      <w:bookmarkStart w:id="168" w:name="_Toc136325412"/>
      <w:bookmarkStart w:id="169" w:name="_Toc136325446"/>
      <w:bookmarkStart w:id="170" w:name="_Toc136758365"/>
      <w:bookmarkStart w:id="171" w:name="_Toc136758563"/>
      <w:bookmarkStart w:id="172" w:name="_Toc136829282"/>
      <w:bookmarkStart w:id="173" w:name="_Toc136831127"/>
      <w:bookmarkStart w:id="174" w:name="_Toc136831148"/>
      <w:bookmarkStart w:id="175" w:name="_Toc136831272"/>
      <w:bookmarkStart w:id="176" w:name="_Toc138474901"/>
      <w:bookmarkStart w:id="177" w:name="_Toc138474997"/>
      <w:bookmarkStart w:id="178" w:name="_Toc138475021"/>
      <w:bookmarkStart w:id="179" w:name="_Toc138475052"/>
      <w:bookmarkStart w:id="180" w:name="_Toc138475070"/>
      <w:bookmarkStart w:id="181" w:name="_Toc138485204"/>
      <w:bookmarkStart w:id="182" w:name="_Toc138653777"/>
      <w:bookmarkStart w:id="183" w:name="_Toc139852668"/>
      <w:bookmarkStart w:id="184" w:name="_Toc139856157"/>
      <w:bookmarkStart w:id="185" w:name="_Toc139857425"/>
      <w:bookmarkStart w:id="186" w:name="_Toc139937412"/>
      <w:bookmarkStart w:id="187" w:name="_Toc139938790"/>
      <w:bookmarkStart w:id="188" w:name="_Toc139938818"/>
      <w:bookmarkStart w:id="189" w:name="_Toc139938885"/>
      <w:bookmarkStart w:id="190" w:name="_Toc139938939"/>
      <w:bookmarkStart w:id="191" w:name="_Toc139941804"/>
      <w:bookmarkStart w:id="192" w:name="_Toc140045251"/>
      <w:bookmarkStart w:id="193" w:name="_Toc140281895"/>
      <w:bookmarkStart w:id="194" w:name="_Toc140282141"/>
      <w:bookmarkStart w:id="195" w:name="_Toc140290935"/>
      <w:bookmarkStart w:id="196" w:name="_Toc141665448"/>
      <w:bookmarkStart w:id="197" w:name="_Toc141665470"/>
      <w:bookmarkStart w:id="198" w:name="_Toc141665596"/>
      <w:bookmarkStart w:id="199" w:name="_Toc141667609"/>
      <w:bookmarkStart w:id="200" w:name="_Toc141668037"/>
      <w:bookmarkStart w:id="201" w:name="_Toc141668882"/>
      <w:bookmarkStart w:id="202" w:name="_Toc141668908"/>
      <w:bookmarkStart w:id="203" w:name="_Toc141868285"/>
      <w:bookmarkStart w:id="204" w:name="_Toc141868393"/>
      <w:bookmarkStart w:id="205" w:name="_Toc141868627"/>
      <w:bookmarkStart w:id="206" w:name="_Toc142100027"/>
      <w:bookmarkStart w:id="207" w:name="_Toc142101103"/>
      <w:bookmarkStart w:id="208" w:name="_Toc142357590"/>
      <w:bookmarkStart w:id="209" w:name="_Toc142358308"/>
      <w:bookmarkStart w:id="210" w:name="_Toc142358419"/>
      <w:bookmarkStart w:id="211" w:name="_Toc142359699"/>
      <w:bookmarkStart w:id="212" w:name="_Toc144623527"/>
      <w:bookmarkStart w:id="213" w:name="_Toc144692337"/>
      <w:bookmarkStart w:id="214" w:name="_Toc144693892"/>
      <w:bookmarkStart w:id="215" w:name="_Toc144703844"/>
      <w:bookmarkStart w:id="216" w:name="_Toc144804933"/>
      <w:bookmarkStart w:id="217" w:name="_Toc145119143"/>
      <w:bookmarkStart w:id="218" w:name="_Toc165453331"/>
      <w:bookmarkStart w:id="219" w:name="_Toc249175172"/>
      <w:bookmarkStart w:id="220" w:name="_Toc249175218"/>
      <w:bookmarkStart w:id="221" w:name="_Toc129573084"/>
      <w:bookmarkStart w:id="222" w:name="_Toc129574125"/>
      <w:bookmarkStart w:id="223" w:name="_Toc129574142"/>
      <w:bookmarkStart w:id="224" w:name="_Toc129574310"/>
      <w:bookmarkStart w:id="225" w:name="_Toc129574945"/>
      <w:bookmarkStart w:id="226" w:name="_Toc129588692"/>
      <w:bookmarkStart w:id="227" w:name="_Toc129594457"/>
      <w:bookmarkStart w:id="228" w:name="_Toc129653865"/>
      <w:bookmarkStart w:id="229" w:name="_Toc129653904"/>
      <w:bookmarkStart w:id="230" w:name="_Toc129686702"/>
      <w:bookmarkStart w:id="231" w:name="_Toc153701710"/>
      <w:bookmarkStart w:id="232" w:name="_Toc153766935"/>
      <w:r>
        <w:rPr>
          <w:rStyle w:val="CharSchNo"/>
        </w:rPr>
        <w:t>Schedule 2</w:t>
      </w:r>
      <w:r>
        <w:rPr>
          <w:rStyle w:val="CharSDivNo"/>
        </w:rPr>
        <w:t> </w:t>
      </w:r>
      <w:r>
        <w:t>—</w:t>
      </w:r>
      <w:r>
        <w:rPr>
          <w:rStyle w:val="CharSDivText"/>
        </w:rPr>
        <w:t> </w:t>
      </w:r>
      <w:r>
        <w:rPr>
          <w:rStyle w:val="CharSchText"/>
        </w:rPr>
        <w:t xml:space="preserve">Fees </w:t>
      </w:r>
      <w:del w:id="233" w:author="Master Repository Process" w:date="2021-09-11T15:51:00Z">
        <w:r>
          <w:rPr>
            <w:rStyle w:val="CharSchText"/>
          </w:rPr>
          <w:delText>relating to</w:delText>
        </w:r>
      </w:del>
      <w:ins w:id="234" w:author="Master Repository Process" w:date="2021-09-11T15:51:00Z">
        <w:r>
          <w:rPr>
            <w:rStyle w:val="CharSchText"/>
          </w:rPr>
          <w:t>for</w:t>
        </w:r>
      </w:ins>
      <w:r>
        <w:rPr>
          <w:rStyle w:val="CharSchText"/>
        </w:rPr>
        <w:t xml:space="preserve"> registration </w:t>
      </w:r>
      <w:del w:id="235" w:author="Master Repository Process" w:date="2021-09-11T15:51:00Z">
        <w:r>
          <w:rPr>
            <w:rStyle w:val="CharSchText"/>
          </w:rPr>
          <w:delText xml:space="preserve">arising </w:delText>
        </w:r>
      </w:del>
      <w:r>
        <w:rPr>
          <w:rStyle w:val="CharSchText"/>
        </w:rPr>
        <w:t xml:space="preserve">under </w:t>
      </w:r>
      <w:del w:id="236" w:author="Master Repository Process" w:date="2021-09-11T15:51:00Z">
        <w:r>
          <w:rPr>
            <w:rStyle w:val="CharSchText"/>
          </w:rPr>
          <w:delText xml:space="preserve">the </w:delText>
        </w:r>
      </w:del>
      <w:r>
        <w:rPr>
          <w:rStyle w:val="CharSchText"/>
          <w:i/>
          <w:iCs/>
        </w:rPr>
        <w:t>Mutual Recognition (Western Australia) Act 2001</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ins w:id="237" w:author="Master Repository Process" w:date="2021-09-11T15:51:00Z">
        <w:r>
          <w:rPr>
            <w:rStyle w:val="CharSchText"/>
          </w:rPr>
          <w:t xml:space="preserve"> or </w:t>
        </w:r>
        <w:r>
          <w:rPr>
            <w:rStyle w:val="CharSchText"/>
            <w:i/>
            <w:iCs/>
          </w:rPr>
          <w:t>Trans</w:t>
        </w:r>
        <w:r>
          <w:rPr>
            <w:rStyle w:val="CharSchText"/>
            <w:i/>
            <w:iCs/>
          </w:rPr>
          <w:noBreakHyphen/>
          <w:t>Tasman Mutual Recognition (Western Australia) Act 2007</w:t>
        </w:r>
      </w:ins>
      <w:bookmarkEnd w:id="219"/>
      <w:bookmarkEnd w:id="220"/>
    </w:p>
    <w:bookmarkEnd w:id="221"/>
    <w:bookmarkEnd w:id="222"/>
    <w:bookmarkEnd w:id="223"/>
    <w:bookmarkEnd w:id="224"/>
    <w:bookmarkEnd w:id="225"/>
    <w:bookmarkEnd w:id="226"/>
    <w:bookmarkEnd w:id="227"/>
    <w:bookmarkEnd w:id="228"/>
    <w:bookmarkEnd w:id="229"/>
    <w:bookmarkEnd w:id="230"/>
    <w:p>
      <w:pPr>
        <w:pStyle w:val="yShoulderClause"/>
      </w:pPr>
      <w:r>
        <w:t>[r.</w:t>
      </w:r>
      <w:del w:id="238" w:author="Master Repository Process" w:date="2021-09-11T15:51:00Z">
        <w:r>
          <w:delText> </w:delText>
        </w:r>
      </w:del>
      <w:ins w:id="239" w:author="Master Repository Process" w:date="2021-09-11T15:51:00Z">
        <w:r>
          <w:t xml:space="preserve"> </w:t>
        </w:r>
      </w:ins>
      <w:r>
        <w:t>15]</w:t>
      </w:r>
    </w:p>
    <w:p>
      <w:pPr>
        <w:pStyle w:val="yFootnoteheading"/>
        <w:spacing w:after="120"/>
        <w:rPr>
          <w:ins w:id="240" w:author="Master Repository Process" w:date="2021-09-11T15:51:00Z"/>
        </w:rPr>
      </w:pPr>
      <w:ins w:id="241" w:author="Master Repository Process" w:date="2021-09-11T15:51:00Z">
        <w:r>
          <w:tab/>
          <w:t>[Heading inserted in Gazette 22 Dec 2009 p. 5263.]</w:t>
        </w:r>
      </w:ins>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 xml:space="preserve">Fee </w:t>
            </w:r>
            <w:del w:id="242" w:author="Master Repository Process" w:date="2021-09-11T15:51:00Z">
              <w:r>
                <w:delText>payable on</w:delText>
              </w:r>
            </w:del>
            <w:ins w:id="243" w:author="Master Repository Process" w:date="2021-09-11T15:51:00Z">
              <w:r>
                <w:t>for</w:t>
              </w:r>
            </w:ins>
            <w:r>
              <w:t xml:space="preserve"> lodgment of </w:t>
            </w:r>
            <w:del w:id="244" w:author="Master Repository Process" w:date="2021-09-11T15:51:00Z">
              <w:r>
                <w:delText xml:space="preserve">a </w:delText>
              </w:r>
            </w:del>
            <w:r>
              <w:t>written notice seeking registration in accordance with mutual recognition principle</w:t>
            </w:r>
            <w:del w:id="245" w:author="Master Repository Process" w:date="2021-09-11T15:51:00Z">
              <w:r>
                <w:delText>.</w:delText>
              </w:r>
            </w:del>
            <w:ins w:id="246" w:author="Master Repository Process" w:date="2021-09-11T15:51:00Z">
              <w:r>
                <w:t xml:space="preserve"> or Trans-Tasman mutual recognition principle</w:t>
              </w:r>
            </w:ins>
          </w:p>
        </w:tc>
        <w:tc>
          <w:tcPr>
            <w:tcW w:w="1418" w:type="dxa"/>
          </w:tcPr>
          <w:p>
            <w:pPr>
              <w:pStyle w:val="yTableNAm"/>
              <w:jc w:val="center"/>
            </w:pPr>
            <w:r>
              <w:br/>
            </w:r>
            <w:r>
              <w:br/>
            </w:r>
            <w:ins w:id="247" w:author="Master Repository Process" w:date="2021-09-11T15:51:00Z">
              <w:r>
                <w:br/>
              </w:r>
            </w:ins>
            <w:r>
              <w:t>150</w:t>
            </w:r>
          </w:p>
        </w:tc>
      </w:tr>
      <w:tr>
        <w:tc>
          <w:tcPr>
            <w:tcW w:w="567" w:type="dxa"/>
          </w:tcPr>
          <w:p>
            <w:pPr>
              <w:pStyle w:val="yTableNAm"/>
            </w:pPr>
            <w:r>
              <w:t>2.</w:t>
            </w:r>
          </w:p>
        </w:tc>
        <w:tc>
          <w:tcPr>
            <w:tcW w:w="4536" w:type="dxa"/>
          </w:tcPr>
          <w:p>
            <w:pPr>
              <w:pStyle w:val="yTableNAm"/>
            </w:pPr>
            <w:del w:id="248" w:author="Master Repository Process" w:date="2021-09-11T15:51:00Z">
              <w:r>
                <w:delText>Registration fee</w:delText>
              </w:r>
            </w:del>
            <w:ins w:id="249" w:author="Master Repository Process" w:date="2021-09-11T15:51:00Z">
              <w:r>
                <w:t>Fee</w:t>
              </w:r>
            </w:ins>
            <w:r>
              <w:t xml:space="preserve"> for grant of registration in accordance with mutual recognition principle </w:t>
            </w:r>
            <w:ins w:id="250" w:author="Master Repository Process" w:date="2021-09-11T15:51:00Z">
              <w:r>
                <w:t xml:space="preserve">or Trans-Tasman mutual recognition principle </w:t>
              </w:r>
            </w:ins>
            <w:r>
              <w:t xml:space="preserve">if registration </w:t>
            </w:r>
            <w:del w:id="251" w:author="Master Repository Process" w:date="2021-09-11T15:51:00Z">
              <w:r>
                <w:delText xml:space="preserve">is </w:delText>
              </w:r>
            </w:del>
            <w:r>
              <w:t xml:space="preserve">effected in </w:t>
            </w:r>
            <w:del w:id="252" w:author="Master Repository Process" w:date="2021-09-11T15:51:00Z">
              <w:r>
                <w:delText xml:space="preserve">the months of </w:delText>
              </w:r>
            </w:del>
            <w:r>
              <w:t>January, February, March, April, May or June</w:t>
            </w:r>
            <w:del w:id="253" w:author="Master Repository Process" w:date="2021-09-11T15:51:00Z">
              <w:r>
                <w:delText>.</w:delText>
              </w:r>
            </w:del>
          </w:p>
        </w:tc>
        <w:tc>
          <w:tcPr>
            <w:tcW w:w="1418" w:type="dxa"/>
          </w:tcPr>
          <w:p>
            <w:pPr>
              <w:pStyle w:val="yTableNAm"/>
              <w:jc w:val="center"/>
            </w:pPr>
            <w:r>
              <w:br/>
            </w:r>
            <w:r>
              <w:br/>
            </w:r>
            <w:r>
              <w:br/>
            </w:r>
            <w:del w:id="254" w:author="Master Repository Process" w:date="2021-09-11T15:51:00Z">
              <w:r>
                <w:delText>250</w:delText>
              </w:r>
            </w:del>
            <w:ins w:id="255" w:author="Master Repository Process" w:date="2021-09-11T15:51:00Z">
              <w:r>
                <w:br/>
                <w:t>125</w:t>
              </w:r>
            </w:ins>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del w:id="256" w:author="Master Repository Process" w:date="2021-09-11T15:51:00Z">
              <w:r>
                <w:delText>Registration fee</w:delText>
              </w:r>
            </w:del>
            <w:ins w:id="257" w:author="Master Repository Process" w:date="2021-09-11T15:51:00Z">
              <w:r>
                <w:t>Fee</w:t>
              </w:r>
            </w:ins>
            <w:r>
              <w:t xml:space="preserve"> for grant of registration in accordance with mutual recognition principle </w:t>
            </w:r>
            <w:ins w:id="258" w:author="Master Repository Process" w:date="2021-09-11T15:51:00Z">
              <w:r>
                <w:t xml:space="preserve">or Trans-Tasman mutual recognition principle </w:t>
              </w:r>
            </w:ins>
            <w:r>
              <w:t xml:space="preserve">if registration </w:t>
            </w:r>
            <w:del w:id="259" w:author="Master Repository Process" w:date="2021-09-11T15:51:00Z">
              <w:r>
                <w:delText xml:space="preserve">is </w:delText>
              </w:r>
            </w:del>
            <w:r>
              <w:t xml:space="preserve">effected in </w:t>
            </w:r>
            <w:del w:id="260" w:author="Master Repository Process" w:date="2021-09-11T15:51:00Z">
              <w:r>
                <w:delText xml:space="preserve">the months of </w:delText>
              </w:r>
            </w:del>
            <w:r>
              <w:t>July, August, September, October, November or December</w:t>
            </w:r>
            <w:del w:id="261" w:author="Master Repository Process" w:date="2021-09-11T15:51:00Z">
              <w:r>
                <w:delText>.</w:delText>
              </w:r>
            </w:del>
          </w:p>
        </w:tc>
        <w:tc>
          <w:tcPr>
            <w:tcW w:w="1418" w:type="dxa"/>
            <w:tcBorders>
              <w:bottom w:val="single" w:sz="4" w:space="0" w:color="auto"/>
            </w:tcBorders>
          </w:tcPr>
          <w:p>
            <w:pPr>
              <w:pStyle w:val="yTableNAm"/>
              <w:jc w:val="center"/>
            </w:pPr>
            <w:r>
              <w:br/>
            </w:r>
            <w:r>
              <w:br/>
            </w:r>
            <w:r>
              <w:br/>
            </w:r>
            <w:r>
              <w:br/>
            </w:r>
            <w:del w:id="262" w:author="Master Repository Process" w:date="2021-09-11T15:51:00Z">
              <w:r>
                <w:delText>125</w:delText>
              </w:r>
            </w:del>
            <w:ins w:id="263" w:author="Master Repository Process" w:date="2021-09-11T15:51:00Z">
              <w:r>
                <w:t>250</w:t>
              </w:r>
            </w:ins>
          </w:p>
        </w:tc>
      </w:tr>
    </w:tbl>
    <w:p>
      <w:pPr>
        <w:pStyle w:val="yFootnotesection"/>
        <w:rPr>
          <w:ins w:id="264" w:author="Master Repository Process" w:date="2021-09-11T15:51:00Z"/>
        </w:rPr>
      </w:pPr>
      <w:ins w:id="265" w:author="Master Repository Process" w:date="2021-09-11T15:51:00Z">
        <w:r>
          <w:tab/>
          <w:t>[Schedule 2 inserted in Gazette 22 Dec 2009 p. 5263.]</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66" w:name="_Toc165453332"/>
      <w:bookmarkStart w:id="267" w:name="_Toc249175173"/>
      <w:bookmarkStart w:id="268" w:name="_Toc249175219"/>
      <w:r>
        <w:t>Notes</w:t>
      </w:r>
      <w:bookmarkEnd w:id="27"/>
      <w:bookmarkEnd w:id="231"/>
      <w:bookmarkEnd w:id="232"/>
      <w:bookmarkEnd w:id="266"/>
      <w:bookmarkEnd w:id="267"/>
      <w:bookmarkEnd w:id="268"/>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Regulations 2006</w:t>
      </w:r>
      <w:del w:id="269" w:author="Master Repository Process" w:date="2021-09-11T15:51:00Z">
        <w:r>
          <w:rPr>
            <w:snapToGrid w:val="0"/>
          </w:rPr>
          <w:delText>.  The</w:delText>
        </w:r>
      </w:del>
      <w:ins w:id="270" w:author="Master Repository Process" w:date="2021-09-11T15:51:00Z">
        <w:r>
          <w:rPr>
            <w:snapToGrid w:val="0"/>
          </w:rPr>
          <w:t xml:space="preserve"> and includes the amendments made by the other written laws referred to in the</w:t>
        </w:r>
      </w:ins>
      <w:r>
        <w:rPr>
          <w:snapToGrid w:val="0"/>
        </w:rPr>
        <w:t xml:space="preserve"> following table</w:t>
      </w:r>
      <w:del w:id="271" w:author="Master Repository Process" w:date="2021-09-11T15:51:00Z">
        <w:r>
          <w:rPr>
            <w:snapToGrid w:val="0"/>
          </w:rPr>
          <w:delText xml:space="preserve"> contains information about those regulations</w:delText>
        </w:r>
      </w:del>
      <w:r>
        <w:rPr>
          <w:snapToGrid w:val="0"/>
        </w:rPr>
        <w:t xml:space="preserve">. </w:t>
      </w:r>
    </w:p>
    <w:p>
      <w:pPr>
        <w:pStyle w:val="nHeading3"/>
      </w:pPr>
      <w:bookmarkStart w:id="272" w:name="_Toc70311430"/>
      <w:bookmarkStart w:id="273" w:name="_Toc249175220"/>
      <w:bookmarkStart w:id="274" w:name="_Toc165453333"/>
      <w:r>
        <w:t>Compilation table</w:t>
      </w:r>
      <w:bookmarkEnd w:id="272"/>
      <w:bookmarkEnd w:id="273"/>
      <w:bookmarkEnd w:id="2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noProof/>
                <w:snapToGrid w:val="0"/>
                <w:sz w:val="19"/>
              </w:rPr>
              <w:t>Optometrists Regulations 2006</w:t>
            </w:r>
            <w:r>
              <w:rPr>
                <w:noProof/>
                <w:snapToGrid w:val="0"/>
                <w:sz w:val="19"/>
              </w:rPr>
              <w:t xml:space="preserve"> </w:t>
            </w:r>
          </w:p>
        </w:tc>
        <w:tc>
          <w:tcPr>
            <w:tcW w:w="1276" w:type="dxa"/>
            <w:tcBorders>
              <w:bottom w:val="nil"/>
            </w:tcBorders>
          </w:tcPr>
          <w:p>
            <w:pPr>
              <w:pStyle w:val="nTable"/>
              <w:spacing w:after="40"/>
              <w:rPr>
                <w:sz w:val="19"/>
              </w:rPr>
            </w:pPr>
            <w:r>
              <w:rPr>
                <w:sz w:val="19"/>
              </w:rPr>
              <w:t>13 Dec 2006 p. 5573</w:t>
            </w:r>
            <w:r>
              <w:rPr>
                <w:sz w:val="19"/>
              </w:rPr>
              <w:noBreakHyphen/>
              <w:t>84</w:t>
            </w:r>
          </w:p>
        </w:tc>
        <w:tc>
          <w:tcPr>
            <w:tcW w:w="2693" w:type="dxa"/>
            <w:tcBorders>
              <w:bottom w:val="nil"/>
            </w:tcBorders>
          </w:tcPr>
          <w:p>
            <w:pPr>
              <w:pStyle w:val="nTable"/>
              <w:spacing w:after="40"/>
              <w:rPr>
                <w:sz w:val="19"/>
              </w:rPr>
            </w:pPr>
            <w:r>
              <w:t xml:space="preserve">20 Apr 2007 (see r. 2 and </w:t>
            </w:r>
            <w:r>
              <w:rPr>
                <w:i/>
                <w:iCs/>
              </w:rPr>
              <w:t xml:space="preserve">Gazette </w:t>
            </w:r>
            <w:r>
              <w:t>30 Mar 2007 p. 1451)</w:t>
            </w:r>
          </w:p>
        </w:tc>
      </w:tr>
      <w:tr>
        <w:trPr>
          <w:ins w:id="275" w:author="Master Repository Process" w:date="2021-09-11T15:51:00Z"/>
        </w:trPr>
        <w:tc>
          <w:tcPr>
            <w:tcW w:w="3118" w:type="dxa"/>
            <w:tcBorders>
              <w:top w:val="nil"/>
              <w:bottom w:val="single" w:sz="4" w:space="0" w:color="auto"/>
            </w:tcBorders>
          </w:tcPr>
          <w:p>
            <w:pPr>
              <w:pStyle w:val="nTable"/>
              <w:spacing w:after="40"/>
              <w:rPr>
                <w:ins w:id="276" w:author="Master Repository Process" w:date="2021-09-11T15:51:00Z"/>
                <w:i/>
                <w:noProof/>
                <w:snapToGrid w:val="0"/>
                <w:sz w:val="19"/>
              </w:rPr>
            </w:pPr>
            <w:ins w:id="277" w:author="Master Repository Process" w:date="2021-09-11T15:51:00Z">
              <w:r>
                <w:rPr>
                  <w:i/>
                  <w:noProof/>
                  <w:snapToGrid w:val="0"/>
                  <w:sz w:val="19"/>
                </w:rPr>
                <w:t>Optometrists Amendment Regulations 2009</w:t>
              </w:r>
            </w:ins>
          </w:p>
        </w:tc>
        <w:tc>
          <w:tcPr>
            <w:tcW w:w="1276" w:type="dxa"/>
            <w:tcBorders>
              <w:top w:val="nil"/>
              <w:bottom w:val="single" w:sz="4" w:space="0" w:color="auto"/>
            </w:tcBorders>
          </w:tcPr>
          <w:p>
            <w:pPr>
              <w:pStyle w:val="nTable"/>
              <w:spacing w:after="40"/>
              <w:rPr>
                <w:ins w:id="278" w:author="Master Repository Process" w:date="2021-09-11T15:51:00Z"/>
                <w:sz w:val="19"/>
              </w:rPr>
            </w:pPr>
            <w:ins w:id="279" w:author="Master Repository Process" w:date="2021-09-11T15:51:00Z">
              <w:r>
                <w:rPr>
                  <w:sz w:val="19"/>
                </w:rPr>
                <w:t>22 Dec 2009 p. 5262-3</w:t>
              </w:r>
            </w:ins>
          </w:p>
        </w:tc>
        <w:tc>
          <w:tcPr>
            <w:tcW w:w="2693" w:type="dxa"/>
            <w:tcBorders>
              <w:top w:val="nil"/>
              <w:bottom w:val="single" w:sz="4" w:space="0" w:color="auto"/>
            </w:tcBorders>
          </w:tcPr>
          <w:p>
            <w:pPr>
              <w:pStyle w:val="nTable"/>
              <w:spacing w:after="40"/>
              <w:rPr>
                <w:ins w:id="280" w:author="Master Repository Process" w:date="2021-09-11T15:51:00Z"/>
              </w:rPr>
            </w:pPr>
            <w:ins w:id="281" w:author="Master Repository Process" w:date="2021-09-11T15:51:00Z">
              <w:r>
                <w:rPr>
                  <w:snapToGrid w:val="0"/>
                  <w:spacing w:val="-2"/>
                  <w:sz w:val="19"/>
                  <w:lang w:val="en-US"/>
                </w:rPr>
                <w:t>r. 1 and 2: 22 Dec 2009 (see r. 2(a));</w:t>
              </w:r>
              <w:r>
                <w:rPr>
                  <w:snapToGrid w:val="0"/>
                  <w:spacing w:val="-2"/>
                  <w:sz w:val="19"/>
                  <w:lang w:val="en-US"/>
                </w:rPr>
                <w:br/>
                <w:t>Regulations other than r. 1 and 2: 23 Dec 2009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Optometrists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Optometrists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Optometrists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Optometrists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Optometrists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DAC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7AC2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7690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12A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3887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425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A245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3A0E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827C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54BD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3C6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EF063F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93C38E-99DE-4AF0-9859-8D1FD2C2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7490</Characters>
  <Application>Microsoft Office Word</Application>
  <DocSecurity>0</DocSecurity>
  <Lines>374</Lines>
  <Paragraphs>186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Optometrists Regulations 2006</vt:lpstr>
      <vt:lpstr>    Schedule 1 — Fees</vt:lpstr>
      <vt:lpstr>    Schedule 2 — Fees for registration under Mutual Recognition (Western Australia) </vt:lpstr>
      <vt:lpstr>    Notes</vt:lpstr>
    </vt:vector>
  </TitlesOfParts>
  <Manager/>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Regulations 2006 00-c0-05 - 00-d0-02</dc:title>
  <dc:subject/>
  <dc:creator/>
  <cp:keywords/>
  <dc:description/>
  <cp:lastModifiedBy>Master Repository Process</cp:lastModifiedBy>
  <cp:revision>2</cp:revision>
  <cp:lastPrinted>2006-09-03T23:43:00Z</cp:lastPrinted>
  <dcterms:created xsi:type="dcterms:W3CDTF">2021-09-11T07:51:00Z</dcterms:created>
  <dcterms:modified xsi:type="dcterms:W3CDTF">2021-09-11T07:51:00Z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5573-84</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39010</vt:i4>
  </property>
  <property fmtid="{D5CDD505-2E9C-101B-9397-08002B2CF9AE}" pid="6" name="FromSuffix">
    <vt:lpwstr>00-c0-05</vt:lpwstr>
  </property>
  <property fmtid="{D5CDD505-2E9C-101B-9397-08002B2CF9AE}" pid="7" name="FromAsAtDate">
    <vt:lpwstr>20 Apr 2007</vt:lpwstr>
  </property>
  <property fmtid="{D5CDD505-2E9C-101B-9397-08002B2CF9AE}" pid="8" name="ToSuffix">
    <vt:lpwstr>00-d0-02</vt:lpwstr>
  </property>
  <property fmtid="{D5CDD505-2E9C-101B-9397-08002B2CF9AE}" pid="9" name="ToAsAtDate">
    <vt:lpwstr>23 Dec 2009</vt:lpwstr>
  </property>
</Properties>
</file>