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2008</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0" w:name="_Toc190578039"/>
      <w:bookmarkStart w:id="1" w:name="_Toc249955283"/>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249955284"/>
      <w:bookmarkStart w:id="4" w:name="_Toc190578040"/>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5" w:name="_Toc249955285"/>
      <w:bookmarkStart w:id="6" w:name="_Toc190578041"/>
      <w:r>
        <w:rPr>
          <w:rStyle w:val="CharSectno"/>
        </w:rPr>
        <w:t>2</w:t>
      </w:r>
      <w:r>
        <w:t>.</w:t>
      </w:r>
      <w:r>
        <w:tab/>
        <w:t>Purpose</w:t>
      </w:r>
      <w:bookmarkEnd w:id="5"/>
      <w:bookmarkEnd w:id="6"/>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7" w:name="_Toc249955286"/>
      <w:bookmarkStart w:id="8" w:name="_Toc190578042"/>
      <w:r>
        <w:rPr>
          <w:rStyle w:val="CharSectno"/>
        </w:rPr>
        <w:t>3</w:t>
      </w:r>
      <w:r>
        <w:t>.</w:t>
      </w:r>
      <w:r>
        <w:tab/>
        <w:t>Terms used in these regulations</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9" w:name="_Toc249955287"/>
      <w:bookmarkStart w:id="10" w:name="_Toc190578043"/>
      <w:r>
        <w:rPr>
          <w:rStyle w:val="CharSectno"/>
        </w:rPr>
        <w:t>4</w:t>
      </w:r>
      <w:r>
        <w:t>.</w:t>
      </w:r>
      <w:r>
        <w:tab/>
        <w:t>Effect on earlier regulations and rules</w:t>
      </w:r>
      <w:bookmarkEnd w:id="9"/>
      <w:bookmarkEnd w:id="10"/>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1" w:name="_Toc190578044"/>
      <w:bookmarkStart w:id="12" w:name="_Toc249955288"/>
      <w:r>
        <w:rPr>
          <w:rStyle w:val="CharPartNo"/>
        </w:rPr>
        <w:t>Part 2</w:t>
      </w:r>
      <w:r>
        <w:rPr>
          <w:rStyle w:val="CharDivNo"/>
        </w:rPr>
        <w:t> </w:t>
      </w:r>
      <w:r>
        <w:t>—</w:t>
      </w:r>
      <w:r>
        <w:rPr>
          <w:rStyle w:val="CharDivText"/>
        </w:rPr>
        <w:t> </w:t>
      </w:r>
      <w:r>
        <w:rPr>
          <w:rStyle w:val="CharPartText"/>
        </w:rPr>
        <w:t>The market rules</w:t>
      </w:r>
      <w:bookmarkEnd w:id="11"/>
      <w:bookmarkEnd w:id="12"/>
    </w:p>
    <w:p>
      <w:pPr>
        <w:pStyle w:val="Heading5"/>
      </w:pPr>
      <w:bookmarkStart w:id="13" w:name="_Toc249955289"/>
      <w:bookmarkStart w:id="14" w:name="_Toc190578045"/>
      <w:r>
        <w:rPr>
          <w:rStyle w:val="CharSectno"/>
        </w:rPr>
        <w:t>5</w:t>
      </w:r>
      <w:r>
        <w:t>.</w:t>
      </w:r>
      <w:r>
        <w:tab/>
        <w:t>Market rules</w:t>
      </w:r>
      <w:bookmarkEnd w:id="13"/>
      <w:bookmarkEnd w:id="14"/>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5" w:name="_Toc249955290"/>
      <w:bookmarkStart w:id="16" w:name="_Toc190578046"/>
      <w:r>
        <w:rPr>
          <w:rStyle w:val="CharSectno"/>
        </w:rPr>
        <w:t>6</w:t>
      </w:r>
      <w:r>
        <w:t>.</w:t>
      </w:r>
      <w:r>
        <w:tab/>
        <w:t>Market rules: general provisions</w:t>
      </w:r>
      <w:bookmarkEnd w:id="15"/>
      <w:bookmarkEnd w:id="16"/>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7" w:name="_Toc249955291"/>
      <w:bookmarkStart w:id="18" w:name="_Toc190578047"/>
      <w:r>
        <w:rPr>
          <w:rStyle w:val="CharSectno"/>
        </w:rPr>
        <w:t>7</w:t>
      </w:r>
      <w:r>
        <w:t>.</w:t>
      </w:r>
      <w:r>
        <w:tab/>
        <w:t>Amending the market rules</w:t>
      </w:r>
      <w:bookmarkEnd w:id="17"/>
      <w:bookmarkEnd w:id="1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9" w:name="_Toc249955292"/>
      <w:bookmarkStart w:id="20" w:name="_Toc190578048"/>
      <w:r>
        <w:rPr>
          <w:rStyle w:val="CharSectno"/>
        </w:rPr>
        <w:t>8</w:t>
      </w:r>
      <w:r>
        <w:t>.</w:t>
      </w:r>
      <w:r>
        <w:tab/>
        <w:t>Availability of copies of the market rules</w:t>
      </w:r>
      <w:bookmarkEnd w:id="19"/>
      <w:bookmarkEnd w:id="20"/>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1" w:name="_Toc249955293"/>
      <w:bookmarkStart w:id="22" w:name="_Toc190578049"/>
      <w:r>
        <w:rPr>
          <w:rStyle w:val="CharSectno"/>
        </w:rPr>
        <w:t>9</w:t>
      </w:r>
      <w:r>
        <w:t>.</w:t>
      </w:r>
      <w:r>
        <w:tab/>
        <w:t>Market procedures</w:t>
      </w:r>
      <w:bookmarkEnd w:id="21"/>
      <w:bookmarkEnd w:id="22"/>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3" w:name="_Toc249955294"/>
      <w:bookmarkStart w:id="24" w:name="_Toc190578050"/>
      <w:r>
        <w:rPr>
          <w:rStyle w:val="CharSectno"/>
        </w:rPr>
        <w:t>10</w:t>
      </w:r>
      <w:r>
        <w:t>.</w:t>
      </w:r>
      <w:r>
        <w:tab/>
        <w:t>Functions of Ministers</w:t>
      </w:r>
      <w:bookmarkEnd w:id="23"/>
      <w:bookmarkEnd w:id="24"/>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5" w:name="_Toc249955295"/>
      <w:bookmarkStart w:id="26" w:name="_Toc190578051"/>
      <w:r>
        <w:rPr>
          <w:rStyle w:val="CharSectno"/>
        </w:rPr>
        <w:t>11</w:t>
      </w:r>
      <w:r>
        <w:t>.</w:t>
      </w:r>
      <w:r>
        <w:tab/>
        <w:t>Functions of the Economic Regulation Authority</w:t>
      </w:r>
      <w:bookmarkEnd w:id="25"/>
      <w:bookmarkEnd w:id="26"/>
    </w:p>
    <w:p>
      <w:pPr>
        <w:pStyle w:val="Subsection"/>
      </w:pPr>
      <w:r>
        <w:tab/>
      </w:r>
      <w:r>
        <w:tab/>
        <w:t>The market rules may confer functions on the Authority.</w:t>
      </w:r>
    </w:p>
    <w:p>
      <w:pPr>
        <w:pStyle w:val="Heading5"/>
      </w:pPr>
      <w:bookmarkStart w:id="27" w:name="_Toc249955296"/>
      <w:bookmarkStart w:id="28" w:name="_Toc190578052"/>
      <w:r>
        <w:rPr>
          <w:rStyle w:val="CharSectno"/>
        </w:rPr>
        <w:t>12</w:t>
      </w:r>
      <w:r>
        <w:t>.</w:t>
      </w:r>
      <w:r>
        <w:tab/>
        <w:t>Functions of the IMO</w:t>
      </w:r>
      <w:bookmarkEnd w:id="27"/>
      <w:bookmarkEnd w:id="28"/>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29" w:name="_Toc249955297"/>
      <w:bookmarkStart w:id="30" w:name="_Toc190578053"/>
      <w:r>
        <w:rPr>
          <w:rStyle w:val="CharSectno"/>
        </w:rPr>
        <w:t>12A</w:t>
      </w:r>
      <w:r>
        <w:t>.</w:t>
      </w:r>
      <w:r>
        <w:tab/>
        <w:t>Functions of electricity corporations</w:t>
      </w:r>
      <w:bookmarkEnd w:id="29"/>
      <w:bookmarkEnd w:id="30"/>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31" w:name="_Toc249955298"/>
      <w:bookmarkStart w:id="32" w:name="_Toc190578054"/>
      <w:r>
        <w:rPr>
          <w:rStyle w:val="CharSectno"/>
        </w:rPr>
        <w:t>13</w:t>
      </w:r>
      <w:r>
        <w:t>.</w:t>
      </w:r>
      <w:r>
        <w:tab/>
        <w:t>Functions of System Management</w:t>
      </w:r>
      <w:bookmarkEnd w:id="31"/>
      <w:bookmarkEnd w:id="32"/>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33" w:name="_Toc249955299"/>
      <w:bookmarkStart w:id="34" w:name="_Toc190578055"/>
      <w:r>
        <w:rPr>
          <w:rStyle w:val="CharSectno"/>
        </w:rPr>
        <w:t>14</w:t>
      </w:r>
      <w:r>
        <w:t>.</w:t>
      </w:r>
      <w:r>
        <w:tab/>
        <w:t>Market rules as to registration</w:t>
      </w:r>
      <w:bookmarkEnd w:id="33"/>
      <w:bookmarkEnd w:id="34"/>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35" w:name="_Toc249955300"/>
      <w:bookmarkStart w:id="36" w:name="_Toc190578056"/>
      <w:r>
        <w:rPr>
          <w:rStyle w:val="CharSectno"/>
        </w:rPr>
        <w:t>15</w:t>
      </w:r>
      <w:r>
        <w:t>.</w:t>
      </w:r>
      <w:r>
        <w:tab/>
        <w:t>Functions of registered participants</w:t>
      </w:r>
      <w:bookmarkEnd w:id="35"/>
      <w:bookmarkEnd w:id="3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37" w:name="_Toc249955301"/>
      <w:bookmarkStart w:id="38" w:name="_Toc190578057"/>
      <w:r>
        <w:rPr>
          <w:rStyle w:val="CharSectno"/>
        </w:rPr>
        <w:t>16</w:t>
      </w:r>
      <w:r>
        <w:t>.</w:t>
      </w:r>
      <w:r>
        <w:tab/>
        <w:t>Evidence as to registered participants and exemptions</w:t>
      </w:r>
      <w:bookmarkEnd w:id="37"/>
      <w:bookmarkEnd w:id="38"/>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39" w:name="_Toc249955302"/>
      <w:bookmarkStart w:id="40" w:name="_Toc190578058"/>
      <w:r>
        <w:rPr>
          <w:rStyle w:val="CharSectno"/>
        </w:rPr>
        <w:t>17</w:t>
      </w:r>
      <w:r>
        <w:t>.</w:t>
      </w:r>
      <w:r>
        <w:tab/>
        <w:t>Market rules generally</w:t>
      </w:r>
      <w:bookmarkEnd w:id="39"/>
      <w:bookmarkEnd w:id="40"/>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41" w:name="_Toc249955303"/>
      <w:bookmarkStart w:id="42" w:name="_Toc190578059"/>
      <w:r>
        <w:rPr>
          <w:rStyle w:val="CharSectno"/>
        </w:rPr>
        <w:t>18</w:t>
      </w:r>
      <w:r>
        <w:t>.</w:t>
      </w:r>
      <w:r>
        <w:tab/>
        <w:t>Trade practices authorisation</w:t>
      </w:r>
      <w:bookmarkEnd w:id="41"/>
      <w:bookmarkEnd w:id="42"/>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43" w:name="_Toc249955304"/>
      <w:bookmarkStart w:id="44" w:name="_Toc190578060"/>
      <w:r>
        <w:rPr>
          <w:rStyle w:val="CharSectno"/>
        </w:rPr>
        <w:t>18A</w:t>
      </w:r>
      <w:r>
        <w:t>.</w:t>
      </w:r>
      <w:r>
        <w:tab/>
        <w:t xml:space="preserve">Excluded matters for the purposes of the </w:t>
      </w:r>
      <w:r>
        <w:rPr>
          <w:i/>
          <w:iCs/>
        </w:rPr>
        <w:t>Corporations Act 2001</w:t>
      </w:r>
      <w:r>
        <w:t xml:space="preserve"> (Commonwealth)</w:t>
      </w:r>
      <w:bookmarkEnd w:id="43"/>
      <w:bookmarkEnd w:id="44"/>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45" w:name="_Toc190578061"/>
      <w:bookmarkStart w:id="46" w:name="_Toc249955305"/>
      <w:r>
        <w:rPr>
          <w:rStyle w:val="CharPartNo"/>
        </w:rPr>
        <w:t>Part 3</w:t>
      </w:r>
      <w:r>
        <w:rPr>
          <w:rStyle w:val="CharDivNo"/>
        </w:rPr>
        <w:t> </w:t>
      </w:r>
      <w:r>
        <w:t>—</w:t>
      </w:r>
      <w:r>
        <w:rPr>
          <w:rStyle w:val="CharDivText"/>
        </w:rPr>
        <w:t> </w:t>
      </w:r>
      <w:r>
        <w:rPr>
          <w:rStyle w:val="CharPartText"/>
        </w:rPr>
        <w:t>Registration requirement</w:t>
      </w:r>
      <w:bookmarkEnd w:id="45"/>
      <w:bookmarkEnd w:id="46"/>
    </w:p>
    <w:p>
      <w:pPr>
        <w:pStyle w:val="Heading5"/>
      </w:pPr>
      <w:bookmarkStart w:id="47" w:name="_Toc249955306"/>
      <w:bookmarkStart w:id="48" w:name="_Toc190578062"/>
      <w:r>
        <w:rPr>
          <w:rStyle w:val="CharSectno"/>
        </w:rPr>
        <w:t>19</w:t>
      </w:r>
      <w:r>
        <w:t>.</w:t>
      </w:r>
      <w:r>
        <w:tab/>
        <w:t>Registration by IMO required for certain activities</w:t>
      </w:r>
      <w:bookmarkEnd w:id="47"/>
      <w:bookmarkEnd w:id="48"/>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49" w:name="_Toc249955307"/>
      <w:bookmarkStart w:id="50" w:name="_Toc190578063"/>
      <w:r>
        <w:rPr>
          <w:rStyle w:val="CharSectno"/>
        </w:rPr>
        <w:t>20</w:t>
      </w:r>
      <w:r>
        <w:t>.</w:t>
      </w:r>
      <w:r>
        <w:tab/>
        <w:t>Notice of failure to register</w:t>
      </w:r>
      <w:bookmarkEnd w:id="49"/>
      <w:bookmarkEnd w:id="50"/>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51" w:name="_Toc190578064"/>
      <w:bookmarkStart w:id="52" w:name="_Toc249955308"/>
      <w:r>
        <w:rPr>
          <w:rStyle w:val="CharPartNo"/>
        </w:rPr>
        <w:t>Part 4</w:t>
      </w:r>
      <w:r>
        <w:rPr>
          <w:rStyle w:val="CharDivNo"/>
        </w:rPr>
        <w:t> </w:t>
      </w:r>
      <w:r>
        <w:t>—</w:t>
      </w:r>
      <w:r>
        <w:rPr>
          <w:rStyle w:val="CharDivText"/>
        </w:rPr>
        <w:t> </w:t>
      </w:r>
      <w:r>
        <w:rPr>
          <w:rStyle w:val="CharPartText"/>
        </w:rPr>
        <w:t>Market costs</w:t>
      </w:r>
      <w:bookmarkEnd w:id="51"/>
      <w:bookmarkEnd w:id="52"/>
    </w:p>
    <w:p>
      <w:pPr>
        <w:pStyle w:val="Heading5"/>
      </w:pPr>
      <w:bookmarkStart w:id="53" w:name="_Toc249955309"/>
      <w:bookmarkStart w:id="54" w:name="_Toc190578065"/>
      <w:r>
        <w:rPr>
          <w:rStyle w:val="CharSectno"/>
        </w:rPr>
        <w:t>21</w:t>
      </w:r>
      <w:r>
        <w:t>.</w:t>
      </w:r>
      <w:r>
        <w:tab/>
        <w:t>Allocation of costs</w:t>
      </w:r>
      <w:bookmarkEnd w:id="53"/>
      <w:bookmarkEnd w:id="54"/>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55" w:name="_Toc190578066"/>
      <w:bookmarkStart w:id="56" w:name="_Toc249955310"/>
      <w:r>
        <w:rPr>
          <w:rStyle w:val="CharPartNo"/>
        </w:rPr>
        <w:t>Part 5</w:t>
      </w:r>
      <w:r>
        <w:t> — </w:t>
      </w:r>
      <w:r>
        <w:rPr>
          <w:rStyle w:val="CharPartText"/>
        </w:rPr>
        <w:t>Enforcement of the market rules</w:t>
      </w:r>
      <w:bookmarkEnd w:id="55"/>
      <w:bookmarkEnd w:id="56"/>
    </w:p>
    <w:p>
      <w:pPr>
        <w:pStyle w:val="Footnoteheading"/>
      </w:pPr>
      <w:r>
        <w:tab/>
        <w:t>[Heading inserted in Gazette 16 Aug 2005 p. 3830.]</w:t>
      </w:r>
    </w:p>
    <w:p>
      <w:pPr>
        <w:pStyle w:val="Heading3"/>
        <w:spacing w:before="220"/>
      </w:pPr>
      <w:bookmarkStart w:id="57" w:name="_Toc190578067"/>
      <w:bookmarkStart w:id="58" w:name="_Toc249955311"/>
      <w:r>
        <w:rPr>
          <w:rStyle w:val="CharDivNo"/>
        </w:rPr>
        <w:t>Division 1</w:t>
      </w:r>
      <w:r>
        <w:t> — </w:t>
      </w:r>
      <w:r>
        <w:rPr>
          <w:rStyle w:val="CharDivText"/>
        </w:rPr>
        <w:t>Preliminary</w:t>
      </w:r>
      <w:bookmarkEnd w:id="57"/>
      <w:bookmarkEnd w:id="58"/>
    </w:p>
    <w:p>
      <w:pPr>
        <w:pStyle w:val="Footnoteheading"/>
      </w:pPr>
      <w:r>
        <w:tab/>
        <w:t>[Heading inserted in Gazette 16 Aug 2005 p. 3830.]</w:t>
      </w:r>
    </w:p>
    <w:p>
      <w:pPr>
        <w:pStyle w:val="Heading5"/>
        <w:spacing w:before="180"/>
      </w:pPr>
      <w:bookmarkStart w:id="59" w:name="_Toc249955312"/>
      <w:bookmarkStart w:id="60" w:name="_Toc190578068"/>
      <w:r>
        <w:rPr>
          <w:rStyle w:val="CharSectno"/>
        </w:rPr>
        <w:t>22</w:t>
      </w:r>
      <w:r>
        <w:t>.</w:t>
      </w:r>
      <w:r>
        <w:tab/>
        <w:t>Terms used in this Part</w:t>
      </w:r>
      <w:bookmarkEnd w:id="59"/>
      <w:bookmarkEnd w:id="60"/>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61" w:name="_Toc190578069"/>
      <w:bookmarkStart w:id="62" w:name="_Toc249955313"/>
      <w:r>
        <w:rPr>
          <w:rStyle w:val="CharDivNo"/>
        </w:rPr>
        <w:t>Division 2</w:t>
      </w:r>
      <w:r>
        <w:t> — </w:t>
      </w:r>
      <w:r>
        <w:rPr>
          <w:rStyle w:val="CharDivText"/>
        </w:rPr>
        <w:t>Investigation</w:t>
      </w:r>
      <w:bookmarkEnd w:id="61"/>
      <w:bookmarkEnd w:id="62"/>
    </w:p>
    <w:p>
      <w:pPr>
        <w:pStyle w:val="Footnoteheading"/>
      </w:pPr>
      <w:r>
        <w:tab/>
        <w:t>[Heading inserted in Gazette 16 Aug 2005 p. 3830.]</w:t>
      </w:r>
    </w:p>
    <w:p>
      <w:pPr>
        <w:pStyle w:val="Heading5"/>
        <w:spacing w:before="180"/>
      </w:pPr>
      <w:bookmarkStart w:id="63" w:name="_Toc249955314"/>
      <w:bookmarkStart w:id="64" w:name="_Toc190578070"/>
      <w:r>
        <w:rPr>
          <w:rStyle w:val="CharSectno"/>
        </w:rPr>
        <w:t>23</w:t>
      </w:r>
      <w:r>
        <w:t>.</w:t>
      </w:r>
      <w:r>
        <w:tab/>
        <w:t>Authorised persons</w:t>
      </w:r>
      <w:bookmarkEnd w:id="63"/>
      <w:bookmarkEnd w:id="64"/>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65" w:name="_Toc249955315"/>
      <w:bookmarkStart w:id="66" w:name="_Toc190578071"/>
      <w:r>
        <w:rPr>
          <w:rStyle w:val="CharSectno"/>
        </w:rPr>
        <w:t>24</w:t>
      </w:r>
      <w:r>
        <w:t>.</w:t>
      </w:r>
      <w:r>
        <w:tab/>
        <w:t>Search warrants</w:t>
      </w:r>
      <w:bookmarkEnd w:id="65"/>
      <w:bookmarkEnd w:id="66"/>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67" w:name="_Toc249955316"/>
      <w:bookmarkStart w:id="68" w:name="_Toc190578072"/>
      <w:r>
        <w:rPr>
          <w:rStyle w:val="CharSectno"/>
        </w:rPr>
        <w:t>25</w:t>
      </w:r>
      <w:r>
        <w:t>.</w:t>
      </w:r>
      <w:r>
        <w:tab/>
        <w:t>Announcement before entry</w:t>
      </w:r>
      <w:bookmarkEnd w:id="67"/>
      <w:bookmarkEnd w:id="68"/>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69" w:name="_Toc249955317"/>
      <w:bookmarkStart w:id="70" w:name="_Toc190578073"/>
      <w:r>
        <w:rPr>
          <w:rStyle w:val="CharSectno"/>
        </w:rPr>
        <w:t>26</w:t>
      </w:r>
      <w:r>
        <w:t>.</w:t>
      </w:r>
      <w:r>
        <w:tab/>
        <w:t>Details of warrant to be given to occupier</w:t>
      </w:r>
      <w:bookmarkEnd w:id="69"/>
      <w:bookmarkEnd w:id="70"/>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71" w:name="_Toc249955318"/>
      <w:bookmarkStart w:id="72" w:name="_Toc190578074"/>
      <w:r>
        <w:rPr>
          <w:rStyle w:val="CharSectno"/>
        </w:rPr>
        <w:t>27</w:t>
      </w:r>
      <w:r>
        <w:t>.</w:t>
      </w:r>
      <w:r>
        <w:tab/>
        <w:t>Copies of seized documents</w:t>
      </w:r>
      <w:bookmarkEnd w:id="71"/>
      <w:bookmarkEnd w:id="72"/>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73" w:name="_Toc249955319"/>
      <w:bookmarkStart w:id="74" w:name="_Toc190578075"/>
      <w:r>
        <w:rPr>
          <w:rStyle w:val="CharSectno"/>
        </w:rPr>
        <w:t>28</w:t>
      </w:r>
      <w:r>
        <w:t>.</w:t>
      </w:r>
      <w:r>
        <w:tab/>
        <w:t>Retention and return of seized documents etc.</w:t>
      </w:r>
      <w:bookmarkEnd w:id="73"/>
      <w:bookmarkEnd w:id="74"/>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75" w:name="_Toc249955320"/>
      <w:bookmarkStart w:id="76" w:name="_Toc190578076"/>
      <w:r>
        <w:rPr>
          <w:rStyle w:val="CharSectno"/>
        </w:rPr>
        <w:t>29</w:t>
      </w:r>
      <w:r>
        <w:t>.</w:t>
      </w:r>
      <w:r>
        <w:tab/>
        <w:t>Obstruction of persons authorised to enter</w:t>
      </w:r>
      <w:bookmarkEnd w:id="75"/>
      <w:bookmarkEnd w:id="76"/>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77" w:name="_Toc190578077"/>
      <w:bookmarkStart w:id="78" w:name="_Toc249955321"/>
      <w:r>
        <w:rPr>
          <w:rStyle w:val="CharDivNo"/>
        </w:rPr>
        <w:t>Division 3</w:t>
      </w:r>
      <w:r>
        <w:t> — </w:t>
      </w:r>
      <w:r>
        <w:rPr>
          <w:rStyle w:val="CharDivText"/>
        </w:rPr>
        <w:t>Orders and penalties</w:t>
      </w:r>
      <w:bookmarkEnd w:id="77"/>
      <w:bookmarkEnd w:id="78"/>
    </w:p>
    <w:p>
      <w:pPr>
        <w:pStyle w:val="Footnoteheading"/>
      </w:pPr>
      <w:r>
        <w:tab/>
        <w:t>[Heading inserted in Gazette 16 Aug 2005 p. 3835.]</w:t>
      </w:r>
    </w:p>
    <w:p>
      <w:pPr>
        <w:pStyle w:val="Heading5"/>
      </w:pPr>
      <w:bookmarkStart w:id="79" w:name="_Toc249955322"/>
      <w:bookmarkStart w:id="80" w:name="_Toc190578078"/>
      <w:r>
        <w:rPr>
          <w:rStyle w:val="CharSectno"/>
        </w:rPr>
        <w:t>30</w:t>
      </w:r>
      <w:r>
        <w:t>.</w:t>
      </w:r>
      <w:r>
        <w:tab/>
        <w:t>Civil penalty provisions and civil penalties</w:t>
      </w:r>
      <w:bookmarkEnd w:id="79"/>
      <w:bookmarkEnd w:id="80"/>
    </w:p>
    <w:p>
      <w:pPr>
        <w:pStyle w:val="Subsection"/>
      </w:pPr>
      <w:r>
        <w:tab/>
        <w:t>(1)</w:t>
      </w:r>
      <w:r>
        <w:tab/>
        <w:t xml:space="preserve">The provisions of the market rules specified in the Table to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r>
        <w:tab/>
        <w:t>[Regulation 30 inserted in Gazette 16 Aug 2005 p. 3835</w:t>
      </w:r>
      <w:r>
        <w:noBreakHyphen/>
        <w:t>6.]</w:t>
      </w:r>
    </w:p>
    <w:p>
      <w:pPr>
        <w:pStyle w:val="Heading5"/>
      </w:pPr>
      <w:bookmarkStart w:id="81" w:name="_Toc249955323"/>
      <w:bookmarkStart w:id="82" w:name="_Toc190578079"/>
      <w:r>
        <w:rPr>
          <w:rStyle w:val="CharSectno"/>
        </w:rPr>
        <w:t>31</w:t>
      </w:r>
      <w:r>
        <w:t>.</w:t>
      </w:r>
      <w:r>
        <w:tab/>
        <w:t>IMO may demand civil penalty for contravention of category A civil penalty provision</w:t>
      </w:r>
      <w:bookmarkEnd w:id="81"/>
      <w:bookmarkEnd w:id="82"/>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p>
    <w:p>
      <w:pPr>
        <w:pStyle w:val="Heading5"/>
      </w:pPr>
      <w:bookmarkStart w:id="83" w:name="_Toc249955324"/>
      <w:bookmarkStart w:id="84" w:name="_Toc190578080"/>
      <w:r>
        <w:rPr>
          <w:rStyle w:val="CharSectno"/>
        </w:rPr>
        <w:t>32</w:t>
      </w:r>
      <w:r>
        <w:t>.</w:t>
      </w:r>
      <w:r>
        <w:tab/>
        <w:t>Applications for orders from Board for contraventions of provisions of market rules</w:t>
      </w:r>
      <w:bookmarkEnd w:id="83"/>
      <w:bookmarkEnd w:id="84"/>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85" w:name="_Toc249955325"/>
      <w:bookmarkStart w:id="86" w:name="_Toc190578081"/>
      <w:r>
        <w:rPr>
          <w:rStyle w:val="CharSectno"/>
        </w:rPr>
        <w:t>33</w:t>
      </w:r>
      <w:r>
        <w:t>.</w:t>
      </w:r>
      <w:r>
        <w:tab/>
        <w:t>Orders Board may make for contraventions of provisions of market rules</w:t>
      </w:r>
      <w:bookmarkEnd w:id="85"/>
      <w:bookmarkEnd w:id="86"/>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p>
    <w:p>
      <w:pPr>
        <w:pStyle w:val="Heading5"/>
      </w:pPr>
      <w:bookmarkStart w:id="87" w:name="_Toc249955326"/>
      <w:bookmarkStart w:id="88" w:name="_Toc190578082"/>
      <w:r>
        <w:rPr>
          <w:rStyle w:val="CharSectno"/>
        </w:rPr>
        <w:t>34</w:t>
      </w:r>
      <w:r>
        <w:t>.</w:t>
      </w:r>
      <w:r>
        <w:tab/>
        <w:t>Enforcement of orders of the Board</w:t>
      </w:r>
      <w:bookmarkEnd w:id="87"/>
      <w:bookmarkEnd w:id="88"/>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89" w:name="_Toc249955327"/>
      <w:bookmarkStart w:id="90" w:name="_Toc190578083"/>
      <w:r>
        <w:rPr>
          <w:rStyle w:val="CharSectno"/>
        </w:rPr>
        <w:t>35</w:t>
      </w:r>
      <w:r>
        <w:t>.</w:t>
      </w:r>
      <w:r>
        <w:tab/>
        <w:t>Contravention of provision of market rules not an offence</w:t>
      </w:r>
      <w:bookmarkEnd w:id="89"/>
      <w:bookmarkEnd w:id="90"/>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91" w:name="_Toc249955328"/>
      <w:bookmarkStart w:id="92" w:name="_Toc190578084"/>
      <w:r>
        <w:rPr>
          <w:rStyle w:val="CharSectno"/>
        </w:rPr>
        <w:t>36</w:t>
      </w:r>
      <w:r>
        <w:t>.</w:t>
      </w:r>
      <w:r>
        <w:tab/>
        <w:t>Conduct contravening more than one civil penalty provision</w:t>
      </w:r>
      <w:bookmarkEnd w:id="91"/>
      <w:bookmarkEnd w:id="92"/>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93" w:name="_Toc249955329"/>
      <w:bookmarkStart w:id="94" w:name="_Toc190578085"/>
      <w:r>
        <w:rPr>
          <w:rStyle w:val="CharSectno"/>
        </w:rPr>
        <w:t>37</w:t>
      </w:r>
      <w:r>
        <w:t>.</w:t>
      </w:r>
      <w:r>
        <w:tab/>
        <w:t>Application of civil penalties received by the IMO</w:t>
      </w:r>
      <w:bookmarkEnd w:id="93"/>
      <w:bookmarkEnd w:id="94"/>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95" w:name="_Toc249955330"/>
      <w:bookmarkStart w:id="96" w:name="_Toc190578086"/>
      <w:r>
        <w:rPr>
          <w:rStyle w:val="CharSectno"/>
        </w:rPr>
        <w:t>38</w:t>
      </w:r>
      <w:r>
        <w:t>.</w:t>
      </w:r>
      <w:r>
        <w:tab/>
        <w:t>IMO to inform certain persons of decisions not to take action</w:t>
      </w:r>
      <w:bookmarkEnd w:id="95"/>
      <w:bookmarkEnd w:id="96"/>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97" w:name="_Toc249955331"/>
      <w:bookmarkStart w:id="98" w:name="_Toc190578087"/>
      <w:r>
        <w:rPr>
          <w:rStyle w:val="CharSectno"/>
        </w:rPr>
        <w:t>39</w:t>
      </w:r>
      <w:r>
        <w:t>.</w:t>
      </w:r>
      <w:r>
        <w:tab/>
        <w:t>Applications for orders from Board — procedure</w:t>
      </w:r>
      <w:bookmarkEnd w:id="97"/>
      <w:bookmarkEnd w:id="98"/>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99" w:name="_Toc190578088"/>
      <w:bookmarkStart w:id="100" w:name="_Toc249955332"/>
      <w:r>
        <w:rPr>
          <w:rStyle w:val="CharDivNo"/>
        </w:rPr>
        <w:t>Division 4</w:t>
      </w:r>
      <w:r>
        <w:t> — </w:t>
      </w:r>
      <w:r>
        <w:rPr>
          <w:rStyle w:val="CharDivText"/>
        </w:rPr>
        <w:t>Payments under the market rules</w:t>
      </w:r>
      <w:bookmarkEnd w:id="99"/>
      <w:bookmarkEnd w:id="100"/>
    </w:p>
    <w:p>
      <w:pPr>
        <w:pStyle w:val="Footnoteheading"/>
      </w:pPr>
      <w:r>
        <w:tab/>
        <w:t>[Heading inserted in Gazette 16 Aug 2005 p. 3844.]</w:t>
      </w:r>
    </w:p>
    <w:p>
      <w:pPr>
        <w:pStyle w:val="Heading5"/>
      </w:pPr>
      <w:bookmarkStart w:id="101" w:name="_Toc249955333"/>
      <w:bookmarkStart w:id="102" w:name="_Toc190578089"/>
      <w:r>
        <w:rPr>
          <w:rStyle w:val="CharSectno"/>
        </w:rPr>
        <w:t>40</w:t>
      </w:r>
      <w:r>
        <w:t>.</w:t>
      </w:r>
      <w:r>
        <w:tab/>
        <w:t>Obligation to make payments under the market rules</w:t>
      </w:r>
      <w:bookmarkEnd w:id="101"/>
      <w:bookmarkEnd w:id="102"/>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03" w:name="_Toc190578090"/>
      <w:bookmarkStart w:id="104" w:name="_Toc249955334"/>
      <w:r>
        <w:rPr>
          <w:rStyle w:val="CharPartNo"/>
        </w:rPr>
        <w:t>Part 6</w:t>
      </w:r>
      <w:r>
        <w:rPr>
          <w:rStyle w:val="CharDivNo"/>
        </w:rPr>
        <w:t> </w:t>
      </w:r>
      <w:r>
        <w:t>—</w:t>
      </w:r>
      <w:r>
        <w:rPr>
          <w:rStyle w:val="CharDivText"/>
        </w:rPr>
        <w:t> </w:t>
      </w:r>
      <w:r>
        <w:rPr>
          <w:rStyle w:val="CharPartText"/>
        </w:rPr>
        <w:t>Review by the Board</w:t>
      </w:r>
      <w:bookmarkEnd w:id="103"/>
      <w:bookmarkEnd w:id="104"/>
    </w:p>
    <w:p>
      <w:pPr>
        <w:pStyle w:val="Footnoteheading"/>
      </w:pPr>
      <w:r>
        <w:tab/>
        <w:t>[Heading inserted in Gazette 16 Aug 2005 p. 3845.]</w:t>
      </w:r>
    </w:p>
    <w:p>
      <w:pPr>
        <w:pStyle w:val="Heading5"/>
      </w:pPr>
      <w:bookmarkStart w:id="105" w:name="_Toc249955335"/>
      <w:bookmarkStart w:id="106" w:name="_Toc190578091"/>
      <w:r>
        <w:rPr>
          <w:rStyle w:val="CharSectno"/>
        </w:rPr>
        <w:t>41</w:t>
      </w:r>
      <w:r>
        <w:t>.</w:t>
      </w:r>
      <w:r>
        <w:tab/>
        <w:t>Reviewable decisions and procedural decisions</w:t>
      </w:r>
      <w:bookmarkEnd w:id="105"/>
      <w:bookmarkEnd w:id="106"/>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107" w:name="_Toc249955336"/>
      <w:bookmarkStart w:id="108" w:name="_Toc190578092"/>
      <w:r>
        <w:rPr>
          <w:rStyle w:val="CharSectno"/>
        </w:rPr>
        <w:t>42</w:t>
      </w:r>
      <w:r>
        <w:t>.</w:t>
      </w:r>
      <w:r>
        <w:tab/>
        <w:t>Review by the Board — all reviewable decisions</w:t>
      </w:r>
      <w:bookmarkEnd w:id="107"/>
      <w:bookmarkEnd w:id="108"/>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w:t>
      </w:r>
      <w:ins w:id="109" w:author="Master Repository Process" w:date="2021-08-01T11:36:00Z">
        <w:r>
          <w:t xml:space="preserve">as in force immediately before that Schedule was deleted by the </w:t>
        </w:r>
        <w:r>
          <w:rPr>
            <w:i/>
            <w:iCs/>
          </w:rPr>
          <w:t xml:space="preserve">National Gas Access (WA) Act 2009 </w:t>
        </w:r>
        <w:r>
          <w:t xml:space="preserve">section 51 </w:t>
        </w:r>
      </w:ins>
      <w:r>
        <w:t xml:space="preserve">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w:t>
      </w:r>
      <w:del w:id="110" w:author="Master Repository Process" w:date="2021-08-01T11:36:00Z">
        <w:r>
          <w:delText>3846</w:delText>
        </w:r>
      </w:del>
      <w:ins w:id="111" w:author="Master Repository Process" w:date="2021-08-01T11:36:00Z">
        <w:r>
          <w:t>3846; amended in Gazette 31 Dec 2009 p. 5375</w:t>
        </w:r>
      </w:ins>
      <w:r>
        <w:t>.]</w:t>
      </w:r>
    </w:p>
    <w:p>
      <w:pPr>
        <w:pStyle w:val="Heading5"/>
      </w:pPr>
      <w:bookmarkStart w:id="112" w:name="_Toc249955337"/>
      <w:bookmarkStart w:id="113" w:name="_Toc190578093"/>
      <w:r>
        <w:rPr>
          <w:rStyle w:val="CharSectno"/>
        </w:rPr>
        <w:t>43</w:t>
      </w:r>
      <w:r>
        <w:t>.</w:t>
      </w:r>
      <w:r>
        <w:tab/>
        <w:t>Review by the Board — procedural decisions</w:t>
      </w:r>
      <w:bookmarkEnd w:id="112"/>
      <w:bookmarkEnd w:id="113"/>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14" w:name="_Toc249955338"/>
      <w:bookmarkStart w:id="115" w:name="_Toc190578094"/>
      <w:r>
        <w:rPr>
          <w:rStyle w:val="CharSectno"/>
        </w:rPr>
        <w:t>44</w:t>
      </w:r>
      <w:r>
        <w:t>.</w:t>
      </w:r>
      <w:r>
        <w:tab/>
        <w:t>Application for review</w:t>
      </w:r>
      <w:bookmarkEnd w:id="114"/>
      <w:bookmarkEnd w:id="115"/>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116" w:name="_Toc249955339"/>
      <w:bookmarkStart w:id="117" w:name="_Toc190578095"/>
      <w:r>
        <w:rPr>
          <w:rStyle w:val="CharSectno"/>
        </w:rPr>
        <w:t>45</w:t>
      </w:r>
      <w:r>
        <w:t>.</w:t>
      </w:r>
      <w:r>
        <w:tab/>
        <w:t>Effect of application for review</w:t>
      </w:r>
      <w:bookmarkEnd w:id="116"/>
      <w:bookmarkEnd w:id="11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18" w:name="_Toc249955340"/>
      <w:bookmarkStart w:id="119" w:name="_Toc190578096"/>
      <w:r>
        <w:rPr>
          <w:rStyle w:val="CharSectno"/>
        </w:rPr>
        <w:t>46</w:t>
      </w:r>
      <w:r>
        <w:t>.</w:t>
      </w:r>
      <w:r>
        <w:tab/>
        <w:t>Conferences</w:t>
      </w:r>
      <w:bookmarkEnd w:id="118"/>
      <w:bookmarkEnd w:id="119"/>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20" w:name="_Toc249955341"/>
      <w:bookmarkStart w:id="121" w:name="_Toc190578097"/>
      <w:r>
        <w:rPr>
          <w:rStyle w:val="CharSectno"/>
        </w:rPr>
        <w:t>47</w:t>
      </w:r>
      <w:r>
        <w:t>.</w:t>
      </w:r>
      <w:r>
        <w:tab/>
        <w:t>Procedure</w:t>
      </w:r>
      <w:bookmarkEnd w:id="120"/>
      <w:bookmarkEnd w:id="121"/>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22" w:name="_Toc190578098"/>
      <w:bookmarkStart w:id="123" w:name="_Toc249955342"/>
      <w:r>
        <w:rPr>
          <w:rStyle w:val="CharPartNo"/>
        </w:rPr>
        <w:t>Part 7</w:t>
      </w:r>
      <w:r>
        <w:t> — </w:t>
      </w:r>
      <w:r>
        <w:rPr>
          <w:rStyle w:val="CharPartText"/>
        </w:rPr>
        <w:t>The Board</w:t>
      </w:r>
      <w:bookmarkEnd w:id="122"/>
      <w:bookmarkEnd w:id="123"/>
    </w:p>
    <w:p>
      <w:pPr>
        <w:pStyle w:val="Footnoteheading"/>
      </w:pPr>
      <w:r>
        <w:tab/>
        <w:t>[Heading inserted in Gazette 16 Aug 2005 p. 3851.]</w:t>
      </w:r>
    </w:p>
    <w:p>
      <w:pPr>
        <w:pStyle w:val="Heading5"/>
      </w:pPr>
      <w:bookmarkStart w:id="124" w:name="_Toc249955343"/>
      <w:bookmarkStart w:id="125" w:name="_Toc190578099"/>
      <w:r>
        <w:rPr>
          <w:rStyle w:val="CharSectno"/>
        </w:rPr>
        <w:t>48</w:t>
      </w:r>
      <w:r>
        <w:t>.</w:t>
      </w:r>
      <w:r>
        <w:tab/>
        <w:t>Terms used in this Part</w:t>
      </w:r>
      <w:bookmarkEnd w:id="124"/>
      <w:bookmarkEnd w:id="125"/>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26" w:name="_Toc249955344"/>
      <w:bookmarkStart w:id="127" w:name="_Toc190578100"/>
      <w:r>
        <w:rPr>
          <w:rStyle w:val="CharSectno"/>
        </w:rPr>
        <w:t>49</w:t>
      </w:r>
      <w:r>
        <w:t>.</w:t>
      </w:r>
      <w:r>
        <w:tab/>
        <w:t>Functions of the Board</w:t>
      </w:r>
      <w:bookmarkEnd w:id="126"/>
      <w:bookmarkEnd w:id="127"/>
    </w:p>
    <w:p>
      <w:pPr>
        <w:pStyle w:val="Subsection"/>
        <w:rPr>
          <w:del w:id="128" w:author="Master Repository Process" w:date="2021-08-01T11:36:00Z"/>
        </w:rPr>
      </w:pPr>
      <w:del w:id="129" w:author="Master Repository Process" w:date="2021-08-01T11:36:00Z">
        <w:r>
          <w:tab/>
          <w:delText>(1)</w:delText>
        </w:r>
        <w:r>
          <w:tab/>
          <w:delText xml:space="preserve">The provisions of Part 6 Division 2 (except section 50) and Schedule 1 section 38(7) and (10) of the </w:delText>
        </w:r>
        <w:r>
          <w:rPr>
            <w:i/>
            <w:iCs/>
          </w:rPr>
          <w:delText>Gas Pipelines Access (Western Australia) Act 1998</w:delText>
        </w:r>
        <w:r>
          <w:delText xml:space="preserve"> apply to and in relation to — </w:delText>
        </w:r>
      </w:del>
    </w:p>
    <w:p>
      <w:pPr>
        <w:pStyle w:val="Subsection"/>
        <w:rPr>
          <w:ins w:id="130" w:author="Master Repository Process" w:date="2021-08-01T11:36:00Z"/>
        </w:rPr>
      </w:pPr>
      <w:ins w:id="131" w:author="Master Repository Process" w:date="2021-08-01T11:36:00Z">
        <w:r>
          <w:tab/>
          <w:t>(1)</w:t>
        </w:r>
        <w:r>
          <w:tab/>
          <w:t>In this regulation —</w:t>
        </w:r>
      </w:ins>
    </w:p>
    <w:p>
      <w:pPr>
        <w:pStyle w:val="Defstart"/>
        <w:rPr>
          <w:ins w:id="132" w:author="Master Repository Process" w:date="2021-08-01T11:36:00Z"/>
        </w:rPr>
      </w:pPr>
      <w:ins w:id="133" w:author="Master Repository Process" w:date="2021-08-01T11:36:00Z">
        <w:r>
          <w:tab/>
        </w:r>
        <w:r>
          <w:rPr>
            <w:rStyle w:val="CharDefText"/>
          </w:rPr>
          <w:t>Board function</w:t>
        </w:r>
        <w:r>
          <w:t xml:space="preserve"> means —</w:t>
        </w:r>
      </w:ins>
    </w:p>
    <w:p>
      <w:pPr>
        <w:pStyle w:val="Defpara"/>
      </w:pPr>
      <w:r>
        <w:tab/>
        <w:t>(a)</w:t>
      </w:r>
      <w:r>
        <w:tab/>
        <w:t>the making of an order by the Board under regulation 31(7) or</w:t>
      </w:r>
      <w:del w:id="134" w:author="Master Repository Process" w:date="2021-08-01T11:36:00Z">
        <w:r>
          <w:delText> </w:delText>
        </w:r>
      </w:del>
      <w:ins w:id="135" w:author="Master Repository Process" w:date="2021-08-01T11:36:00Z">
        <w:r>
          <w:t xml:space="preserve"> </w:t>
        </w:r>
      </w:ins>
      <w:r>
        <w:t xml:space="preserve">33; </w:t>
      </w:r>
      <w:del w:id="136" w:author="Master Repository Process" w:date="2021-08-01T11:36:00Z">
        <w:r>
          <w:delText>and</w:delText>
        </w:r>
      </w:del>
      <w:ins w:id="137" w:author="Master Repository Process" w:date="2021-08-01T11:36:00Z">
        <w:r>
          <w:t>or</w:t>
        </w:r>
      </w:ins>
    </w:p>
    <w:p>
      <w:pPr>
        <w:pStyle w:val="Defpara"/>
      </w:pPr>
      <w:r>
        <w:tab/>
        <w:t>(b)</w:t>
      </w:r>
      <w:r>
        <w:tab/>
        <w:t>the review of a reviewable decision by the Board under regulation 42 or</w:t>
      </w:r>
      <w:del w:id="138" w:author="Master Repository Process" w:date="2021-08-01T11:36:00Z">
        <w:r>
          <w:delText> </w:delText>
        </w:r>
      </w:del>
      <w:ins w:id="139" w:author="Master Repository Process" w:date="2021-08-01T11:36:00Z">
        <w:r>
          <w:t xml:space="preserve"> </w:t>
        </w:r>
      </w:ins>
      <w:r>
        <w:t>43.</w:t>
      </w:r>
    </w:p>
    <w:p>
      <w:pPr>
        <w:pStyle w:val="Subsection"/>
        <w:rPr>
          <w:ins w:id="140" w:author="Master Repository Process" w:date="2021-08-01T11:36:00Z"/>
        </w:rPr>
      </w:pPr>
      <w:del w:id="141" w:author="Master Repository Process" w:date="2021-08-01T11:36:00Z">
        <w:r>
          <w:tab/>
          <w:delText>(2</w:delText>
        </w:r>
      </w:del>
      <w:ins w:id="142" w:author="Master Repository Process" w:date="2021-08-01T11:36:00Z">
        <w:r>
          <w:tab/>
          <w:t>(2)</w:t>
        </w:r>
        <w:r>
          <w:tab/>
          <w:t xml:space="preserve">The provisions of the </w:t>
        </w:r>
        <w:r>
          <w:rPr>
            <w:i/>
            <w:iCs/>
          </w:rPr>
          <w:t xml:space="preserve">Energy Arbitration and Review Act 1998 </w:t>
        </w:r>
        <w:r>
          <w:t>Part 6 Division 2 (except section 50) apply to and in relation to the Board’s functions.</w:t>
        </w:r>
      </w:ins>
    </w:p>
    <w:p>
      <w:pPr>
        <w:pStyle w:val="Subsection"/>
      </w:pPr>
      <w:ins w:id="143" w:author="Master Repository Process" w:date="2021-08-01T11:36:00Z">
        <w:r>
          <w:tab/>
          <w:t>(3</w:t>
        </w:r>
      </w:ins>
      <w:r>
        <w:t>)</w:t>
      </w:r>
      <w:r>
        <w:tab/>
        <w:t xml:space="preserve">The provisions </w:t>
      </w:r>
      <w:ins w:id="144" w:author="Master Repository Process" w:date="2021-08-01T11:36:00Z">
        <w:r>
          <w:t xml:space="preserve">referred to in subregulation (2) </w:t>
        </w:r>
      </w:ins>
      <w:r>
        <w:t>apply with the following modifications</w:t>
      </w:r>
      <w:del w:id="145" w:author="Master Repository Process" w:date="2021-08-01T11:36:00Z">
        <w:r>
          <w:delText xml:space="preserve"> — </w:delText>
        </w:r>
      </w:del>
      <w:ins w:id="146" w:author="Master Repository Process" w:date="2021-08-01T11:36:00Z">
        <w:r>
          <w:t xml:space="preserve"> —</w:t>
        </w:r>
      </w:ins>
    </w:p>
    <w:p>
      <w:pPr>
        <w:pStyle w:val="Indenta"/>
      </w:pPr>
      <w:del w:id="147" w:author="Master Repository Process" w:date="2021-08-01T11:36:00Z">
        <w:r>
          <w:tab/>
          <w:delText>(a)</w:delText>
        </w:r>
        <w:r>
          <w:tab/>
          <w:delText>a reference to the Gas Pipelines Access (Western Australia) Law is to be read as a reference</w:delText>
        </w:r>
      </w:del>
      <w:ins w:id="148" w:author="Master Repository Process" w:date="2021-08-01T11:36:00Z">
        <w:r>
          <w:tab/>
          <w:t>(a)</w:t>
        </w:r>
        <w:r>
          <w:tab/>
          <w:t xml:space="preserve">the </w:t>
        </w:r>
        <w:r>
          <w:rPr>
            <w:i/>
            <w:iCs/>
          </w:rPr>
          <w:t xml:space="preserve">Energy Arbitration and Review Act 1998 </w:t>
        </w:r>
        <w:r>
          <w:t>sections 57(1) and 59(4) apply subject</w:t>
        </w:r>
      </w:ins>
      <w:r>
        <w:t xml:space="preserve"> to the market rules;</w:t>
      </w:r>
    </w:p>
    <w:p>
      <w:pPr>
        <w:pStyle w:val="Indenta"/>
        <w:rPr>
          <w:del w:id="149" w:author="Master Repository Process" w:date="2021-08-01T11:36:00Z"/>
        </w:rPr>
      </w:pPr>
      <w:r>
        <w:tab/>
        <w:t>(b)</w:t>
      </w:r>
      <w:r>
        <w:tab/>
      </w:r>
      <w:del w:id="150" w:author="Master Repository Process" w:date="2021-08-01T11:36:00Z">
        <w:r>
          <w:delText xml:space="preserve">a reference to </w:delText>
        </w:r>
      </w:del>
      <w:r>
        <w:t xml:space="preserve">the </w:t>
      </w:r>
      <w:del w:id="151" w:author="Master Repository Process" w:date="2021-08-01T11:36:00Z">
        <w:r>
          <w:delText>relevant appeals body is to be read as a reference to the Board;</w:delText>
        </w:r>
      </w:del>
    </w:p>
    <w:p>
      <w:pPr>
        <w:pStyle w:val="Indenta"/>
      </w:pPr>
      <w:del w:id="152" w:author="Master Repository Process" w:date="2021-08-01T11:36:00Z">
        <w:r>
          <w:tab/>
          <w:delText>(c)</w:delText>
        </w:r>
        <w:r>
          <w:tab/>
        </w:r>
      </w:del>
      <w:ins w:id="153" w:author="Master Repository Process" w:date="2021-08-01T11:36:00Z">
        <w:r>
          <w:rPr>
            <w:i/>
            <w:iCs/>
          </w:rPr>
          <w:t xml:space="preserve">Energy Arbitration and Review Act 1998 </w:t>
        </w:r>
      </w:ins>
      <w:r>
        <w:t xml:space="preserve">section 58 </w:t>
      </w:r>
      <w:del w:id="154" w:author="Master Repository Process" w:date="2021-08-01T11:36:00Z">
        <w:r>
          <w:delText xml:space="preserve">of the </w:delText>
        </w:r>
        <w:r>
          <w:rPr>
            <w:i/>
            <w:iCs/>
          </w:rPr>
          <w:delText>Gas Pipelines Access (Western Australia) Act 1998</w:delText>
        </w:r>
        <w:r>
          <w:delText xml:space="preserve"> </w:delText>
        </w:r>
      </w:del>
      <w:r>
        <w:t>does not apply to the extent to which it is inconsistent with regulation 50(1);</w:t>
      </w:r>
    </w:p>
    <w:p>
      <w:pPr>
        <w:pStyle w:val="Indenta"/>
      </w:pPr>
      <w:r>
        <w:tab/>
        <w:t>(</w:t>
      </w:r>
      <w:del w:id="155" w:author="Master Repository Process" w:date="2021-08-01T11:36:00Z">
        <w:r>
          <w:delText>d</w:delText>
        </w:r>
      </w:del>
      <w:ins w:id="156" w:author="Master Repository Process" w:date="2021-08-01T11:36:00Z">
        <w:r>
          <w:t>c</w:t>
        </w:r>
      </w:ins>
      <w:r>
        <w:t>)</w:t>
      </w:r>
      <w:r>
        <w:tab/>
        <w:t>in relation to the review of a procedural decision</w:t>
      </w:r>
      <w:del w:id="157" w:author="Master Repository Process" w:date="2021-08-01T11:36:00Z">
        <w:r>
          <w:delText> </w:delText>
        </w:r>
      </w:del>
      <w:ins w:id="158" w:author="Master Repository Process" w:date="2021-08-01T11:36:00Z">
        <w:r>
          <w:t xml:space="preserve"> </w:t>
        </w:r>
      </w:ins>
      <w:r>
        <w:t>— modifications resulting from regulation 43.</w:t>
      </w:r>
    </w:p>
    <w:p>
      <w:pPr>
        <w:pStyle w:val="Subsection"/>
        <w:rPr>
          <w:ins w:id="159" w:author="Master Repository Process" w:date="2021-08-01T11:36:00Z"/>
        </w:rPr>
      </w:pPr>
      <w:ins w:id="160" w:author="Master Repository Process" w:date="2021-08-01T11:36:00Z">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ins>
    </w:p>
    <w:p>
      <w:pPr>
        <w:pStyle w:val="Subsection"/>
        <w:rPr>
          <w:ins w:id="161" w:author="Master Repository Process" w:date="2021-08-01T11:36:00Z"/>
        </w:rPr>
      </w:pPr>
      <w:ins w:id="162" w:author="Master Repository Process" w:date="2021-08-01T11:36:00Z">
        <w:r>
          <w:tab/>
          <w:t>(5)</w:t>
        </w:r>
        <w:r>
          <w:tab/>
          <w:t>The provisions referred to in subregulation (4) apply with the following modifications —</w:t>
        </w:r>
      </w:ins>
    </w:p>
    <w:p>
      <w:pPr>
        <w:pStyle w:val="Indenta"/>
        <w:rPr>
          <w:ins w:id="163" w:author="Master Repository Process" w:date="2021-08-01T11:36:00Z"/>
        </w:rPr>
      </w:pPr>
      <w:ins w:id="164" w:author="Master Repository Process" w:date="2021-08-01T11:36:00Z">
        <w:r>
          <w:tab/>
          <w:t>(a)</w:t>
        </w:r>
        <w:r>
          <w:tab/>
          <w:t>a reference to the relevant appeals body is to be read as a reference to the Board;</w:t>
        </w:r>
      </w:ins>
    </w:p>
    <w:p>
      <w:pPr>
        <w:pStyle w:val="Indenta"/>
        <w:rPr>
          <w:ins w:id="165" w:author="Master Repository Process" w:date="2021-08-01T11:36:00Z"/>
        </w:rPr>
      </w:pPr>
      <w:ins w:id="166" w:author="Master Repository Process" w:date="2021-08-01T11:36:00Z">
        <w:r>
          <w:tab/>
          <w:t>(b)</w:t>
        </w:r>
        <w:r>
          <w:tab/>
          <w:t>in relation to the review of a procedural decision — modifications resulting from regulation 43.</w:t>
        </w:r>
      </w:ins>
    </w:p>
    <w:p>
      <w:pPr>
        <w:pStyle w:val="Footnotesection"/>
      </w:pPr>
      <w:r>
        <w:tab/>
        <w:t xml:space="preserve">[Regulation 49 inserted in Gazette </w:t>
      </w:r>
      <w:del w:id="167" w:author="Master Repository Process" w:date="2021-08-01T11:36:00Z">
        <w:r>
          <w:delText>16 Aug 2005</w:delText>
        </w:r>
      </w:del>
      <w:ins w:id="168" w:author="Master Repository Process" w:date="2021-08-01T11:36:00Z">
        <w:r>
          <w:t>31 Dec 2009</w:t>
        </w:r>
      </w:ins>
      <w:r>
        <w:t xml:space="preserve"> p. </w:t>
      </w:r>
      <w:del w:id="169" w:author="Master Repository Process" w:date="2021-08-01T11:36:00Z">
        <w:r>
          <w:delText>3851</w:delText>
        </w:r>
        <w:r>
          <w:noBreakHyphen/>
          <w:delText>2</w:delText>
        </w:r>
      </w:del>
      <w:ins w:id="170" w:author="Master Repository Process" w:date="2021-08-01T11:36:00Z">
        <w:r>
          <w:t>5376-7</w:t>
        </w:r>
      </w:ins>
      <w:r>
        <w:t>.]</w:t>
      </w:r>
    </w:p>
    <w:p>
      <w:pPr>
        <w:pStyle w:val="Heading5"/>
      </w:pPr>
      <w:bookmarkStart w:id="171" w:name="_Toc249955345"/>
      <w:bookmarkStart w:id="172" w:name="_Toc190578101"/>
      <w:r>
        <w:rPr>
          <w:rStyle w:val="CharSectno"/>
        </w:rPr>
        <w:t>50</w:t>
      </w:r>
      <w:r>
        <w:t>.</w:t>
      </w:r>
      <w:r>
        <w:tab/>
        <w:t>Proceedings before the Board</w:t>
      </w:r>
      <w:bookmarkEnd w:id="171"/>
      <w:bookmarkEnd w:id="172"/>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73" w:name="_Toc190578102"/>
      <w:bookmarkStart w:id="174" w:name="_Toc249955346"/>
      <w:r>
        <w:rPr>
          <w:rStyle w:val="CharPartNo"/>
        </w:rPr>
        <w:t>Part 8</w:t>
      </w:r>
      <w:r>
        <w:t> — </w:t>
      </w:r>
      <w:r>
        <w:rPr>
          <w:rStyle w:val="CharPartText"/>
        </w:rPr>
        <w:t>Limitation of liability</w:t>
      </w:r>
      <w:bookmarkEnd w:id="173"/>
      <w:bookmarkEnd w:id="174"/>
    </w:p>
    <w:p>
      <w:pPr>
        <w:pStyle w:val="Footnoteheading"/>
      </w:pPr>
      <w:r>
        <w:tab/>
        <w:t>[Heading inserted in Gazette 16 Aug 2005 p. 3853.]</w:t>
      </w:r>
    </w:p>
    <w:p>
      <w:pPr>
        <w:pStyle w:val="Heading5"/>
      </w:pPr>
      <w:bookmarkStart w:id="175" w:name="_Toc249955347"/>
      <w:bookmarkStart w:id="176" w:name="_Toc190578103"/>
      <w:r>
        <w:rPr>
          <w:rStyle w:val="CharSectno"/>
        </w:rPr>
        <w:t>51</w:t>
      </w:r>
      <w:r>
        <w:t>.</w:t>
      </w:r>
      <w:r>
        <w:tab/>
        <w:t>Persons exempt from section 126(3)(a) of the Act</w:t>
      </w:r>
      <w:bookmarkEnd w:id="175"/>
      <w:bookmarkEnd w:id="17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77" w:name="_Toc249955348"/>
      <w:bookmarkStart w:id="178" w:name="_Toc190578104"/>
      <w:r>
        <w:rPr>
          <w:rStyle w:val="CharSectno"/>
        </w:rPr>
        <w:t>52</w:t>
      </w:r>
      <w:r>
        <w:t>.</w:t>
      </w:r>
      <w:r>
        <w:tab/>
        <w:t>Maximum civil monetary liability for certain market governance participants</w:t>
      </w:r>
      <w:bookmarkEnd w:id="177"/>
      <w:bookmarkEnd w:id="17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79" w:name="_Toc249955349"/>
      <w:bookmarkStart w:id="180" w:name="_Toc190578105"/>
      <w:r>
        <w:rPr>
          <w:rStyle w:val="CharSectno"/>
        </w:rPr>
        <w:t>53</w:t>
      </w:r>
      <w:r>
        <w:t>.</w:t>
      </w:r>
      <w:r>
        <w:tab/>
        <w:t>Maximum civil monetary liability for officers and employees of market governance participants</w:t>
      </w:r>
      <w:bookmarkEnd w:id="179"/>
      <w:bookmarkEnd w:id="18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1" w:name="_Toc190578106"/>
      <w:bookmarkStart w:id="182" w:name="_Toc249955350"/>
      <w:r>
        <w:rPr>
          <w:rStyle w:val="CharSchNo"/>
        </w:rPr>
        <w:t>Schedule 1</w:t>
      </w:r>
      <w:r>
        <w:t> — </w:t>
      </w:r>
      <w:r>
        <w:rPr>
          <w:rStyle w:val="CharSchText"/>
        </w:rPr>
        <w:t>Civil penalty provisions and amounts</w:t>
      </w:r>
      <w:bookmarkEnd w:id="181"/>
      <w:bookmarkEnd w:id="182"/>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trPr>
        <w:tc>
          <w:tcPr>
            <w:tcW w:w="1417" w:type="dxa"/>
          </w:tcPr>
          <w:p>
            <w:pPr>
              <w:pStyle w:val="yTable"/>
            </w:pPr>
            <w:r>
              <w:t>Appendix 8</w:t>
            </w:r>
            <w:r>
              <w:br/>
              <w:t>rule 3.2A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3.2B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4.2</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4.3</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5.9(b)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5.16</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A2.12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A5.6A</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Borders>
              <w:bottom w:val="single" w:sz="4" w:space="0" w:color="auto"/>
            </w:tcBorders>
          </w:tcPr>
          <w:p>
            <w:pPr>
              <w:pStyle w:val="yTable"/>
            </w:pPr>
            <w:r>
              <w:t>Appendix 8</w:t>
            </w:r>
            <w:r>
              <w:br/>
              <w:t>rule A6.56</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 plus a daily amount of $5 000</w:t>
            </w:r>
            <w:r>
              <w:br/>
              <w:t>subsequent contraventions: $50 000 plus a daily amount of $10 000</w:t>
            </w:r>
          </w:p>
        </w:tc>
      </w:tr>
    </w:tbl>
    <w:p>
      <w:pPr>
        <w:pStyle w:val="yFootnotesection"/>
      </w:pPr>
      <w:r>
        <w:tab/>
        <w:t>[Schedule 1 inserted in Gazette 16 Aug 2005 p. 3854</w:t>
      </w:r>
      <w:r>
        <w:noBreakHyphen/>
        <w:t>61; amended in Gazette 31 Mar 2006 p. 1321</w:t>
      </w:r>
      <w:r>
        <w:noBreakHyphen/>
        <w:t>2; 29 Dec 2006 p. 5881</w:t>
      </w:r>
      <w:r>
        <w:noBreakHyphen/>
        <w:t>3.]</w:t>
      </w:r>
    </w:p>
    <w:p>
      <w:pPr>
        <w:pStyle w:val="yScheduleHeading"/>
        <w:sectPr>
          <w:headerReference w:type="even" r:id="rId14"/>
          <w:headerReference w:type="default" r:id="rId15"/>
          <w:headerReference w:type="first" r:id="rId1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83" w:name="_Toc190578107"/>
      <w:bookmarkStart w:id="184" w:name="_Toc249955351"/>
      <w:r>
        <w:rPr>
          <w:rStyle w:val="CharSchNo"/>
        </w:rPr>
        <w:t>Schedule 2</w:t>
      </w:r>
      <w:r>
        <w:t> — </w:t>
      </w:r>
      <w:r>
        <w:rPr>
          <w:rStyle w:val="CharSchText"/>
        </w:rPr>
        <w:t>Reviewable decisions and procedural decisions</w:t>
      </w:r>
      <w:bookmarkEnd w:id="183"/>
      <w:bookmarkEnd w:id="184"/>
    </w:p>
    <w:p>
      <w:pPr>
        <w:pStyle w:val="yShoulderClause"/>
      </w:pPr>
      <w:r>
        <w:t>[r. 41]</w:t>
      </w:r>
    </w:p>
    <w:p>
      <w:pPr>
        <w:pStyle w:val="yFootnoteheading"/>
      </w:pPr>
      <w:r>
        <w:tab/>
        <w:t>[Heading inserted in Gazette 16 Aug 2005 p. 3861.]</w:t>
      </w:r>
    </w:p>
    <w:p>
      <w:pPr>
        <w:pStyle w:val="yHeading5"/>
        <w:spacing w:before="240"/>
      </w:pPr>
      <w:bookmarkStart w:id="185" w:name="_Toc249955352"/>
      <w:bookmarkStart w:id="186" w:name="_Toc190578108"/>
      <w:r>
        <w:rPr>
          <w:rStyle w:val="CharSClsNo"/>
        </w:rPr>
        <w:t>1</w:t>
      </w:r>
      <w:r>
        <w:t>.</w:t>
      </w:r>
      <w:r>
        <w:tab/>
        <w:t>Reviewable decisions</w:t>
      </w:r>
      <w:bookmarkEnd w:id="185"/>
      <w:bookmarkEnd w:id="186"/>
    </w:p>
    <w:p>
      <w:pPr>
        <w:pStyle w:val="ySubsection"/>
        <w:spacing w:before="180"/>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spacing w:after="20"/>
            </w:pPr>
            <w:r>
              <w:t>r. 31(1)</w:t>
            </w:r>
          </w:p>
        </w:tc>
        <w:tc>
          <w:tcPr>
            <w:tcW w:w="2551" w:type="dxa"/>
          </w:tcPr>
          <w:p>
            <w:pPr>
              <w:pStyle w:val="yTable"/>
              <w:spacing w:after="20"/>
            </w:pPr>
            <w:r>
              <w:t>cl. 2.37.1</w:t>
            </w:r>
          </w:p>
        </w:tc>
      </w:tr>
      <w:tr>
        <w:tc>
          <w:tcPr>
            <w:tcW w:w="2835" w:type="dxa"/>
          </w:tcPr>
          <w:p>
            <w:pPr>
              <w:pStyle w:val="yTable"/>
              <w:spacing w:after="20"/>
            </w:pPr>
            <w:r>
              <w:t>cl. 2.3.8</w:t>
            </w:r>
          </w:p>
        </w:tc>
        <w:tc>
          <w:tcPr>
            <w:tcW w:w="2551" w:type="dxa"/>
          </w:tcPr>
          <w:p>
            <w:pPr>
              <w:pStyle w:val="yTable"/>
              <w:spacing w:after="20"/>
            </w:pPr>
            <w:r>
              <w:t>cl. 2.37.2</w:t>
            </w:r>
          </w:p>
        </w:tc>
      </w:tr>
      <w:tr>
        <w:tc>
          <w:tcPr>
            <w:tcW w:w="2835" w:type="dxa"/>
          </w:tcPr>
          <w:p>
            <w:pPr>
              <w:pStyle w:val="yTable"/>
              <w:spacing w:after="20"/>
            </w:pPr>
            <w:r>
              <w:t>cl. 2.5.9</w:t>
            </w:r>
          </w:p>
        </w:tc>
        <w:tc>
          <w:tcPr>
            <w:tcW w:w="2551" w:type="dxa"/>
          </w:tcPr>
          <w:p>
            <w:pPr>
              <w:pStyle w:val="yTable"/>
              <w:spacing w:after="20"/>
            </w:pPr>
            <w:r>
              <w:t>cl. 2.37.3</w:t>
            </w:r>
          </w:p>
        </w:tc>
      </w:tr>
      <w:tr>
        <w:tc>
          <w:tcPr>
            <w:tcW w:w="2835" w:type="dxa"/>
          </w:tcPr>
          <w:p>
            <w:pPr>
              <w:pStyle w:val="yTable"/>
              <w:spacing w:after="20"/>
            </w:pPr>
            <w:r>
              <w:t>cl. 2.6.4(f)</w:t>
            </w:r>
          </w:p>
        </w:tc>
        <w:tc>
          <w:tcPr>
            <w:tcW w:w="2551" w:type="dxa"/>
          </w:tcPr>
          <w:p>
            <w:pPr>
              <w:pStyle w:val="yTable"/>
              <w:spacing w:after="20"/>
            </w:pPr>
            <w:r>
              <w:t>cl. 2.37.6</w:t>
            </w:r>
          </w:p>
        </w:tc>
      </w:tr>
      <w:tr>
        <w:tc>
          <w:tcPr>
            <w:tcW w:w="2835" w:type="dxa"/>
          </w:tcPr>
          <w:p>
            <w:pPr>
              <w:pStyle w:val="yTable"/>
              <w:spacing w:after="20"/>
            </w:pPr>
            <w:r>
              <w:t>cl. 2.7.8(e)</w:t>
            </w:r>
          </w:p>
        </w:tc>
        <w:tc>
          <w:tcPr>
            <w:tcW w:w="2551" w:type="dxa"/>
          </w:tcPr>
          <w:p>
            <w:pPr>
              <w:pStyle w:val="yTable"/>
              <w:spacing w:after="20"/>
            </w:pPr>
            <w:r>
              <w:t>cl. 2.37.7</w:t>
            </w:r>
          </w:p>
        </w:tc>
      </w:tr>
      <w:tr>
        <w:tc>
          <w:tcPr>
            <w:tcW w:w="2835" w:type="dxa"/>
          </w:tcPr>
          <w:p>
            <w:pPr>
              <w:pStyle w:val="yTable"/>
              <w:spacing w:after="20"/>
            </w:pPr>
            <w:r>
              <w:t>cl. 2.10.13</w:t>
            </w:r>
          </w:p>
        </w:tc>
        <w:tc>
          <w:tcPr>
            <w:tcW w:w="2551" w:type="dxa"/>
          </w:tcPr>
          <w:p>
            <w:pPr>
              <w:pStyle w:val="yTable"/>
              <w:spacing w:after="20"/>
            </w:pPr>
            <w:r>
              <w:t>cl. 4.9.9</w:t>
            </w:r>
          </w:p>
        </w:tc>
      </w:tr>
      <w:tr>
        <w:tc>
          <w:tcPr>
            <w:tcW w:w="2835" w:type="dxa"/>
          </w:tcPr>
          <w:p>
            <w:pPr>
              <w:pStyle w:val="yTable"/>
              <w:spacing w:after="20"/>
            </w:pPr>
            <w:r>
              <w:t>cl. 2.10.14</w:t>
            </w:r>
          </w:p>
        </w:tc>
        <w:tc>
          <w:tcPr>
            <w:tcW w:w="2551" w:type="dxa"/>
          </w:tcPr>
          <w:p>
            <w:pPr>
              <w:pStyle w:val="yTable"/>
              <w:spacing w:after="20"/>
            </w:pPr>
            <w:r>
              <w:t>cl. 4.15.1</w:t>
            </w:r>
          </w:p>
        </w:tc>
      </w:tr>
      <w:tr>
        <w:tc>
          <w:tcPr>
            <w:tcW w:w="2835" w:type="dxa"/>
          </w:tcPr>
          <w:p>
            <w:pPr>
              <w:pStyle w:val="yTable"/>
              <w:spacing w:after="20"/>
            </w:pPr>
            <w:r>
              <w:t>cl. 2.13.28</w:t>
            </w:r>
          </w:p>
        </w:tc>
        <w:tc>
          <w:tcPr>
            <w:tcW w:w="2551" w:type="dxa"/>
          </w:tcPr>
          <w:p>
            <w:pPr>
              <w:pStyle w:val="yTable"/>
              <w:spacing w:after="20"/>
            </w:pPr>
            <w:r>
              <w:t>cl. 4.27.7</w:t>
            </w:r>
          </w:p>
        </w:tc>
      </w:tr>
      <w:tr>
        <w:tc>
          <w:tcPr>
            <w:tcW w:w="2835" w:type="dxa"/>
          </w:tcPr>
          <w:p>
            <w:pPr>
              <w:pStyle w:val="yTable"/>
              <w:spacing w:after="20"/>
            </w:pPr>
            <w:r>
              <w:t>cl. 2.28.16</w:t>
            </w:r>
          </w:p>
        </w:tc>
        <w:tc>
          <w:tcPr>
            <w:tcW w:w="2551" w:type="dxa"/>
          </w:tcPr>
          <w:p>
            <w:pPr>
              <w:pStyle w:val="yTable"/>
              <w:spacing w:after="20"/>
            </w:pPr>
            <w:r>
              <w:t>cl. 4.28.7</w:t>
            </w:r>
          </w:p>
        </w:tc>
      </w:tr>
      <w:tr>
        <w:tc>
          <w:tcPr>
            <w:tcW w:w="2835" w:type="dxa"/>
          </w:tcPr>
          <w:p>
            <w:pPr>
              <w:pStyle w:val="yTable"/>
              <w:spacing w:after="20"/>
            </w:pPr>
            <w:r>
              <w:t>cl. 2.30.4</w:t>
            </w:r>
          </w:p>
        </w:tc>
        <w:tc>
          <w:tcPr>
            <w:tcW w:w="2551" w:type="dxa"/>
          </w:tcPr>
          <w:p>
            <w:pPr>
              <w:pStyle w:val="yTable"/>
              <w:spacing w:after="20"/>
            </w:pPr>
            <w:r>
              <w:t>cl. 5.2.6</w:t>
            </w:r>
          </w:p>
        </w:tc>
      </w:tr>
      <w:tr>
        <w:tc>
          <w:tcPr>
            <w:tcW w:w="2835" w:type="dxa"/>
          </w:tcPr>
          <w:p>
            <w:pPr>
              <w:pStyle w:val="yTable"/>
              <w:spacing w:after="20"/>
            </w:pPr>
            <w:r>
              <w:t>cl. 2.30.8</w:t>
            </w:r>
          </w:p>
        </w:tc>
        <w:tc>
          <w:tcPr>
            <w:tcW w:w="2551" w:type="dxa"/>
          </w:tcPr>
          <w:p>
            <w:pPr>
              <w:pStyle w:val="yTable"/>
              <w:spacing w:after="20"/>
            </w:pPr>
            <w:r>
              <w:t>cl. 5.2.7</w:t>
            </w:r>
          </w:p>
        </w:tc>
      </w:tr>
      <w:tr>
        <w:tc>
          <w:tcPr>
            <w:tcW w:w="2835" w:type="dxa"/>
          </w:tcPr>
          <w:p>
            <w:pPr>
              <w:pStyle w:val="yTable"/>
              <w:spacing w:after="20"/>
            </w:pPr>
            <w:r>
              <w:t>cl. 2.31.10</w:t>
            </w:r>
          </w:p>
        </w:tc>
        <w:tc>
          <w:tcPr>
            <w:tcW w:w="2551" w:type="dxa"/>
          </w:tcPr>
          <w:p>
            <w:pPr>
              <w:pStyle w:val="yTable"/>
              <w:spacing w:after="20"/>
            </w:pPr>
            <w:r>
              <w:t>cl. 5.3.6</w:t>
            </w:r>
          </w:p>
        </w:tc>
      </w:tr>
      <w:tr>
        <w:tc>
          <w:tcPr>
            <w:tcW w:w="2835" w:type="dxa"/>
          </w:tcPr>
          <w:p>
            <w:pPr>
              <w:pStyle w:val="yTable"/>
              <w:spacing w:after="20"/>
            </w:pPr>
            <w:r>
              <w:t>cl. 2.34.7</w:t>
            </w:r>
          </w:p>
        </w:tc>
        <w:tc>
          <w:tcPr>
            <w:tcW w:w="2551" w:type="dxa"/>
          </w:tcPr>
          <w:p>
            <w:pPr>
              <w:pStyle w:val="yTable"/>
              <w:spacing w:after="20"/>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 amended in Gazette 29 Dec 2006 p. 5883.]</w:t>
      </w:r>
    </w:p>
    <w:p>
      <w:pPr>
        <w:pStyle w:val="yHeading5"/>
      </w:pPr>
      <w:bookmarkStart w:id="187" w:name="_Toc249955353"/>
      <w:bookmarkStart w:id="188" w:name="_Toc190578109"/>
      <w:r>
        <w:rPr>
          <w:rStyle w:val="CharSClsNo"/>
        </w:rPr>
        <w:t>2</w:t>
      </w:r>
      <w:r>
        <w:t>.</w:t>
      </w:r>
      <w:r>
        <w:tab/>
        <w:t>Procedural decisions</w:t>
      </w:r>
      <w:bookmarkEnd w:id="187"/>
      <w:bookmarkEnd w:id="188"/>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17"/>
          <w:headerReference w:type="default" r:id="rId18"/>
          <w:endnotePr>
            <w:numFmt w:val="decimal"/>
          </w:endnotePr>
          <w:pgSz w:w="11906" w:h="16838" w:code="9"/>
          <w:pgMar w:top="2376" w:right="2405" w:bottom="3542" w:left="2405" w:header="706" w:footer="3380" w:gutter="0"/>
          <w:cols w:space="720"/>
          <w:noEndnote/>
          <w:docGrid w:linePitch="326"/>
        </w:sectPr>
      </w:pPr>
    </w:p>
    <w:p>
      <w:pPr>
        <w:pStyle w:val="nHeading2"/>
      </w:pPr>
      <w:bookmarkStart w:id="189" w:name="_Toc190578110"/>
      <w:bookmarkStart w:id="190" w:name="_Toc249955354"/>
      <w:r>
        <w:t>Notes</w:t>
      </w:r>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91" w:name="_Toc249955355"/>
      <w:bookmarkStart w:id="192" w:name="_Toc190578111"/>
      <w:r>
        <w:t>Compilation table</w:t>
      </w:r>
      <w:bookmarkEnd w:id="191"/>
      <w:bookmarkEnd w:id="19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rPr>
          <w:ins w:id="193" w:author="Master Repository Process" w:date="2021-08-01T11:36:00Z"/>
        </w:trPr>
        <w:tc>
          <w:tcPr>
            <w:tcW w:w="3118" w:type="dxa"/>
            <w:tcBorders>
              <w:bottom w:val="single" w:sz="4" w:space="0" w:color="auto"/>
            </w:tcBorders>
          </w:tcPr>
          <w:p>
            <w:pPr>
              <w:pStyle w:val="nTable"/>
              <w:spacing w:after="40"/>
              <w:rPr>
                <w:ins w:id="194" w:author="Master Repository Process" w:date="2021-08-01T11:36:00Z"/>
                <w:i/>
                <w:noProof/>
                <w:snapToGrid w:val="0"/>
                <w:sz w:val="19"/>
              </w:rPr>
            </w:pPr>
            <w:ins w:id="195" w:author="Master Repository Process" w:date="2021-08-01T11:36:00Z">
              <w:r>
                <w:rPr>
                  <w:i/>
                  <w:noProof/>
                  <w:snapToGrid w:val="0"/>
                  <w:sz w:val="19"/>
                </w:rPr>
                <w:t>Electricity Industry (Wholesale Electricity Market) Amendment Regulations 2009</w:t>
              </w:r>
            </w:ins>
          </w:p>
        </w:tc>
        <w:tc>
          <w:tcPr>
            <w:tcW w:w="1276" w:type="dxa"/>
            <w:tcBorders>
              <w:bottom w:val="single" w:sz="4" w:space="0" w:color="auto"/>
            </w:tcBorders>
          </w:tcPr>
          <w:p>
            <w:pPr>
              <w:pStyle w:val="nTable"/>
              <w:spacing w:after="40"/>
              <w:rPr>
                <w:ins w:id="196" w:author="Master Repository Process" w:date="2021-08-01T11:36:00Z"/>
                <w:sz w:val="19"/>
              </w:rPr>
            </w:pPr>
            <w:ins w:id="197" w:author="Master Repository Process" w:date="2021-08-01T11:36:00Z">
              <w:r>
                <w:rPr>
                  <w:sz w:val="19"/>
                </w:rPr>
                <w:t>31 Dec 2009 p. 5375-7</w:t>
              </w:r>
            </w:ins>
          </w:p>
        </w:tc>
        <w:tc>
          <w:tcPr>
            <w:tcW w:w="2693" w:type="dxa"/>
            <w:tcBorders>
              <w:bottom w:val="single" w:sz="4" w:space="0" w:color="auto"/>
            </w:tcBorders>
          </w:tcPr>
          <w:p>
            <w:pPr>
              <w:pStyle w:val="nTable"/>
              <w:spacing w:after="40"/>
              <w:rPr>
                <w:ins w:id="198" w:author="Master Repository Process" w:date="2021-08-01T11:36:00Z"/>
                <w:snapToGrid w:val="0"/>
                <w:sz w:val="19"/>
                <w:lang w:val="en-US"/>
              </w:rPr>
            </w:pPr>
            <w:ins w:id="199" w:author="Master Repository Process" w:date="2021-08-01T11:36:00Z">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w:t>
      </w:r>
      <w:bookmarkStart w:id="200" w:name="UpToHere"/>
      <w:bookmarkEnd w:id="200"/>
      <w:r>
        <w:t xml:space="preserve">This reference was changed under the </w:t>
      </w:r>
      <w:r>
        <w:rPr>
          <w:i/>
          <w:iCs/>
        </w:rPr>
        <w:t>Reprints Act 1984</w:t>
      </w:r>
      <w:r>
        <w:t xml:space="preserve"> s. 7(5)(a).</w:t>
      </w:r>
    </w:p>
    <w:p/>
    <w:p>
      <w:pPr>
        <w:sectPr>
          <w:headerReference w:type="even" r:id="rId19"/>
          <w:headerReference w:type="default" r:id="rId20"/>
          <w:headerReference w:type="first" r:id="rId21"/>
          <w:endnotePr>
            <w:numFmt w:val="decimal"/>
          </w:endnotePr>
          <w:pgSz w:w="11906" w:h="16838" w:code="9"/>
          <w:pgMar w:top="2376" w:right="2404" w:bottom="3544" w:left="2404" w:header="720" w:footer="3380" w:gutter="0"/>
          <w:cols w:space="720"/>
          <w:noEndnote/>
          <w:docGrid w:linePitch="326"/>
        </w:sectPr>
      </w:pPr>
    </w:p>
    <w:p/>
    <w:sectPr>
      <w:headerReference w:type="even" r:id="rId2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0CDFE4-B7A7-49FB-B014-63AC0F3D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11072</Words>
  <Characters>54589</Characters>
  <Application>Microsoft Office Word</Application>
  <DocSecurity>0</DocSecurity>
  <Lines>1760</Lines>
  <Paragraphs>1076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64585</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01-b0-04 - 01-c0-01</dc:title>
  <dc:subject/>
  <dc:creator/>
  <cp:keywords/>
  <dc:description/>
  <cp:lastModifiedBy>Master Repository Process</cp:lastModifiedBy>
  <cp:revision>2</cp:revision>
  <cp:lastPrinted>2007-02-19T02:14:00Z</cp:lastPrinted>
  <dcterms:created xsi:type="dcterms:W3CDTF">2021-08-01T03:36:00Z</dcterms:created>
  <dcterms:modified xsi:type="dcterms:W3CDTF">2021-08-01T03:36:00Z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35189</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13 Feb 2008</vt:lpwstr>
  </property>
  <property fmtid="{D5CDD505-2E9C-101B-9397-08002B2CF9AE}" pid="9" name="ToSuffix">
    <vt:lpwstr>01-c0-01</vt:lpwstr>
  </property>
  <property fmtid="{D5CDD505-2E9C-101B-9397-08002B2CF9AE}" pid="10" name="ToAsAtDate">
    <vt:lpwstr>01 Jan 2010</vt:lpwstr>
  </property>
</Properties>
</file>