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2008</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17 Feb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32:00Z"/>
        </w:trPr>
        <w:tc>
          <w:tcPr>
            <w:tcW w:w="2434" w:type="dxa"/>
            <w:vMerge w:val="restart"/>
          </w:tcPr>
          <w:p>
            <w:pPr>
              <w:rPr>
                <w:del w:id="1" w:author="Master Repository Process" w:date="2021-07-31T08:32:00Z"/>
              </w:rPr>
            </w:pPr>
          </w:p>
        </w:tc>
        <w:tc>
          <w:tcPr>
            <w:tcW w:w="2434" w:type="dxa"/>
            <w:vMerge w:val="restart"/>
          </w:tcPr>
          <w:p>
            <w:pPr>
              <w:jc w:val="center"/>
              <w:rPr>
                <w:del w:id="2" w:author="Master Repository Process" w:date="2021-07-31T08:32:00Z"/>
              </w:rPr>
            </w:pPr>
            <w:del w:id="3" w:author="Master Repository Process" w:date="2021-07-31T08:32: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08:32:00Z"/>
              </w:rPr>
            </w:pPr>
            <w:del w:id="5" w:author="Master Repository Process" w:date="2021-07-31T08:3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8:32:00Z"/>
        </w:trPr>
        <w:tc>
          <w:tcPr>
            <w:tcW w:w="2434" w:type="dxa"/>
            <w:vMerge/>
          </w:tcPr>
          <w:p>
            <w:pPr>
              <w:rPr>
                <w:del w:id="7" w:author="Master Repository Process" w:date="2021-07-31T08:32:00Z"/>
              </w:rPr>
            </w:pPr>
          </w:p>
        </w:tc>
        <w:tc>
          <w:tcPr>
            <w:tcW w:w="2434" w:type="dxa"/>
            <w:vMerge/>
          </w:tcPr>
          <w:p>
            <w:pPr>
              <w:jc w:val="center"/>
              <w:rPr>
                <w:del w:id="8" w:author="Master Repository Process" w:date="2021-07-31T08:32:00Z"/>
              </w:rPr>
            </w:pPr>
          </w:p>
        </w:tc>
        <w:tc>
          <w:tcPr>
            <w:tcW w:w="2434" w:type="dxa"/>
          </w:tcPr>
          <w:p>
            <w:pPr>
              <w:keepNext/>
              <w:rPr>
                <w:del w:id="9" w:author="Master Repository Process" w:date="2021-07-31T08:32:00Z"/>
                <w:b/>
                <w:sz w:val="22"/>
              </w:rPr>
            </w:pPr>
            <w:del w:id="10" w:author="Master Repository Process" w:date="2021-07-31T08:32:00Z">
              <w:r>
                <w:rPr>
                  <w:b/>
                  <w:sz w:val="22"/>
                </w:rPr>
                <w:delText>at 21</w:delText>
              </w:r>
              <w:r>
                <w:rPr>
                  <w:b/>
                  <w:snapToGrid w:val="0"/>
                  <w:sz w:val="22"/>
                </w:rPr>
                <w:delText xml:space="preserve"> July 2008</w:delText>
              </w:r>
            </w:del>
          </w:p>
        </w:tc>
      </w:tr>
    </w:tbl>
    <w:p>
      <w:pPr>
        <w:pStyle w:val="WA"/>
        <w:spacing w:before="120"/>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1" w:name="_Toc92776380"/>
      <w:bookmarkStart w:id="12" w:name="_Toc92954501"/>
      <w:bookmarkStart w:id="13" w:name="_Toc138749189"/>
      <w:bookmarkStart w:id="14" w:name="_Toc138749254"/>
      <w:bookmarkStart w:id="15" w:name="_Toc138820187"/>
      <w:bookmarkStart w:id="16" w:name="_Toc169334561"/>
      <w:bookmarkStart w:id="17" w:name="_Toc169334645"/>
      <w:bookmarkStart w:id="18" w:name="_Toc169412172"/>
      <w:bookmarkStart w:id="19" w:name="_Toc201651535"/>
      <w:bookmarkStart w:id="20" w:name="_Toc202243926"/>
      <w:bookmarkStart w:id="21" w:name="_Toc202244204"/>
      <w:bookmarkStart w:id="22" w:name="_Toc205861798"/>
      <w:bookmarkStart w:id="23" w:name="_Toc206390851"/>
      <w:bookmarkStart w:id="24" w:name="_Toc254014634"/>
      <w:bookmarkStart w:id="25" w:name="_Toc254079305"/>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515958686"/>
      <w:bookmarkStart w:id="34" w:name="_Toc138749190"/>
      <w:bookmarkStart w:id="35" w:name="_Toc254079306"/>
      <w:bookmarkStart w:id="36" w:name="_Toc206390852"/>
      <w:r>
        <w:rPr>
          <w:rStyle w:val="CharSectno"/>
        </w:rPr>
        <w:t>1</w:t>
      </w:r>
      <w:r>
        <w:t>.</w:t>
      </w:r>
      <w:r>
        <w:tab/>
        <w:t>Citation</w:t>
      </w:r>
      <w:bookmarkEnd w:id="27"/>
      <w:bookmarkEnd w:id="28"/>
      <w:bookmarkEnd w:id="29"/>
      <w:bookmarkEnd w:id="30"/>
      <w:bookmarkEnd w:id="31"/>
      <w:bookmarkEnd w:id="32"/>
      <w:bookmarkEnd w:id="33"/>
      <w:bookmarkEnd w:id="34"/>
      <w:bookmarkEnd w:id="35"/>
      <w:bookmarkEnd w:id="36"/>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37" w:name="_Toc138749191"/>
      <w:bookmarkStart w:id="38" w:name="_Toc254079307"/>
      <w:bookmarkStart w:id="39" w:name="_Toc206390853"/>
      <w:bookmarkStart w:id="40" w:name="_Toc32989668"/>
      <w:bookmarkStart w:id="41" w:name="_Toc33930205"/>
      <w:r>
        <w:rPr>
          <w:rStyle w:val="CharSectno"/>
        </w:rPr>
        <w:t>2</w:t>
      </w:r>
      <w:r>
        <w:t>.</w:t>
      </w:r>
      <w:r>
        <w:tab/>
        <w:t>Commencement</w:t>
      </w:r>
      <w:bookmarkEnd w:id="37"/>
      <w:bookmarkEnd w:id="38"/>
      <w:bookmarkEnd w:id="39"/>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42" w:name="_Toc92776383"/>
      <w:bookmarkStart w:id="43" w:name="_Toc92954504"/>
      <w:bookmarkStart w:id="44" w:name="_Toc138749192"/>
      <w:bookmarkStart w:id="45" w:name="_Toc138749257"/>
      <w:bookmarkStart w:id="46" w:name="_Toc138820190"/>
      <w:bookmarkStart w:id="47" w:name="_Toc169334564"/>
      <w:bookmarkStart w:id="48" w:name="_Toc169334648"/>
      <w:bookmarkStart w:id="49" w:name="_Toc169412175"/>
      <w:bookmarkStart w:id="50" w:name="_Toc201651538"/>
      <w:bookmarkStart w:id="51" w:name="_Toc202243929"/>
      <w:bookmarkStart w:id="52" w:name="_Toc202244207"/>
      <w:bookmarkStart w:id="53" w:name="_Toc205861801"/>
      <w:bookmarkStart w:id="54" w:name="_Toc206390854"/>
      <w:bookmarkStart w:id="55" w:name="_Toc254014637"/>
      <w:bookmarkStart w:id="56" w:name="_Toc254079308"/>
      <w:bookmarkEnd w:id="40"/>
      <w:bookmarkEnd w:id="41"/>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25638009"/>
      <w:bookmarkStart w:id="58" w:name="_Toc138749193"/>
      <w:bookmarkStart w:id="59" w:name="_Toc254079309"/>
      <w:bookmarkStart w:id="60" w:name="_Toc206390855"/>
      <w:r>
        <w:rPr>
          <w:rStyle w:val="CharSectno"/>
        </w:rPr>
        <w:t>3</w:t>
      </w:r>
      <w:r>
        <w:t>.</w:t>
      </w:r>
      <w:r>
        <w:tab/>
        <w:t>Inhumane devices (s. 19(2)(b))</w:t>
      </w:r>
      <w:bookmarkEnd w:id="57"/>
      <w:bookmarkEnd w:id="58"/>
      <w:bookmarkEnd w:id="59"/>
      <w:bookmarkEnd w:id="60"/>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61" w:name="_Hlt35656647"/>
      <w:bookmarkStart w:id="62" w:name="_Toc138749194"/>
      <w:bookmarkStart w:id="63" w:name="_Toc254079310"/>
      <w:bookmarkStart w:id="64" w:name="_Toc206390856"/>
      <w:bookmarkEnd w:id="61"/>
      <w:r>
        <w:rPr>
          <w:rStyle w:val="CharSectno"/>
        </w:rPr>
        <w:t>4</w:t>
      </w:r>
      <w:r>
        <w:t>.</w:t>
      </w:r>
      <w:r>
        <w:tab/>
        <w:t>Prescribed acts (s. 19(2)(d) and (3)(b)(i))</w:t>
      </w:r>
      <w:bookmarkEnd w:id="62"/>
      <w:bookmarkEnd w:id="63"/>
      <w:bookmarkEnd w:id="64"/>
    </w:p>
    <w:p>
      <w:pPr>
        <w:pStyle w:val="Subsection"/>
      </w:pPr>
      <w:r>
        <w:tab/>
      </w:r>
      <w:r>
        <w:tab/>
        <w:t>The administration of an electric shock to an animal in a manner that is not set out in regulation </w:t>
      </w:r>
      <w:bookmarkStart w:id="65" w:name="_Hlt35657286"/>
      <w:r>
        <w:t>7</w:t>
      </w:r>
      <w:bookmarkEnd w:id="65"/>
      <w:r>
        <w:t xml:space="preserve"> is a prescribed act for the purposes of section 19(2)(d) and (3)(b)(i) of the Act.</w:t>
      </w:r>
    </w:p>
    <w:p>
      <w:pPr>
        <w:pStyle w:val="Heading5"/>
      </w:pPr>
      <w:bookmarkStart w:id="66" w:name="_Toc138749195"/>
      <w:bookmarkStart w:id="67" w:name="_Toc254079311"/>
      <w:bookmarkStart w:id="68" w:name="_Toc206390857"/>
      <w:r>
        <w:rPr>
          <w:rStyle w:val="CharSectno"/>
        </w:rPr>
        <w:t>5</w:t>
      </w:r>
      <w:r>
        <w:t>.</w:t>
      </w:r>
      <w:r>
        <w:tab/>
        <w:t>Pests (s. 24(2))</w:t>
      </w:r>
      <w:bookmarkEnd w:id="66"/>
      <w:bookmarkEnd w:id="67"/>
      <w:bookmarkEnd w:id="68"/>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69" w:name="_Toc138749196"/>
      <w:bookmarkStart w:id="70" w:name="_Toc254079312"/>
      <w:bookmarkStart w:id="71" w:name="_Toc206390858"/>
      <w:r>
        <w:rPr>
          <w:rStyle w:val="CharSectno"/>
        </w:rPr>
        <w:t>6</w:t>
      </w:r>
      <w:r>
        <w:t>.</w:t>
      </w:r>
      <w:r>
        <w:tab/>
        <w:t>Codes of practice adopted as defences (s. 25 and 94(2)(d))</w:t>
      </w:r>
      <w:bookmarkEnd w:id="69"/>
      <w:bookmarkEnd w:id="70"/>
      <w:bookmarkEnd w:id="71"/>
    </w:p>
    <w:p>
      <w:pPr>
        <w:pStyle w:val="Subsection"/>
        <w:spacing w:before="120"/>
      </w:pPr>
      <w:r>
        <w:tab/>
      </w:r>
      <w:r>
        <w:tab/>
        <w:t>The codes of practice relating to the use, care, welfare, safety or health of animals set out in Schedule </w:t>
      </w:r>
      <w:bookmarkStart w:id="72" w:name="_Hlt35657019"/>
      <w:r>
        <w:t>1</w:t>
      </w:r>
      <w:bookmarkEnd w:id="72"/>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73" w:name="_Toc138749197"/>
      <w:bookmarkStart w:id="74" w:name="_Toc254079313"/>
      <w:bookmarkStart w:id="75" w:name="_Toc206390859"/>
      <w:r>
        <w:rPr>
          <w:rStyle w:val="CharSectno"/>
        </w:rPr>
        <w:t>7</w:t>
      </w:r>
      <w:r>
        <w:t>.</w:t>
      </w:r>
      <w:r>
        <w:tab/>
        <w:t>Use of devices — electric shock (s. 29)</w:t>
      </w:r>
      <w:bookmarkEnd w:id="73"/>
      <w:bookmarkEnd w:id="74"/>
      <w:bookmarkEnd w:id="75"/>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76" w:name="_Toc138749198"/>
      <w:bookmarkStart w:id="77" w:name="_Toc254079314"/>
      <w:bookmarkStart w:id="78" w:name="_Toc206390860"/>
      <w:r>
        <w:rPr>
          <w:rStyle w:val="CharSectno"/>
        </w:rPr>
        <w:t>8</w:t>
      </w:r>
      <w:r>
        <w:t>.</w:t>
      </w:r>
      <w:r>
        <w:tab/>
        <w:t>Use of devices — metal</w:t>
      </w:r>
      <w:r>
        <w:noBreakHyphen/>
        <w:t>jawed traps (s. 29)</w:t>
      </w:r>
      <w:bookmarkEnd w:id="76"/>
      <w:bookmarkEnd w:id="77"/>
      <w:bookmarkEnd w:id="78"/>
    </w:p>
    <w:p>
      <w:pPr>
        <w:pStyle w:val="Subsection"/>
      </w:pPr>
      <w:r>
        <w:tab/>
      </w:r>
      <w:bookmarkStart w:id="79" w:name="_Hlt35656714"/>
      <w:bookmarkEnd w:id="79"/>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80" w:name="_Hlt35656765"/>
      <w:bookmarkEnd w:id="80"/>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81" w:name="_Hlt35656840"/>
      <w:bookmarkEnd w:id="81"/>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82" w:name="_Toc92776390"/>
      <w:bookmarkStart w:id="83" w:name="_Toc92954511"/>
      <w:bookmarkStart w:id="84" w:name="_Toc138749199"/>
      <w:bookmarkStart w:id="85" w:name="_Toc138749264"/>
      <w:bookmarkStart w:id="86" w:name="_Toc138820197"/>
      <w:bookmarkStart w:id="87" w:name="_Toc169334571"/>
      <w:bookmarkStart w:id="88" w:name="_Toc169334655"/>
      <w:bookmarkStart w:id="89" w:name="_Toc169412182"/>
      <w:bookmarkStart w:id="90" w:name="_Toc201651545"/>
      <w:bookmarkStart w:id="91" w:name="_Toc202243936"/>
      <w:bookmarkStart w:id="92" w:name="_Toc202244214"/>
      <w:bookmarkStart w:id="93" w:name="_Toc205861808"/>
      <w:bookmarkStart w:id="94" w:name="_Toc206390861"/>
      <w:bookmarkStart w:id="95" w:name="_Toc254014644"/>
      <w:bookmarkStart w:id="96" w:name="_Toc254079315"/>
      <w:r>
        <w:rPr>
          <w:rStyle w:val="CharPartNo"/>
        </w:rPr>
        <w:t>Part 3</w:t>
      </w:r>
      <w:r>
        <w:rPr>
          <w:rStyle w:val="CharDivNo"/>
        </w:rPr>
        <w:t> </w:t>
      </w:r>
      <w:r>
        <w:t>—</w:t>
      </w:r>
      <w:r>
        <w:rPr>
          <w:rStyle w:val="CharDivText"/>
        </w:rPr>
        <w:t> </w:t>
      </w:r>
      <w:r>
        <w:rPr>
          <w:rStyle w:val="CharPartText"/>
        </w:rPr>
        <w:t>Enforcement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Hlt35420748"/>
      <w:bookmarkStart w:id="98" w:name="_Hlt35420875"/>
      <w:bookmarkStart w:id="99" w:name="_Toc138749200"/>
      <w:bookmarkStart w:id="100" w:name="_Toc254079316"/>
      <w:bookmarkStart w:id="101" w:name="_Toc206390862"/>
      <w:bookmarkEnd w:id="97"/>
      <w:bookmarkEnd w:id="98"/>
      <w:r>
        <w:rPr>
          <w:rStyle w:val="CharSectno"/>
        </w:rPr>
        <w:t>9</w:t>
      </w:r>
      <w:r>
        <w:t>.</w:t>
      </w:r>
      <w:r>
        <w:tab/>
        <w:t>Warrant (s. 61)</w:t>
      </w:r>
      <w:bookmarkEnd w:id="99"/>
      <w:bookmarkEnd w:id="100"/>
      <w:bookmarkEnd w:id="101"/>
    </w:p>
    <w:p>
      <w:pPr>
        <w:pStyle w:val="Subsection"/>
      </w:pPr>
      <w:r>
        <w:tab/>
      </w:r>
      <w:r>
        <w:tab/>
        <w:t>The form of a warrant is Form 1 in Schedule 2.</w:t>
      </w:r>
    </w:p>
    <w:p>
      <w:pPr>
        <w:pStyle w:val="Heading5"/>
      </w:pPr>
      <w:bookmarkStart w:id="102" w:name="_Toc138749201"/>
      <w:bookmarkStart w:id="103" w:name="_Toc254079317"/>
      <w:bookmarkStart w:id="104" w:name="_Toc206390863"/>
      <w:r>
        <w:rPr>
          <w:rStyle w:val="CharSectno"/>
        </w:rPr>
        <w:t>10</w:t>
      </w:r>
      <w:r>
        <w:t>.</w:t>
      </w:r>
      <w:r>
        <w:tab/>
        <w:t>Objections (s. 72)</w:t>
      </w:r>
      <w:bookmarkEnd w:id="102"/>
      <w:bookmarkEnd w:id="103"/>
      <w:bookmarkEnd w:id="104"/>
    </w:p>
    <w:p>
      <w:pPr>
        <w:pStyle w:val="Subsection"/>
      </w:pPr>
      <w:r>
        <w:tab/>
      </w:r>
      <w:r>
        <w:tab/>
        <w:t>An objection under section 72 of the Act is to be made by completing Form 2 in Schedule </w:t>
      </w:r>
      <w:bookmarkStart w:id="105" w:name="_Hlt35657081"/>
      <w:r>
        <w:t>2</w:t>
      </w:r>
      <w:bookmarkEnd w:id="105"/>
      <w:r>
        <w:t xml:space="preserve"> and lodging that completed form with the Minister within the time period set out in the Act.</w:t>
      </w:r>
    </w:p>
    <w:p>
      <w:pPr>
        <w:pStyle w:val="Ednotesection"/>
      </w:pPr>
      <w:bookmarkStart w:id="106" w:name="_Hlt35421163"/>
      <w:bookmarkEnd w:id="106"/>
      <w:r>
        <w:t>[</w:t>
      </w:r>
      <w:r>
        <w:rPr>
          <w:b/>
          <w:bCs/>
        </w:rPr>
        <w:t>11.</w:t>
      </w:r>
      <w:r>
        <w:tab/>
        <w:t>Deleted in Gazette 30 Dec 2004 p. 7010.]</w:t>
      </w:r>
    </w:p>
    <w:p>
      <w:pPr>
        <w:pStyle w:val="Heading2"/>
      </w:pPr>
      <w:bookmarkStart w:id="107" w:name="_Toc92776394"/>
      <w:bookmarkStart w:id="108" w:name="_Toc92954514"/>
      <w:bookmarkStart w:id="109" w:name="_Toc138749202"/>
      <w:bookmarkStart w:id="110" w:name="_Toc138749267"/>
      <w:bookmarkStart w:id="111" w:name="_Toc138820200"/>
      <w:bookmarkStart w:id="112" w:name="_Toc169334574"/>
      <w:bookmarkStart w:id="113" w:name="_Toc169334658"/>
      <w:bookmarkStart w:id="114" w:name="_Toc169412185"/>
      <w:bookmarkStart w:id="115" w:name="_Toc201651548"/>
      <w:bookmarkStart w:id="116" w:name="_Toc202243939"/>
      <w:bookmarkStart w:id="117" w:name="_Toc202244217"/>
      <w:bookmarkStart w:id="118" w:name="_Toc205861811"/>
      <w:bookmarkStart w:id="119" w:name="_Toc206390864"/>
      <w:bookmarkStart w:id="120" w:name="_Toc254014647"/>
      <w:bookmarkStart w:id="121" w:name="_Toc254079318"/>
      <w:r>
        <w:rPr>
          <w:rStyle w:val="CharPartNo"/>
        </w:rPr>
        <w:t>Part 4</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Hlt33237919"/>
      <w:bookmarkStart w:id="123" w:name="_Toc138749203"/>
      <w:bookmarkStart w:id="124" w:name="_Toc254079319"/>
      <w:bookmarkStart w:id="125" w:name="_Toc206390865"/>
      <w:bookmarkStart w:id="126" w:name="_Toc32989671"/>
      <w:bookmarkStart w:id="127" w:name="_Toc33930210"/>
      <w:bookmarkEnd w:id="122"/>
      <w:r>
        <w:rPr>
          <w:rStyle w:val="CharSectno"/>
        </w:rPr>
        <w:t>12</w:t>
      </w:r>
      <w:r>
        <w:t>.</w:t>
      </w:r>
      <w:r>
        <w:tab/>
        <w:t>Disposal of forfeited property (s. 87)</w:t>
      </w:r>
      <w:bookmarkEnd w:id="123"/>
      <w:bookmarkEnd w:id="124"/>
      <w:bookmarkEnd w:id="125"/>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28" w:name="_Toc138749204"/>
      <w:bookmarkStart w:id="129" w:name="_Toc254079320"/>
      <w:bookmarkStart w:id="130" w:name="_Toc206390866"/>
      <w:r>
        <w:rPr>
          <w:rStyle w:val="CharSectno"/>
        </w:rPr>
        <w:t>13</w:t>
      </w:r>
      <w:r>
        <w:t>.</w:t>
      </w:r>
      <w:r>
        <w:tab/>
        <w:t>Claim for compensation (s. 93)</w:t>
      </w:r>
      <w:bookmarkEnd w:id="128"/>
      <w:bookmarkEnd w:id="129"/>
      <w:bookmarkEnd w:id="130"/>
    </w:p>
    <w:p>
      <w:pPr>
        <w:pStyle w:val="Subsection"/>
      </w:pPr>
      <w:r>
        <w:tab/>
      </w:r>
      <w:r>
        <w:tab/>
        <w:t>A claim for compensation under section 93 of the Act is to be made by completing Form 4 in Schedule </w:t>
      </w:r>
      <w:bookmarkStart w:id="131" w:name="_Hlt35657112"/>
      <w:r>
        <w:t>2</w:t>
      </w:r>
      <w:bookmarkEnd w:id="131"/>
      <w:r>
        <w:t xml:space="preserve"> and lodging that completed form with the Minister within the time period set out in the Act.</w:t>
      </w:r>
    </w:p>
    <w:p>
      <w:pPr>
        <w:pStyle w:val="Heading5"/>
      </w:pPr>
      <w:bookmarkStart w:id="132" w:name="_Toc138749205"/>
      <w:bookmarkStart w:id="133" w:name="_Toc254079321"/>
      <w:bookmarkStart w:id="134" w:name="_Toc206390867"/>
      <w:r>
        <w:rPr>
          <w:rStyle w:val="CharSectno"/>
        </w:rPr>
        <w:t>14</w:t>
      </w:r>
      <w:r>
        <w:t>.</w:t>
      </w:r>
      <w:r>
        <w:tab/>
        <w:t>Further offences (s. 94) — tail docking</w:t>
      </w:r>
      <w:bookmarkEnd w:id="132"/>
      <w:bookmarkEnd w:id="133"/>
      <w:bookmarkEnd w:id="134"/>
    </w:p>
    <w:p>
      <w:pPr>
        <w:pStyle w:val="Subsection"/>
        <w:rPr>
          <w:spacing w:val="-2"/>
        </w:rPr>
      </w:pPr>
      <w:r>
        <w:rPr>
          <w:spacing w:val="-2"/>
        </w:rPr>
        <w:tab/>
        <w:t>(1)</w:t>
      </w:r>
      <w:r>
        <w:rPr>
          <w:spacing w:val="-2"/>
        </w:rPr>
        <w:tab/>
        <w:t xml:space="preserve">In this regulation, a reference to </w:t>
      </w:r>
      <w:r>
        <w:rPr>
          <w:rStyle w:val="CharDefText"/>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keepLines/>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5" w:name="_Toc33953094"/>
      <w:bookmarkEnd w:id="126"/>
      <w:bookmarkEnd w:id="127"/>
    </w:p>
    <w:p>
      <w:pPr>
        <w:pStyle w:val="yScheduleHeading"/>
      </w:pPr>
      <w:bookmarkStart w:id="136" w:name="_Toc138749206"/>
      <w:bookmarkStart w:id="137" w:name="_Toc138749271"/>
      <w:bookmarkStart w:id="138" w:name="_Toc138820204"/>
      <w:bookmarkStart w:id="139" w:name="_Toc169334578"/>
      <w:bookmarkStart w:id="140" w:name="_Toc169334662"/>
      <w:bookmarkStart w:id="141" w:name="_Toc169412189"/>
      <w:bookmarkStart w:id="142" w:name="_Toc201651552"/>
      <w:bookmarkStart w:id="143" w:name="_Toc202243943"/>
      <w:bookmarkStart w:id="144" w:name="_Toc202244221"/>
      <w:bookmarkStart w:id="145" w:name="_Toc205861815"/>
      <w:bookmarkStart w:id="146" w:name="_Toc206390868"/>
      <w:bookmarkStart w:id="147" w:name="_Toc254014651"/>
      <w:bookmarkStart w:id="148" w:name="_Toc254079322"/>
      <w:r>
        <w:rPr>
          <w:rStyle w:val="CharSchNo"/>
        </w:rPr>
        <w:t>Schedule 1</w:t>
      </w:r>
      <w:r>
        <w:t> — </w:t>
      </w:r>
      <w:r>
        <w:rPr>
          <w:rStyle w:val="CharSchText"/>
        </w:rPr>
        <w:t>Codes of practice</w:t>
      </w:r>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35"/>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r>
              <w:t>Buffalo — Code of practice for farmed buffalo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del w:id="149" w:author="Master Repository Process" w:date="2021-07-31T08:32:00Z">
              <w:r>
                <w:rPr>
                  <w:i/>
                </w:rPr>
                <w:delText xml:space="preserve">    </w:delText>
              </w:r>
            </w:del>
            <w:ins w:id="150" w:author="Master Repository Process" w:date="2021-07-31T08:32:00Z">
              <w:r>
                <w:rPr>
                  <w:i/>
                </w:rPr>
                <w:tab/>
              </w:r>
            </w:ins>
            <w:r>
              <w:rPr>
                <w:i/>
              </w:rPr>
              <w:t>deleted]</w:t>
            </w:r>
          </w:p>
        </w:tc>
      </w:tr>
      <w:tr>
        <w:tc>
          <w:tcPr>
            <w:tcW w:w="873" w:type="dxa"/>
          </w:tcPr>
          <w:p>
            <w:pPr>
              <w:pStyle w:val="yTableNAm"/>
            </w:pPr>
            <w:r>
              <w:t>5.</w:t>
            </w:r>
          </w:p>
        </w:tc>
        <w:tc>
          <w:tcPr>
            <w:tcW w:w="5790" w:type="dxa"/>
            <w:gridSpan w:val="2"/>
          </w:tcPr>
          <w:p>
            <w:pPr>
              <w:pStyle w:val="yTableNAm"/>
            </w:pPr>
            <w:r>
              <w:t>Cattle Transportation — Code of practice for the transportation of cattle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Circuses — Code of practice for the conduct of circuses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Deer — Code of practice for farming deer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r>
            <w:del w:id="151" w:author="Master Repository Process" w:date="2021-07-31T08:32:00Z">
              <w:r>
                <w:rPr>
                  <w:i/>
                </w:rPr>
                <w:delText xml:space="preserve"> </w:delText>
              </w:r>
            </w:del>
            <w:r>
              <w:rPr>
                <w:i/>
              </w:rPr>
              <w:t>deleted]</w:t>
            </w:r>
          </w:p>
        </w:tc>
      </w:tr>
      <w:tr>
        <w:tc>
          <w:tcPr>
            <w:tcW w:w="873" w:type="dxa"/>
          </w:tcPr>
          <w:p>
            <w:pPr>
              <w:pStyle w:val="yTableNAm"/>
            </w:pPr>
            <w:r>
              <w:t>9.</w:t>
            </w:r>
          </w:p>
        </w:tc>
        <w:tc>
          <w:tcPr>
            <w:tcW w:w="5790" w:type="dxa"/>
            <w:gridSpan w:val="2"/>
          </w:tcPr>
          <w:p>
            <w:pPr>
              <w:pStyle w:val="yTableNAm"/>
            </w:pPr>
            <w:r>
              <w:t>Exhibited Animals — Code of practice for exhibited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Feral Animals — Code of practice for the capture and marketing of feral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Goats — Code of practice for goats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Horse Transportation — Code of practice for the transportation of horses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rPr>
          <w:ins w:id="152" w:author="Master Repository Process" w:date="2021-07-31T08:32:00Z"/>
        </w:trPr>
        <w:tc>
          <w:tcPr>
            <w:tcW w:w="873" w:type="dxa"/>
          </w:tcPr>
          <w:p>
            <w:pPr>
              <w:pStyle w:val="yTableNAm"/>
              <w:rPr>
                <w:ins w:id="153" w:author="Master Repository Process" w:date="2021-07-31T08:32:00Z"/>
              </w:rPr>
            </w:pPr>
            <w:ins w:id="154" w:author="Master Repository Process" w:date="2021-07-31T08:32:00Z">
              <w:r>
                <w:t>12DA.</w:t>
              </w:r>
            </w:ins>
          </w:p>
        </w:tc>
        <w:tc>
          <w:tcPr>
            <w:tcW w:w="5790" w:type="dxa"/>
            <w:gridSpan w:val="2"/>
          </w:tcPr>
          <w:p>
            <w:pPr>
              <w:pStyle w:val="yTableNAm"/>
              <w:rPr>
                <w:ins w:id="155" w:author="Master Repository Process" w:date="2021-07-31T08:32:00Z"/>
              </w:rPr>
            </w:pPr>
            <w:ins w:id="156" w:author="Master Repository Process" w:date="2021-07-31T08:32:00Z">
              <w:r>
                <w:t>Model Code of Practice for the Welfare of Animals: Livestock at Slaughtering Establishments</w:t>
              </w:r>
            </w:ins>
          </w:p>
        </w:tc>
      </w:tr>
      <w:tr>
        <w:trPr>
          <w:ins w:id="157" w:author="Master Repository Process" w:date="2021-07-31T08:32:00Z"/>
        </w:trPr>
        <w:tc>
          <w:tcPr>
            <w:tcW w:w="1113" w:type="dxa"/>
            <w:gridSpan w:val="2"/>
          </w:tcPr>
          <w:p>
            <w:pPr>
              <w:pStyle w:val="yTableNAm"/>
              <w:rPr>
                <w:ins w:id="158" w:author="Master Repository Process" w:date="2021-07-31T08:32:00Z"/>
              </w:rPr>
            </w:pPr>
          </w:p>
        </w:tc>
        <w:tc>
          <w:tcPr>
            <w:tcW w:w="5550" w:type="dxa"/>
          </w:tcPr>
          <w:p>
            <w:pPr>
              <w:pStyle w:val="yTableNAm"/>
              <w:rPr>
                <w:ins w:id="159" w:author="Master Repository Process" w:date="2021-07-31T08:32:00Z"/>
                <w:i/>
              </w:rPr>
            </w:pPr>
            <w:ins w:id="160" w:author="Master Repository Process" w:date="2021-07-31T08:32:00Z">
              <w:r>
                <w:rPr>
                  <w:i/>
                  <w:iCs/>
                </w:rPr>
                <w:t>First published in 2001 (paperback) and 2002 (on</w:t>
              </w:r>
              <w:r>
                <w:rPr>
                  <w:i/>
                  <w:iCs/>
                </w:rPr>
                <w:noBreakHyphen/>
                <w:t>line) by CSIRO publishing, acting on behalf of the Agriculture and Resource Management Council of Australia and New Zealand.</w:t>
              </w:r>
            </w:ins>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Pig Transportation — Code of practice for the transportation of pigs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Pigeons — Code of practice for pigeon keeping and racing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Poultry — Code of practice for poultry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Rabbits — Code of practice for keeping rabbits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Rodeos — Code of practice for the conduct of rodeos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Saleyards — Code of practice for animals at saleyards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Sheep — Code of practice for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Sheep Transportation — Code of practice for the transportation of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in Gazette 23 Jun 2006 p. 2193; 12 Jun 2007 p. 2720</w:t>
      </w:r>
      <w:r>
        <w:noBreakHyphen/>
        <w:t>1; 20 Jun 2008 p. 2719</w:t>
      </w:r>
      <w:ins w:id="161" w:author="Master Repository Process" w:date="2021-07-31T08:32:00Z">
        <w:r>
          <w:t>; 16 Feb 2010 p. 645</w:t>
        </w:r>
      </w:ins>
      <w:r>
        <w:t>.]</w:t>
      </w:r>
    </w:p>
    <w:p>
      <w:pPr>
        <w:pStyle w:val="yScheduleHeading"/>
      </w:pPr>
      <w:bookmarkStart w:id="162" w:name="_Toc138749207"/>
      <w:bookmarkStart w:id="163" w:name="_Toc138749272"/>
      <w:bookmarkStart w:id="164" w:name="_Toc138820205"/>
      <w:bookmarkStart w:id="165" w:name="_Toc169334579"/>
      <w:bookmarkStart w:id="166" w:name="_Toc169334663"/>
      <w:bookmarkStart w:id="167" w:name="_Toc169412190"/>
      <w:bookmarkStart w:id="168" w:name="_Toc201651553"/>
      <w:bookmarkStart w:id="169" w:name="_Toc202243944"/>
      <w:bookmarkStart w:id="170" w:name="_Toc202244222"/>
      <w:bookmarkStart w:id="171" w:name="_Toc205861816"/>
      <w:bookmarkStart w:id="172" w:name="_Toc206390869"/>
      <w:bookmarkStart w:id="173" w:name="_Toc254014652"/>
      <w:bookmarkStart w:id="174" w:name="_Toc254079323"/>
      <w:r>
        <w:rPr>
          <w:rStyle w:val="CharSchNo"/>
        </w:rPr>
        <w:t>Schedule 2</w:t>
      </w:r>
      <w:r>
        <w:t> — </w:t>
      </w:r>
      <w:r>
        <w:rPr>
          <w:rStyle w:val="CharSchText"/>
        </w:rPr>
        <w:t>Forms</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MiscellaneousHeading"/>
        <w:spacing w:before="120"/>
      </w:pPr>
      <w:r>
        <w:t>Form 1</w:t>
      </w:r>
    </w:p>
    <w:p>
      <w:pPr>
        <w:pStyle w:val="yShoulderClause"/>
        <w:spacing w:after="120"/>
      </w:pPr>
      <w:r>
        <w:t>[r. </w:t>
      </w:r>
      <w:bookmarkStart w:id="175" w:name="_Hlt35420744"/>
      <w:r>
        <w:t>9</w:t>
      </w:r>
      <w:bookmarkEnd w:id="175"/>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76" w:name="_Hlt35060681"/>
      <w:r>
        <w:t> 10</w:t>
      </w:r>
      <w:bookmarkEnd w:id="176"/>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rPr>
          <w:del w:id="177" w:author="Master Repository Process" w:date="2021-07-31T08:32:00Z"/>
        </w:rPr>
      </w:pPr>
      <w:del w:id="178" w:author="Master Repository Process" w:date="2021-07-31T08:32: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79" w:author="Master Repository Process" w:date="2021-07-31T08:32:00Z"/>
        </w:rPr>
      </w:pPr>
      <w:ins w:id="180" w:author="Master Repository Process" w:date="2021-07-31T08: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1" w:name="_Toc92776401"/>
      <w:bookmarkStart w:id="182" w:name="_Toc92954520"/>
      <w:bookmarkStart w:id="183" w:name="_Toc138749208"/>
      <w:bookmarkStart w:id="184" w:name="_Toc138749273"/>
      <w:bookmarkStart w:id="185" w:name="_Toc138820206"/>
      <w:bookmarkStart w:id="186" w:name="_Toc169334580"/>
      <w:bookmarkStart w:id="187" w:name="_Toc169334664"/>
      <w:bookmarkStart w:id="188" w:name="_Toc169412191"/>
      <w:bookmarkStart w:id="189" w:name="_Toc201651554"/>
      <w:bookmarkStart w:id="190" w:name="_Toc202243945"/>
      <w:bookmarkStart w:id="191" w:name="_Toc202244223"/>
      <w:bookmarkStart w:id="192" w:name="_Toc205861817"/>
      <w:bookmarkStart w:id="193" w:name="_Toc206390870"/>
      <w:bookmarkStart w:id="194" w:name="_Toc254014653"/>
      <w:bookmarkStart w:id="195" w:name="_Toc254079324"/>
      <w:r>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w:t>
      </w:r>
      <w:del w:id="196" w:author="Master Repository Process" w:date="2021-07-31T08:32:00Z">
        <w:r>
          <w:rPr>
            <w:snapToGrid w:val="0"/>
          </w:rPr>
          <w:delText xml:space="preserve">reprint </w:delText>
        </w:r>
      </w:del>
      <w:r>
        <w:rPr>
          <w:snapToGrid w:val="0"/>
        </w:rPr>
        <w:t>is a compilation</w:t>
      </w:r>
      <w:del w:id="197" w:author="Master Repository Process" w:date="2021-07-31T08:32:00Z">
        <w:r>
          <w:rPr>
            <w:snapToGrid w:val="0"/>
          </w:rPr>
          <w:delText xml:space="preserve"> as at 21 July 2008</w:delText>
        </w:r>
      </w:del>
      <w:r>
        <w:rPr>
          <w:snapToGrid w:val="0"/>
        </w:rPr>
        <w:t xml:space="preserve"> of the </w:t>
      </w:r>
      <w:r>
        <w:rPr>
          <w:i/>
          <w:noProof/>
          <w:snapToGrid w:val="0"/>
        </w:rPr>
        <w:t>Animal Welfare (General)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98" w:name="_Toc254079325"/>
      <w:bookmarkStart w:id="199" w:name="_Toc206390871"/>
      <w: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8" w:type="dxa"/>
            <w:gridSpan w:val="3"/>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r>
        <w:trPr>
          <w:ins w:id="200" w:author="Master Repository Process" w:date="2021-07-31T08:32:00Z"/>
        </w:trPr>
        <w:tc>
          <w:tcPr>
            <w:tcW w:w="3119" w:type="dxa"/>
            <w:tcBorders>
              <w:bottom w:val="single" w:sz="4" w:space="0" w:color="auto"/>
            </w:tcBorders>
          </w:tcPr>
          <w:p>
            <w:pPr>
              <w:pStyle w:val="nTable"/>
              <w:spacing w:after="40"/>
              <w:rPr>
                <w:ins w:id="201" w:author="Master Repository Process" w:date="2021-07-31T08:32:00Z"/>
                <w:i/>
                <w:sz w:val="19"/>
              </w:rPr>
            </w:pPr>
            <w:ins w:id="202" w:author="Master Repository Process" w:date="2021-07-31T08:32:00Z">
              <w:r>
                <w:rPr>
                  <w:i/>
                  <w:sz w:val="19"/>
                </w:rPr>
                <w:t>Animal Welfare (General) Amendment Regulations (No. 2) 2010</w:t>
              </w:r>
            </w:ins>
          </w:p>
        </w:tc>
        <w:tc>
          <w:tcPr>
            <w:tcW w:w="1276" w:type="dxa"/>
            <w:tcBorders>
              <w:bottom w:val="single" w:sz="4" w:space="0" w:color="auto"/>
            </w:tcBorders>
          </w:tcPr>
          <w:p>
            <w:pPr>
              <w:pStyle w:val="nTable"/>
              <w:spacing w:after="40"/>
              <w:rPr>
                <w:ins w:id="203" w:author="Master Repository Process" w:date="2021-07-31T08:32:00Z"/>
                <w:sz w:val="19"/>
              </w:rPr>
            </w:pPr>
            <w:ins w:id="204" w:author="Master Repository Process" w:date="2021-07-31T08:32:00Z">
              <w:r>
                <w:rPr>
                  <w:sz w:val="19"/>
                </w:rPr>
                <w:t>16 Feb 2010 p. 644</w:t>
              </w:r>
              <w:r>
                <w:rPr>
                  <w:sz w:val="19"/>
                </w:rPr>
                <w:noBreakHyphen/>
                <w:t>5</w:t>
              </w:r>
            </w:ins>
          </w:p>
        </w:tc>
        <w:tc>
          <w:tcPr>
            <w:tcW w:w="2693" w:type="dxa"/>
            <w:tcBorders>
              <w:bottom w:val="single" w:sz="4" w:space="0" w:color="auto"/>
            </w:tcBorders>
          </w:tcPr>
          <w:p>
            <w:pPr>
              <w:pStyle w:val="nTable"/>
              <w:spacing w:after="40"/>
              <w:rPr>
                <w:ins w:id="205" w:author="Master Repository Process" w:date="2021-07-31T08:32:00Z"/>
                <w:sz w:val="19"/>
              </w:rPr>
            </w:pPr>
            <w:ins w:id="206" w:author="Master Repository Process" w:date="2021-07-31T08:32:00Z">
              <w:r>
                <w:rPr>
                  <w:sz w:val="19"/>
                </w:rPr>
                <w:t>r. 1 and 2: 16 Feb 2010 (see r. 2(a));</w:t>
              </w:r>
              <w:r>
                <w:rPr>
                  <w:sz w:val="19"/>
                </w:rPr>
                <w:br/>
                <w:t>Regulations other than r. 1 and 2: 17 Feb 2010 (see r. 2(b))</w:t>
              </w:r>
            </w:ins>
          </w:p>
        </w:tc>
      </w:tr>
    </w:tbl>
    <w:p>
      <w:pPr>
        <w:rPr>
          <w:iCs/>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A18C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B8A880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417"/>
    <w:docVar w:name="WAFER_20151204144417" w:val="RemoveTrackChanges"/>
    <w:docVar w:name="WAFER_20151204144417_GUID" w:val="0430e04f-4675-4db6-9394-21e7a93e46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12FB6F-FB8F-419B-A5DE-FE0A6529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2940</Words>
  <Characters>17790</Characters>
  <Application>Microsoft Office Word</Application>
  <DocSecurity>0</DocSecurity>
  <Lines>593</Lines>
  <Paragraphs>345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20385</CharactersWithSpaces>
  <SharedDoc>false</SharedDoc>
  <HLinks>
    <vt:vector size="6" baseType="variant">
      <vt:variant>
        <vt:i4>131085</vt:i4>
      </vt:variant>
      <vt:variant>
        <vt:i4>21580</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01-a0-05 - 01-b0-02</dc:title>
  <dc:subject/>
  <dc:creator/>
  <cp:keywords/>
  <dc:description/>
  <cp:lastModifiedBy>Master Repository Process</cp:lastModifiedBy>
  <cp:revision>2</cp:revision>
  <cp:lastPrinted>2010-02-15T07:53:00Z</cp:lastPrinted>
  <dcterms:created xsi:type="dcterms:W3CDTF">2021-07-31T00:32:00Z</dcterms:created>
  <dcterms:modified xsi:type="dcterms:W3CDTF">2021-07-31T00:32:00Z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20100217</vt:lpwstr>
  </property>
  <property fmtid="{D5CDD505-2E9C-101B-9397-08002B2CF9AE}" pid="4" name="DocumentType">
    <vt:lpwstr>Reg</vt:lpwstr>
  </property>
  <property fmtid="{D5CDD505-2E9C-101B-9397-08002B2CF9AE}" pid="5" name="OwlsUID">
    <vt:i4>9058</vt:i4>
  </property>
  <property fmtid="{D5CDD505-2E9C-101B-9397-08002B2CF9AE}" pid="6" name="ReprintNo">
    <vt:lpwstr>1</vt:lpwstr>
  </property>
  <property fmtid="{D5CDD505-2E9C-101B-9397-08002B2CF9AE}" pid="7" name="FromSuffix">
    <vt:lpwstr>01-a0-05</vt:lpwstr>
  </property>
  <property fmtid="{D5CDD505-2E9C-101B-9397-08002B2CF9AE}" pid="8" name="FromAsAtDate">
    <vt:lpwstr>21 Jul 2008</vt:lpwstr>
  </property>
  <property fmtid="{D5CDD505-2E9C-101B-9397-08002B2CF9AE}" pid="9" name="ToSuffix">
    <vt:lpwstr>01-b0-02</vt:lpwstr>
  </property>
  <property fmtid="{D5CDD505-2E9C-101B-9397-08002B2CF9AE}" pid="10" name="ToAsAtDate">
    <vt:lpwstr>17 Feb 2010</vt:lpwstr>
  </property>
</Properties>
</file>