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Force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2008</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13 Mar 2010</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0" w:name="_Toc90976417"/>
      <w:bookmarkStart w:id="1" w:name="_Toc91044649"/>
      <w:bookmarkStart w:id="2" w:name="_Toc91044829"/>
      <w:bookmarkStart w:id="3" w:name="_Toc123621338"/>
      <w:bookmarkStart w:id="4" w:name="_Toc123622881"/>
      <w:bookmarkStart w:id="5" w:name="_Toc153957254"/>
      <w:bookmarkStart w:id="6" w:name="_Toc153958597"/>
      <w:bookmarkStart w:id="7" w:name="_Toc154478676"/>
      <w:bookmarkStart w:id="8" w:name="_Toc161039359"/>
      <w:bookmarkStart w:id="9" w:name="_Toc161039500"/>
      <w:bookmarkStart w:id="10" w:name="_Toc161130253"/>
      <w:bookmarkStart w:id="11" w:name="_Toc163021012"/>
      <w:bookmarkStart w:id="12" w:name="_Toc164759983"/>
      <w:bookmarkStart w:id="13" w:name="_Toc166925571"/>
      <w:bookmarkStart w:id="14" w:name="_Toc182896900"/>
      <w:bookmarkStart w:id="15" w:name="_Toc182897662"/>
      <w:bookmarkStart w:id="16" w:name="_Toc182901820"/>
      <w:bookmarkStart w:id="17" w:name="_Toc198028212"/>
      <w:bookmarkStart w:id="18" w:name="_Toc218399459"/>
      <w:bookmarkStart w:id="19" w:name="_Toc256088230"/>
      <w:r>
        <w:rPr>
          <w:rStyle w:val="CharPartNo"/>
        </w:rPr>
        <w:t>P</w:t>
      </w:r>
      <w:bookmarkStart w:id="20" w:name="_GoBack"/>
      <w:bookmarkEnd w:id="20"/>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1" w:name="_Toc500034673"/>
      <w:bookmarkStart w:id="22" w:name="_Toc515769471"/>
      <w:bookmarkStart w:id="23" w:name="_Toc522083152"/>
      <w:bookmarkStart w:id="24" w:name="_Toc123622882"/>
      <w:bookmarkStart w:id="25" w:name="_Toc166925572"/>
      <w:bookmarkStart w:id="26" w:name="_Toc256088231"/>
      <w:bookmarkStart w:id="27" w:name="_Toc218399460"/>
      <w:r>
        <w:rPr>
          <w:rStyle w:val="CharSectno"/>
        </w:rPr>
        <w:t>101</w:t>
      </w:r>
      <w:r>
        <w:rPr>
          <w:snapToGrid w:val="0"/>
        </w:rPr>
        <w:t>.</w:t>
      </w:r>
      <w:r>
        <w:rPr>
          <w:snapToGrid w:val="0"/>
        </w:rPr>
        <w:tab/>
        <w:t>Citation</w:t>
      </w:r>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 xml:space="preserve">[Regulation 101 amended in Gazette 17 Nov 1989 p. 4110.] </w:t>
      </w:r>
    </w:p>
    <w:p>
      <w:pPr>
        <w:pStyle w:val="Ednotesection"/>
      </w:pPr>
      <w:r>
        <w:t>[</w:t>
      </w:r>
      <w:r>
        <w:rPr>
          <w:b/>
        </w:rPr>
        <w:t>102.</w:t>
      </w:r>
      <w:r>
        <w:tab/>
        <w:t xml:space="preserve">Deleted in Gazette 6 Jan 1998 p. 36.] </w:t>
      </w:r>
    </w:p>
    <w:p>
      <w:pPr>
        <w:pStyle w:val="Heading5"/>
        <w:rPr>
          <w:snapToGrid w:val="0"/>
        </w:rPr>
      </w:pPr>
      <w:bookmarkStart w:id="28" w:name="_Toc500034674"/>
      <w:bookmarkStart w:id="29" w:name="_Toc515769472"/>
      <w:bookmarkStart w:id="30" w:name="_Toc522083153"/>
      <w:bookmarkStart w:id="31" w:name="_Toc123622883"/>
      <w:bookmarkStart w:id="32" w:name="_Toc166925573"/>
      <w:bookmarkStart w:id="33" w:name="_Toc256088232"/>
      <w:bookmarkStart w:id="34" w:name="_Toc218399461"/>
      <w:r>
        <w:rPr>
          <w:rStyle w:val="CharSectno"/>
        </w:rPr>
        <w:t>103</w:t>
      </w:r>
      <w:r>
        <w:rPr>
          <w:snapToGrid w:val="0"/>
        </w:rPr>
        <w:t>.</w:t>
      </w:r>
      <w:r>
        <w:rPr>
          <w:snapToGrid w:val="0"/>
        </w:rPr>
        <w:tab/>
      </w:r>
      <w:bookmarkEnd w:id="28"/>
      <w:bookmarkEnd w:id="29"/>
      <w:bookmarkEnd w:id="30"/>
      <w:bookmarkEnd w:id="31"/>
      <w:r>
        <w:rPr>
          <w:snapToGrid w:val="0"/>
        </w:rPr>
        <w:t>Terms used in these regulations</w:t>
      </w:r>
      <w:bookmarkEnd w:id="32"/>
      <w:bookmarkEnd w:id="33"/>
      <w:bookmarkEnd w:id="3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rPr>
          <w:b/>
        </w:rPr>
        <w:tab/>
      </w:r>
      <w:r>
        <w:rPr>
          <w:rStyle w:val="CharDefText"/>
        </w:rPr>
        <w:t>cadet</w:t>
      </w:r>
      <w:r>
        <w:t xml:space="preserve"> means any person appointed under the provisions of section 7(2) under the Act;</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rPr>
          <w:ins w:id="35" w:author="Master Repository Process" w:date="2021-09-11T18:14:00Z"/>
        </w:rPr>
      </w:pPr>
      <w:ins w:id="36" w:author="Master Repository Process" w:date="2021-09-11T18:14:00Z">
        <w:r>
          <w:rPr>
            <w:rStyle w:val="CharDefText"/>
          </w:rPr>
          <w:tab/>
          <w:t>police auxiliary officer</w:t>
        </w:r>
        <w:r>
          <w:t xml:space="preserve"> has the meaning given in Part IIIB of the Act;</w:t>
        </w:r>
      </w:ins>
    </w:p>
    <w:p>
      <w:pPr>
        <w:pStyle w:val="Defstart"/>
        <w:spacing w:before="50"/>
      </w:pPr>
      <w:r>
        <w:rPr>
          <w:b/>
        </w:rPr>
        <w:tab/>
      </w:r>
      <w:r>
        <w:rPr>
          <w:rStyle w:val="CharDefText"/>
          <w:i w:val="0"/>
          <w:iCs/>
        </w:rPr>
        <w:t>Police Gazette</w:t>
      </w:r>
      <w:r>
        <w:t xml:space="preserve"> means the publication published pursuant to regulation 307;</w:t>
      </w:r>
    </w:p>
    <w:p>
      <w:pPr>
        <w:pStyle w:val="Defstar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w:t>
      </w:r>
    </w:p>
    <w:p>
      <w:pPr>
        <w:pStyle w:val="Defpara"/>
      </w:pPr>
      <w:r>
        <w:tab/>
        <w:t>(b)</w:t>
      </w:r>
      <w:r>
        <w:tab/>
        <w:t xml:space="preserve">in relation to a matter relating to APLOs — </w:t>
      </w:r>
      <w:r>
        <w:rPr>
          <w:i/>
          <w:iCs/>
        </w:rPr>
        <w:t>The Aboriginal Police Aides Award</w:t>
      </w:r>
      <w:r>
        <w:t>,</w:t>
      </w:r>
    </w:p>
    <w:p>
      <w:pPr>
        <w:pStyle w:val="Defstar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spacing w:before="50"/>
      </w:pPr>
      <w:r>
        <w:rPr>
          <w:b/>
        </w:rPr>
        <w:tab/>
      </w:r>
      <w:r>
        <w:rPr>
          <w:rStyle w:val="CharDefText"/>
        </w:rPr>
        <w:t>the Force</w:t>
      </w:r>
      <w:r>
        <w:t xml:space="preserve"> means the Police Force established under the Act;</w:t>
      </w:r>
    </w:p>
    <w:p>
      <w:pPr>
        <w:pStyle w:val="Defstart"/>
      </w:pPr>
      <w:r>
        <w:rPr>
          <w:b/>
        </w:rPr>
        <w:tab/>
      </w:r>
      <w:r>
        <w:rPr>
          <w:rStyle w:val="CharDefText"/>
        </w:rPr>
        <w:t>uniform</w:t>
      </w:r>
      <w:bookmarkStart w:id="37" w:name="endcomma"/>
      <w:bookmarkEnd w:id="37"/>
      <w:r>
        <w:t xml:space="preserve"> includes all appropriate ancillary attire, such as belts, socks, stockings, head wear, etc., accoutrements and the relevant insignia of rank, the badges and name plates, and any awards, that have been issued or given to a particular member or cadet, in accordance with the Act.</w:t>
      </w:r>
    </w:p>
    <w:p>
      <w:pPr>
        <w:pStyle w:val="Footnotesection"/>
        <w:spacing w:before="80"/>
        <w:ind w:left="890" w:hanging="890"/>
      </w:pPr>
      <w:r>
        <w:tab/>
        <w:t>[Regulation 103 amended in Gazette 15 Jan 1982 p. 55; 7 Dec 1984 p. 4024; 22 Jan 1988 p. 127; 17 Mar 1989 p. 752; 14 Jul 1992 p. 3364; 22 Aug 1997 p. 4815; 2 Feb 2007 p. 246</w:t>
      </w:r>
      <w:r>
        <w:noBreakHyphen/>
        <w:t>7; 30 Dec 2008 p. 5643</w:t>
      </w:r>
      <w:r>
        <w:noBreakHyphen/>
        <w:t>4</w:t>
      </w:r>
      <w:ins w:id="38" w:author="Master Repository Process" w:date="2021-09-11T18:14:00Z">
        <w:r>
          <w:t>; 12 Mar 2010 p. 954</w:t>
        </w:r>
      </w:ins>
      <w:r>
        <w:t xml:space="preserve">.] </w:t>
      </w:r>
    </w:p>
    <w:p>
      <w:pPr>
        <w:pStyle w:val="Heading5"/>
      </w:pPr>
      <w:bookmarkStart w:id="39" w:name="_Toc256088233"/>
      <w:bookmarkStart w:id="40" w:name="_Toc218399462"/>
      <w:bookmarkStart w:id="41" w:name="_Toc90976420"/>
      <w:bookmarkStart w:id="42" w:name="_Toc91044652"/>
      <w:bookmarkStart w:id="43" w:name="_Toc91044832"/>
      <w:bookmarkStart w:id="44" w:name="_Toc123621341"/>
      <w:bookmarkStart w:id="45" w:name="_Toc123622884"/>
      <w:bookmarkStart w:id="46" w:name="_Toc153957257"/>
      <w:bookmarkStart w:id="47" w:name="_Toc153958600"/>
      <w:bookmarkStart w:id="48" w:name="_Toc154478679"/>
      <w:bookmarkStart w:id="49" w:name="_Toc161039362"/>
      <w:bookmarkStart w:id="50" w:name="_Toc161039503"/>
      <w:bookmarkStart w:id="51" w:name="_Toc161130256"/>
      <w:bookmarkStart w:id="52" w:name="_Toc163021015"/>
      <w:bookmarkStart w:id="53" w:name="_Toc164759986"/>
      <w:bookmarkStart w:id="54" w:name="_Toc166925574"/>
      <w:bookmarkStart w:id="55" w:name="_Toc182896903"/>
      <w:bookmarkStart w:id="56" w:name="_Toc182897665"/>
      <w:bookmarkStart w:id="57" w:name="_Toc182901823"/>
      <w:bookmarkStart w:id="58" w:name="_Toc198028215"/>
      <w:r>
        <w:rPr>
          <w:rStyle w:val="CharSectno"/>
        </w:rPr>
        <w:t>104</w:t>
      </w:r>
      <w:r>
        <w:t>.</w:t>
      </w:r>
      <w:r>
        <w:tab/>
        <w:t>Application of these regulations to APLOs</w:t>
      </w:r>
      <w:bookmarkEnd w:id="39"/>
      <w:bookmarkEnd w:id="40"/>
    </w:p>
    <w:p>
      <w:pPr>
        <w:pStyle w:val="Subsection"/>
      </w:pPr>
      <w:r>
        <w:tab/>
      </w:r>
      <w:r>
        <w:tab/>
        <w:t>In Parts IV, VI, VIII, IX, XI, XII, XIII, XIV, XV and XVI a reference to a member is to be read as including a reference to an APLO unless the contrary intention appears.</w:t>
      </w:r>
    </w:p>
    <w:p>
      <w:pPr>
        <w:pStyle w:val="Footnotesection"/>
        <w:rPr>
          <w:ins w:id="59" w:author="Master Repository Process" w:date="2021-09-11T18:14:00Z"/>
        </w:rPr>
      </w:pPr>
      <w:r>
        <w:tab/>
        <w:t>[Regulation 104 inserted in Gazette 30 Dec 2008 p. 5644</w:t>
      </w:r>
      <w:ins w:id="60" w:author="Master Repository Process" w:date="2021-09-11T18:14:00Z">
        <w:r>
          <w:t>.]</w:t>
        </w:r>
      </w:ins>
    </w:p>
    <w:p>
      <w:pPr>
        <w:pStyle w:val="Heading5"/>
        <w:rPr>
          <w:ins w:id="61" w:author="Master Repository Process" w:date="2021-09-11T18:14:00Z"/>
        </w:rPr>
      </w:pPr>
      <w:bookmarkStart w:id="62" w:name="_Toc256088234"/>
      <w:ins w:id="63" w:author="Master Repository Process" w:date="2021-09-11T18:14:00Z">
        <w:r>
          <w:rPr>
            <w:rStyle w:val="CharSectno"/>
          </w:rPr>
          <w:t>105</w:t>
        </w:r>
        <w:r>
          <w:t>.</w:t>
        </w:r>
        <w:r>
          <w:tab/>
          <w:t>Application of these regulations to police auxiliary officers</w:t>
        </w:r>
        <w:bookmarkEnd w:id="62"/>
      </w:ins>
    </w:p>
    <w:p>
      <w:pPr>
        <w:pStyle w:val="Subsection"/>
        <w:rPr>
          <w:ins w:id="64" w:author="Master Repository Process" w:date="2021-09-11T18:14:00Z"/>
        </w:rPr>
      </w:pPr>
      <w:ins w:id="65" w:author="Master Repository Process" w:date="2021-09-11T18:14:00Z">
        <w:r>
          <w:tab/>
        </w:r>
        <w:r>
          <w:tab/>
          <w:t>In Parts IV, VI, IX and XVI a reference to a member is to be read as including a reference to a police auxiliary officer unless the contrary intention appears.</w:t>
        </w:r>
      </w:ins>
    </w:p>
    <w:p>
      <w:pPr>
        <w:pStyle w:val="Footnotesection"/>
      </w:pPr>
      <w:ins w:id="66" w:author="Master Repository Process" w:date="2021-09-11T18:14:00Z">
        <w:r>
          <w:tab/>
          <w:t>[Regulation 105 inserted in Gazette 12 Mar 2010 p. 954</w:t>
        </w:r>
      </w:ins>
      <w:r>
        <w:t>.]</w:t>
      </w:r>
    </w:p>
    <w:p>
      <w:pPr>
        <w:pStyle w:val="Heading2"/>
      </w:pPr>
      <w:bookmarkStart w:id="67" w:name="_Toc218399463"/>
      <w:bookmarkStart w:id="68" w:name="_Toc256088235"/>
      <w:r>
        <w:rPr>
          <w:rStyle w:val="CharPartNo"/>
        </w:rPr>
        <w:t>Part II</w:t>
      </w:r>
      <w:r>
        <w:rPr>
          <w:rStyle w:val="CharDivNo"/>
        </w:rPr>
        <w:t> </w:t>
      </w:r>
      <w:r>
        <w:t>—</w:t>
      </w:r>
      <w:r>
        <w:rPr>
          <w:rStyle w:val="CharDivText"/>
        </w:rPr>
        <w:t> </w:t>
      </w:r>
      <w:r>
        <w:rPr>
          <w:rStyle w:val="CharPartText"/>
        </w:rPr>
        <w:t>Constitution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67"/>
      <w:bookmarkEnd w:id="68"/>
      <w:r>
        <w:rPr>
          <w:rStyle w:val="CharPartText"/>
        </w:rPr>
        <w:t xml:space="preserve"> </w:t>
      </w:r>
    </w:p>
    <w:p>
      <w:pPr>
        <w:pStyle w:val="Heading5"/>
        <w:rPr>
          <w:snapToGrid w:val="0"/>
        </w:rPr>
      </w:pPr>
      <w:bookmarkStart w:id="69" w:name="_Toc500034675"/>
      <w:bookmarkStart w:id="70" w:name="_Toc515769473"/>
      <w:bookmarkStart w:id="71" w:name="_Toc522083154"/>
      <w:bookmarkStart w:id="72" w:name="_Toc123622885"/>
      <w:bookmarkStart w:id="73" w:name="_Toc166925575"/>
      <w:bookmarkStart w:id="74" w:name="_Toc256088236"/>
      <w:bookmarkStart w:id="75" w:name="_Toc218399464"/>
      <w:r>
        <w:rPr>
          <w:rStyle w:val="CharSectno"/>
        </w:rPr>
        <w:t>201</w:t>
      </w:r>
      <w:r>
        <w:rPr>
          <w:snapToGrid w:val="0"/>
        </w:rPr>
        <w:t>.</w:t>
      </w:r>
      <w:r>
        <w:rPr>
          <w:snapToGrid w:val="0"/>
        </w:rPr>
        <w:tab/>
        <w:t>Order of rank</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Force comprises ranks with authority in the following order — </w:t>
      </w:r>
    </w:p>
    <w:p>
      <w:pPr>
        <w:pStyle w:val="Indenta"/>
        <w:rPr>
          <w:snapToGrid w:val="0"/>
        </w:rPr>
      </w:pPr>
      <w:r>
        <w:rPr>
          <w:snapToGrid w:val="0"/>
        </w:rPr>
        <w:tab/>
        <w:t>(a)</w:t>
      </w:r>
      <w:r>
        <w:rPr>
          <w:snapToGrid w:val="0"/>
        </w:rPr>
        <w:tab/>
        <w:t>officer ranks — </w:t>
      </w:r>
    </w:p>
    <w:p>
      <w:pPr>
        <w:pStyle w:val="Indenti"/>
        <w:rPr>
          <w:snapToGrid w:val="0"/>
        </w:rPr>
      </w:pPr>
      <w:r>
        <w:rPr>
          <w:snapToGrid w:val="0"/>
        </w:rPr>
        <w:tab/>
        <w:t>(i)</w:t>
      </w:r>
      <w:r>
        <w:rPr>
          <w:snapToGrid w:val="0"/>
        </w:rPr>
        <w:tab/>
        <w:t>Commissioner;</w:t>
      </w:r>
    </w:p>
    <w:p>
      <w:pPr>
        <w:pStyle w:val="Indenti"/>
        <w:rPr>
          <w:snapToGrid w:val="0"/>
        </w:rPr>
      </w:pPr>
      <w:r>
        <w:rPr>
          <w:snapToGrid w:val="0"/>
        </w:rPr>
        <w:tab/>
        <w:t>(ii)</w:t>
      </w:r>
      <w:r>
        <w:rPr>
          <w:snapToGrid w:val="0"/>
        </w:rPr>
        <w:tab/>
        <w:t>deputy commissioner;</w:t>
      </w:r>
    </w:p>
    <w:p>
      <w:pPr>
        <w:pStyle w:val="Indenti"/>
        <w:rPr>
          <w:snapToGrid w:val="0"/>
        </w:rPr>
      </w:pPr>
      <w:r>
        <w:rPr>
          <w:snapToGrid w:val="0"/>
        </w:rPr>
        <w:tab/>
        <w:t>(iii)</w:t>
      </w:r>
      <w:r>
        <w:rPr>
          <w:snapToGrid w:val="0"/>
        </w:rPr>
        <w:tab/>
        <w:t>assistant commissioner;</w:t>
      </w:r>
    </w:p>
    <w:p>
      <w:pPr>
        <w:pStyle w:val="Indenti"/>
      </w:pPr>
      <w:r>
        <w:tab/>
        <w:t>(iv)</w:t>
      </w:r>
      <w:r>
        <w:tab/>
        <w:t>commander;</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superintendent;</w:t>
      </w:r>
    </w:p>
    <w:p>
      <w:pPr>
        <w:pStyle w:val="Ednotesubpara"/>
        <w:rPr>
          <w:snapToGrid w:val="0"/>
        </w:rPr>
      </w:pPr>
      <w:r>
        <w:rPr>
          <w:snapToGrid w:val="0"/>
        </w:rPr>
        <w:tab/>
        <w:t>[(vii)</w:t>
      </w:r>
      <w:r>
        <w:rPr>
          <w:snapToGrid w:val="0"/>
        </w:rPr>
        <w:tab/>
        <w:t>deleted]</w:t>
      </w:r>
    </w:p>
    <w:p>
      <w:pPr>
        <w:pStyle w:val="Indenti"/>
        <w:rPr>
          <w:snapToGrid w:val="0"/>
        </w:rPr>
      </w:pPr>
      <w:r>
        <w:rPr>
          <w:snapToGrid w:val="0"/>
        </w:rPr>
        <w:tab/>
        <w:t>(viii)</w:t>
      </w:r>
      <w:r>
        <w:rPr>
          <w:snapToGrid w:val="0"/>
        </w:rPr>
        <w:tab/>
        <w:t>inspector;</w:t>
      </w:r>
    </w:p>
    <w:p>
      <w:pPr>
        <w:pStyle w:val="Indenta"/>
        <w:rPr>
          <w:snapToGrid w:val="0"/>
        </w:rPr>
      </w:pPr>
      <w:r>
        <w:rPr>
          <w:snapToGrid w:val="0"/>
        </w:rPr>
        <w:tab/>
        <w:t>(b)</w:t>
      </w:r>
      <w:r>
        <w:rPr>
          <w:snapToGrid w:val="0"/>
        </w:rPr>
        <w:tab/>
        <w:t>non</w:t>
      </w:r>
      <w:r>
        <w:rPr>
          <w:snapToGrid w:val="0"/>
        </w:rPr>
        <w:noBreakHyphen/>
        <w:t>commissioned officer ranks — </w:t>
      </w:r>
    </w:p>
    <w:p>
      <w:pPr>
        <w:pStyle w:val="Indenti"/>
        <w:rPr>
          <w:snapToGrid w:val="0"/>
        </w:rPr>
      </w:pPr>
      <w:r>
        <w:rPr>
          <w:snapToGrid w:val="0"/>
        </w:rPr>
        <w:tab/>
        <w:t>(i)</w:t>
      </w:r>
      <w:r>
        <w:rPr>
          <w:snapToGrid w:val="0"/>
        </w:rPr>
        <w:tab/>
        <w:t>senior sergeant;</w:t>
      </w:r>
    </w:p>
    <w:p>
      <w:pPr>
        <w:pStyle w:val="Indenti"/>
        <w:rPr>
          <w:snapToGrid w:val="0"/>
        </w:rPr>
      </w:pPr>
      <w:r>
        <w:rPr>
          <w:snapToGrid w:val="0"/>
        </w:rPr>
        <w:tab/>
        <w:t>(ii)</w:t>
      </w:r>
      <w:r>
        <w:rPr>
          <w:snapToGrid w:val="0"/>
        </w:rPr>
        <w:tab/>
        <w:t>sergeant first class;</w:t>
      </w:r>
    </w:p>
    <w:p>
      <w:pPr>
        <w:pStyle w:val="Indenti"/>
        <w:rPr>
          <w:snapToGrid w:val="0"/>
        </w:rPr>
      </w:pPr>
      <w:r>
        <w:rPr>
          <w:snapToGrid w:val="0"/>
        </w:rPr>
        <w:tab/>
        <w:t>(iii)</w:t>
      </w:r>
      <w:r>
        <w:rPr>
          <w:snapToGrid w:val="0"/>
        </w:rPr>
        <w:tab/>
        <w:t>sergeant;</w:t>
      </w:r>
    </w:p>
    <w:p>
      <w:pPr>
        <w:pStyle w:val="Indenta"/>
        <w:rPr>
          <w:snapToGrid w:val="0"/>
        </w:rPr>
      </w:pPr>
      <w:r>
        <w:rPr>
          <w:snapToGrid w:val="0"/>
        </w:rPr>
        <w:tab/>
        <w:t>(c)</w:t>
      </w:r>
      <w:r>
        <w:rPr>
          <w:snapToGrid w:val="0"/>
        </w:rPr>
        <w:tab/>
        <w:t>other ranks — </w:t>
      </w:r>
    </w:p>
    <w:p>
      <w:pPr>
        <w:pStyle w:val="Indenti"/>
        <w:rPr>
          <w:snapToGrid w:val="0"/>
        </w:rPr>
      </w:pPr>
      <w:r>
        <w:rPr>
          <w:snapToGrid w:val="0"/>
        </w:rPr>
        <w:tab/>
        <w:t>(i)</w:t>
      </w:r>
      <w:r>
        <w:rPr>
          <w:snapToGrid w:val="0"/>
        </w:rPr>
        <w:tab/>
        <w:t>senior constable;</w:t>
      </w:r>
    </w:p>
    <w:p>
      <w:pPr>
        <w:pStyle w:val="Indenti"/>
        <w:rPr>
          <w:snapToGrid w:val="0"/>
        </w:rPr>
      </w:pPr>
      <w:r>
        <w:rPr>
          <w:snapToGrid w:val="0"/>
        </w:rPr>
        <w:tab/>
        <w:t>(ii)</w:t>
      </w:r>
      <w:r>
        <w:rPr>
          <w:snapToGrid w:val="0"/>
        </w:rPr>
        <w:tab/>
        <w:t>constable first class;</w:t>
      </w:r>
    </w:p>
    <w:p>
      <w:pPr>
        <w:pStyle w:val="Indenti"/>
        <w:rPr>
          <w:snapToGrid w:val="0"/>
        </w:rPr>
      </w:pPr>
      <w:r>
        <w:rPr>
          <w:snapToGrid w:val="0"/>
        </w:rPr>
        <w:tab/>
        <w:t>(iii)</w:t>
      </w:r>
      <w:r>
        <w:rPr>
          <w:snapToGrid w:val="0"/>
        </w:rPr>
        <w:tab/>
        <w:t>constable;</w:t>
      </w:r>
    </w:p>
    <w:p>
      <w:pPr>
        <w:pStyle w:val="Indenta"/>
        <w:rPr>
          <w:snapToGrid w:val="0"/>
        </w:rPr>
      </w:pPr>
      <w:r>
        <w:rPr>
          <w:snapToGrid w:val="0"/>
        </w:rPr>
        <w:tab/>
      </w:r>
      <w:r>
        <w:rPr>
          <w:snapToGrid w:val="0"/>
        </w:rPr>
        <w:tab/>
        <w:t>and</w:t>
      </w:r>
    </w:p>
    <w:p>
      <w:pPr>
        <w:pStyle w:val="Indenta"/>
      </w:pPr>
      <w:r>
        <w:tab/>
        <w:t>(d)</w:t>
      </w:r>
      <w:r>
        <w:tab/>
        <w:t>Aboriginal police liaison officer ranks —</w:t>
      </w:r>
    </w:p>
    <w:p>
      <w:pPr>
        <w:pStyle w:val="Indenti"/>
      </w:pPr>
      <w:r>
        <w:tab/>
        <w:t>(i)</w:t>
      </w:r>
      <w:r>
        <w:tab/>
        <w:t>senior Aboriginal police liaison officer;</w:t>
      </w:r>
    </w:p>
    <w:p>
      <w:pPr>
        <w:pStyle w:val="Indenti"/>
      </w:pPr>
      <w:r>
        <w:tab/>
        <w:t>(ii)</w:t>
      </w:r>
      <w:r>
        <w:tab/>
        <w:t>Aboriginal police liaison officer first class;</w:t>
      </w:r>
    </w:p>
    <w:p>
      <w:pPr>
        <w:pStyle w:val="Indenti"/>
      </w:pPr>
      <w:r>
        <w:tab/>
        <w:t>(iii)</w:t>
      </w:r>
      <w:r>
        <w:tab/>
        <w:t>Aboriginal police liaison officer.</w:t>
      </w:r>
    </w:p>
    <w:p>
      <w:pPr>
        <w:pStyle w:val="Footnotesection"/>
      </w:pPr>
      <w:r>
        <w:tab/>
        <w:t>[Regulation 201 amended in Gazette 16 Feb 1979 p. 425; 31 Jul 1981 p. 3158; 23 Mar 1984 p. 745; 24 Apr 1986 p. 1476; 17 Mar 1989 p. 752; 30 Mar 1990 p. 1648; 14 Jul 1992 p. 3364</w:t>
      </w:r>
      <w:r>
        <w:noBreakHyphen/>
        <w:t xml:space="preserve">5; 15 Dec 2006 p. 5631; 16 Nov 2007 p. 5786; 30 Dec 2008 p. 5644.] </w:t>
      </w:r>
    </w:p>
    <w:p>
      <w:pPr>
        <w:pStyle w:val="Heading2"/>
      </w:pPr>
      <w:bookmarkStart w:id="76" w:name="_Toc90976422"/>
      <w:bookmarkStart w:id="77" w:name="_Toc91044654"/>
      <w:bookmarkStart w:id="78" w:name="_Toc91044834"/>
      <w:bookmarkStart w:id="79" w:name="_Toc123621343"/>
      <w:bookmarkStart w:id="80" w:name="_Toc123622886"/>
      <w:bookmarkStart w:id="81" w:name="_Toc153957259"/>
      <w:bookmarkStart w:id="82" w:name="_Toc153958602"/>
      <w:bookmarkStart w:id="83" w:name="_Toc154478681"/>
      <w:bookmarkStart w:id="84" w:name="_Toc161039364"/>
      <w:bookmarkStart w:id="85" w:name="_Toc161039505"/>
      <w:bookmarkStart w:id="86" w:name="_Toc161130258"/>
      <w:bookmarkStart w:id="87" w:name="_Toc163021017"/>
      <w:bookmarkStart w:id="88" w:name="_Toc164759988"/>
      <w:bookmarkStart w:id="89" w:name="_Toc166925576"/>
      <w:bookmarkStart w:id="90" w:name="_Toc182896905"/>
      <w:bookmarkStart w:id="91" w:name="_Toc182897667"/>
      <w:bookmarkStart w:id="92" w:name="_Toc182901825"/>
      <w:bookmarkStart w:id="93" w:name="_Toc198028217"/>
      <w:bookmarkStart w:id="94" w:name="_Toc218399465"/>
      <w:bookmarkStart w:id="95" w:name="_Toc256088237"/>
      <w:r>
        <w:rPr>
          <w:rStyle w:val="CharPartNo"/>
        </w:rPr>
        <w:t>Part III</w:t>
      </w:r>
      <w:r>
        <w:rPr>
          <w:rStyle w:val="CharDivNo"/>
        </w:rPr>
        <w:t> </w:t>
      </w:r>
      <w:r>
        <w:t>—</w:t>
      </w:r>
      <w:r>
        <w:rPr>
          <w:rStyle w:val="CharDivText"/>
        </w:rPr>
        <w:t> </w:t>
      </w:r>
      <w:r>
        <w:rPr>
          <w:rStyle w:val="CharPartText"/>
        </w:rPr>
        <w:t>Organization</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pPr>
        <w:pStyle w:val="Heading5"/>
        <w:rPr>
          <w:snapToGrid w:val="0"/>
        </w:rPr>
      </w:pPr>
      <w:bookmarkStart w:id="96" w:name="_Toc500034676"/>
      <w:bookmarkStart w:id="97" w:name="_Toc515769474"/>
      <w:bookmarkStart w:id="98" w:name="_Toc522083155"/>
      <w:bookmarkStart w:id="99" w:name="_Toc123622887"/>
      <w:bookmarkStart w:id="100" w:name="_Toc166925577"/>
      <w:bookmarkStart w:id="101" w:name="_Toc256088238"/>
      <w:bookmarkStart w:id="102" w:name="_Toc218399466"/>
      <w:r>
        <w:rPr>
          <w:rStyle w:val="CharSectno"/>
        </w:rPr>
        <w:t>301</w:t>
      </w:r>
      <w:r>
        <w:rPr>
          <w:snapToGrid w:val="0"/>
        </w:rPr>
        <w:t>.</w:t>
      </w:r>
      <w:r>
        <w:rPr>
          <w:snapToGrid w:val="0"/>
        </w:rPr>
        <w:tab/>
        <w:t>Commissioner to determine functions, duties and responsibilities</w:t>
      </w:r>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103" w:name="_Toc500034677"/>
      <w:bookmarkStart w:id="104" w:name="_Toc515769475"/>
      <w:bookmarkStart w:id="105" w:name="_Toc522083156"/>
      <w:bookmarkStart w:id="106" w:name="_Toc123622888"/>
      <w:bookmarkStart w:id="107" w:name="_Toc166925578"/>
      <w:bookmarkStart w:id="108" w:name="_Toc256088239"/>
      <w:bookmarkStart w:id="109" w:name="_Toc218399467"/>
      <w:r>
        <w:rPr>
          <w:rStyle w:val="CharSectno"/>
        </w:rPr>
        <w:t>302</w:t>
      </w:r>
      <w:r>
        <w:rPr>
          <w:snapToGrid w:val="0"/>
        </w:rPr>
        <w:t>.</w:t>
      </w:r>
      <w:r>
        <w:rPr>
          <w:snapToGrid w:val="0"/>
        </w:rPr>
        <w:tab/>
        <w:t>Deployment and control</w:t>
      </w:r>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For the purposes of the deployment and control of the Force the Commissioner may from time to time —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110" w:name="_Toc500034678"/>
      <w:bookmarkStart w:id="111" w:name="_Toc515769476"/>
      <w:bookmarkStart w:id="112" w:name="_Toc522083157"/>
      <w:bookmarkStart w:id="113" w:name="_Toc123622889"/>
      <w:bookmarkStart w:id="114" w:name="_Toc166925579"/>
      <w:bookmarkStart w:id="115" w:name="_Toc256088240"/>
      <w:bookmarkStart w:id="116" w:name="_Toc218399468"/>
      <w:r>
        <w:rPr>
          <w:rStyle w:val="CharSectno"/>
        </w:rPr>
        <w:t>303</w:t>
      </w:r>
      <w:r>
        <w:rPr>
          <w:snapToGrid w:val="0"/>
        </w:rPr>
        <w:t>.</w:t>
      </w:r>
      <w:r>
        <w:rPr>
          <w:snapToGrid w:val="0"/>
        </w:rPr>
        <w:tab/>
        <w:t>Officers in control</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members, APLOs</w:t>
      </w:r>
      <w:r>
        <w:rPr>
          <w:snapToGrid w:val="0"/>
        </w:rPr>
        <w:t xml:space="preserve"> and cadets 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in Gazette 30 Dec 2008 p. 5644.]</w:t>
      </w:r>
    </w:p>
    <w:p>
      <w:pPr>
        <w:pStyle w:val="Heading5"/>
        <w:rPr>
          <w:snapToGrid w:val="0"/>
        </w:rPr>
      </w:pPr>
      <w:bookmarkStart w:id="117" w:name="_Toc500034679"/>
      <w:bookmarkStart w:id="118" w:name="_Toc515769477"/>
      <w:bookmarkStart w:id="119" w:name="_Toc522083158"/>
      <w:bookmarkStart w:id="120" w:name="_Toc123622890"/>
      <w:bookmarkStart w:id="121" w:name="_Toc166925580"/>
      <w:bookmarkStart w:id="122" w:name="_Toc256088241"/>
      <w:bookmarkStart w:id="123" w:name="_Toc218399469"/>
      <w:r>
        <w:rPr>
          <w:rStyle w:val="CharSectno"/>
        </w:rPr>
        <w:t>304</w:t>
      </w:r>
      <w:r>
        <w:rPr>
          <w:snapToGrid w:val="0"/>
        </w:rPr>
        <w:t>.</w:t>
      </w:r>
      <w:r>
        <w:rPr>
          <w:snapToGrid w:val="0"/>
        </w:rPr>
        <w:tab/>
        <w:t>Officers in charge absent</w:t>
      </w:r>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Subject to this regulation, where — </w:t>
      </w:r>
    </w:p>
    <w:p>
      <w:pPr>
        <w:pStyle w:val="Indenta"/>
        <w:rPr>
          <w:snapToGrid w:val="0"/>
        </w:rPr>
      </w:pPr>
      <w:r>
        <w:rPr>
          <w:snapToGrid w:val="0"/>
        </w:rPr>
        <w:tab/>
        <w:t>(a)</w:t>
      </w:r>
      <w:r>
        <w:rPr>
          <w:snapToGrid w:val="0"/>
        </w:rPr>
        <w:tab/>
        <w:t>an officer in charge of a region is absent from his region;</w:t>
      </w:r>
    </w:p>
    <w:p>
      <w:pPr>
        <w:pStyle w:val="Indenta"/>
        <w:rPr>
          <w:snapToGrid w:val="0"/>
        </w:rPr>
      </w:pPr>
      <w:r>
        <w:rPr>
          <w:snapToGrid w:val="0"/>
        </w:rPr>
        <w:tab/>
        <w:t>(b)</w:t>
      </w:r>
      <w:r>
        <w:rPr>
          <w:snapToGrid w:val="0"/>
        </w:rPr>
        <w:tab/>
        <w:t>an officer in charge of a division is absent from his division;</w:t>
      </w:r>
    </w:p>
    <w:p>
      <w:pPr>
        <w:pStyle w:val="Indenta"/>
        <w:rPr>
          <w:snapToGrid w:val="0"/>
        </w:rPr>
      </w:pPr>
      <w:r>
        <w:rPr>
          <w:snapToGrid w:val="0"/>
        </w:rPr>
        <w:tab/>
        <w:t>(c)</w:t>
      </w:r>
      <w:r>
        <w:rPr>
          <w:snapToGrid w:val="0"/>
        </w:rPr>
        <w:tab/>
        <w:t>an officer in charge of a sub</w:t>
      </w:r>
      <w:r>
        <w:rPr>
          <w:snapToGrid w:val="0"/>
        </w:rPr>
        <w:noBreakHyphen/>
        <w:t>division is absent from his police station or police office,</w:t>
      </w:r>
    </w:p>
    <w:p>
      <w:pPr>
        <w:pStyle w:val="Subsection"/>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Where a divisional officer is absent from his Division the functions, duties and responsibilities of the divisional officer shall be assumed by the officer in charge of the region in which the Division is situated.</w:t>
      </w:r>
    </w:p>
    <w:p>
      <w:pPr>
        <w:pStyle w:val="Heading5"/>
        <w:rPr>
          <w:snapToGrid w:val="0"/>
        </w:rPr>
      </w:pPr>
      <w:bookmarkStart w:id="124" w:name="_Toc500034680"/>
      <w:bookmarkStart w:id="125" w:name="_Toc515769478"/>
      <w:bookmarkStart w:id="126" w:name="_Toc522083159"/>
      <w:bookmarkStart w:id="127" w:name="_Toc123622891"/>
      <w:bookmarkStart w:id="128" w:name="_Toc166925581"/>
      <w:bookmarkStart w:id="129" w:name="_Toc256088242"/>
      <w:bookmarkStart w:id="130" w:name="_Toc218399470"/>
      <w:r>
        <w:rPr>
          <w:rStyle w:val="CharSectno"/>
        </w:rPr>
        <w:t>305</w:t>
      </w:r>
      <w:r>
        <w:rPr>
          <w:snapToGrid w:val="0"/>
        </w:rPr>
        <w:t>.</w:t>
      </w:r>
      <w:r>
        <w:rPr>
          <w:snapToGrid w:val="0"/>
        </w:rPr>
        <w:tab/>
        <w:t>Commissioner may appoint any member when officer in charge absent</w:t>
      </w:r>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131" w:name="_Toc500034681"/>
      <w:bookmarkStart w:id="132" w:name="_Toc515769479"/>
      <w:bookmarkStart w:id="133" w:name="_Toc522083160"/>
      <w:bookmarkStart w:id="134" w:name="_Toc123622892"/>
      <w:bookmarkStart w:id="135" w:name="_Toc166925582"/>
      <w:bookmarkStart w:id="136" w:name="_Toc256088243"/>
      <w:bookmarkStart w:id="137" w:name="_Toc218399471"/>
      <w:r>
        <w:rPr>
          <w:rStyle w:val="CharSectno"/>
        </w:rPr>
        <w:t>306</w:t>
      </w:r>
      <w:r>
        <w:rPr>
          <w:snapToGrid w:val="0"/>
        </w:rPr>
        <w:t>.</w:t>
      </w:r>
      <w:r>
        <w:rPr>
          <w:snapToGrid w:val="0"/>
        </w:rPr>
        <w:tab/>
        <w:t>Senior member to exercise command unless member specially detailed</w:t>
      </w:r>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138" w:name="_Toc500034682"/>
      <w:bookmarkStart w:id="139" w:name="_Toc515769480"/>
      <w:bookmarkStart w:id="140" w:name="_Toc522083161"/>
      <w:bookmarkStart w:id="141" w:name="_Toc123622893"/>
      <w:bookmarkStart w:id="142" w:name="_Toc166925583"/>
      <w:bookmarkStart w:id="143" w:name="_Toc256088244"/>
      <w:bookmarkStart w:id="144" w:name="_Toc218399472"/>
      <w:r>
        <w:rPr>
          <w:rStyle w:val="CharSectno"/>
        </w:rPr>
        <w:t>307</w:t>
      </w:r>
      <w:r>
        <w:rPr>
          <w:snapToGrid w:val="0"/>
        </w:rPr>
        <w:t>.</w:t>
      </w:r>
      <w:r>
        <w:rPr>
          <w:snapToGrid w:val="0"/>
        </w:rPr>
        <w:tab/>
      </w:r>
      <w:r>
        <w:rPr>
          <w:i/>
          <w:snapToGrid w:val="0"/>
        </w:rPr>
        <w:t>Police Gazette</w:t>
      </w:r>
      <w:r>
        <w:rPr>
          <w:snapToGrid w:val="0"/>
        </w:rPr>
        <w:t xml:space="preserve"> to be published</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 xml:space="preserve">For the purposes of the better management and control of the Force and cadets and as a means of keeping the Force and cadets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Heading2"/>
      </w:pPr>
      <w:bookmarkStart w:id="145" w:name="_Toc90976430"/>
      <w:bookmarkStart w:id="146" w:name="_Toc91044662"/>
      <w:bookmarkStart w:id="147" w:name="_Toc91044842"/>
      <w:bookmarkStart w:id="148" w:name="_Toc123621351"/>
      <w:bookmarkStart w:id="149" w:name="_Toc123622894"/>
      <w:bookmarkStart w:id="150" w:name="_Toc153957267"/>
      <w:bookmarkStart w:id="151" w:name="_Toc153958610"/>
      <w:bookmarkStart w:id="152" w:name="_Toc154478689"/>
      <w:bookmarkStart w:id="153" w:name="_Toc161039372"/>
      <w:bookmarkStart w:id="154" w:name="_Toc161039513"/>
      <w:bookmarkStart w:id="155" w:name="_Toc161130266"/>
      <w:bookmarkStart w:id="156" w:name="_Toc163021025"/>
      <w:bookmarkStart w:id="157" w:name="_Toc164759996"/>
      <w:bookmarkStart w:id="158" w:name="_Toc166925584"/>
      <w:bookmarkStart w:id="159" w:name="_Toc182896913"/>
      <w:bookmarkStart w:id="160" w:name="_Toc182897675"/>
      <w:bookmarkStart w:id="161" w:name="_Toc182901833"/>
      <w:bookmarkStart w:id="162" w:name="_Toc198028225"/>
      <w:bookmarkStart w:id="163" w:name="_Toc218399473"/>
      <w:bookmarkStart w:id="164" w:name="_Toc256088245"/>
      <w:r>
        <w:rPr>
          <w:rStyle w:val="CharPartNo"/>
        </w:rPr>
        <w:t>Part IV</w:t>
      </w:r>
      <w:r>
        <w:rPr>
          <w:rStyle w:val="CharDivNo"/>
        </w:rPr>
        <w:t> </w:t>
      </w:r>
      <w:r>
        <w:t>—</w:t>
      </w:r>
      <w:r>
        <w:rPr>
          <w:rStyle w:val="CharDivText"/>
        </w:rPr>
        <w:t> </w:t>
      </w:r>
      <w:r>
        <w:rPr>
          <w:rStyle w:val="CharPartText"/>
        </w:rPr>
        <w:t>Duties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PartText"/>
        </w:rPr>
        <w:t xml:space="preserve"> </w:t>
      </w:r>
    </w:p>
    <w:p>
      <w:pPr>
        <w:pStyle w:val="Heading5"/>
        <w:rPr>
          <w:snapToGrid w:val="0"/>
        </w:rPr>
      </w:pPr>
      <w:bookmarkStart w:id="165" w:name="_Toc500034683"/>
      <w:bookmarkStart w:id="166" w:name="_Toc515769481"/>
      <w:bookmarkStart w:id="167" w:name="_Toc522083162"/>
      <w:bookmarkStart w:id="168" w:name="_Toc123622895"/>
      <w:bookmarkStart w:id="169" w:name="_Toc166925585"/>
      <w:bookmarkStart w:id="170" w:name="_Toc256088246"/>
      <w:bookmarkStart w:id="171" w:name="_Toc218399474"/>
      <w:r>
        <w:rPr>
          <w:rStyle w:val="CharSectno"/>
        </w:rPr>
        <w:t>401</w:t>
      </w:r>
      <w:r>
        <w:rPr>
          <w:snapToGrid w:val="0"/>
        </w:rPr>
        <w:t>.</w:t>
      </w:r>
      <w:r>
        <w:rPr>
          <w:snapToGrid w:val="0"/>
        </w:rPr>
        <w:tab/>
        <w:t>Member and cadet to obey directions</w:t>
      </w:r>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Every member or cadet shall carry out such functions, duties and responsibilities as he is directed by or on behalf of the Commissioner.</w:t>
      </w:r>
    </w:p>
    <w:p>
      <w:pPr>
        <w:pStyle w:val="Heading5"/>
        <w:rPr>
          <w:snapToGrid w:val="0"/>
        </w:rPr>
      </w:pPr>
      <w:bookmarkStart w:id="172" w:name="_Toc500034684"/>
      <w:bookmarkStart w:id="173" w:name="_Toc515769482"/>
      <w:bookmarkStart w:id="174" w:name="_Toc522083163"/>
      <w:bookmarkStart w:id="175" w:name="_Toc123622896"/>
      <w:bookmarkStart w:id="176" w:name="_Toc166925586"/>
      <w:bookmarkStart w:id="177" w:name="_Toc256088247"/>
      <w:bookmarkStart w:id="178" w:name="_Toc218399475"/>
      <w:r>
        <w:rPr>
          <w:rStyle w:val="CharSectno"/>
        </w:rPr>
        <w:t>402</w:t>
      </w:r>
      <w:r>
        <w:rPr>
          <w:snapToGrid w:val="0"/>
        </w:rPr>
        <w:t>.</w:t>
      </w:r>
      <w:r>
        <w:rPr>
          <w:snapToGrid w:val="0"/>
        </w:rPr>
        <w:tab/>
        <w:t>Provisions relating to behaviour</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Every member or cadet shall — </w:t>
      </w:r>
    </w:p>
    <w:p>
      <w:pPr>
        <w:pStyle w:val="Indenta"/>
        <w:rPr>
          <w:snapToGrid w:val="0"/>
        </w:rPr>
      </w:pPr>
      <w:r>
        <w:rPr>
          <w:snapToGrid w:val="0"/>
        </w:rPr>
        <w:tab/>
        <w:t>(a)</w:t>
      </w:r>
      <w:r>
        <w:rPr>
          <w:snapToGrid w:val="0"/>
        </w:rPr>
        <w:tab/>
        <w:t>devote himself exclusively and zealously to the discharge of his duties during his hours of duty;</w:t>
      </w:r>
    </w:p>
    <w:p>
      <w:pPr>
        <w:pStyle w:val="Indenta"/>
        <w:rPr>
          <w:snapToGrid w:val="0"/>
        </w:rPr>
      </w:pPr>
      <w:r>
        <w:rPr>
          <w:snapToGrid w:val="0"/>
        </w:rPr>
        <w:tab/>
        <w:t>(b)</w:t>
      </w:r>
      <w:r>
        <w:rPr>
          <w:snapToGrid w:val="0"/>
        </w:rPr>
        <w:tab/>
        <w:t>behave at all times with courtesy to the public and every member or cadet, and give prompt attention to all reasonable requirements of the public;</w:t>
      </w:r>
    </w:p>
    <w:p>
      <w:pPr>
        <w:pStyle w:val="Indenta"/>
        <w:rPr>
          <w:snapToGrid w:val="0"/>
        </w:rPr>
      </w:pPr>
      <w:r>
        <w:rPr>
          <w:snapToGrid w:val="0"/>
        </w:rPr>
        <w:tab/>
        <w:t>(c)</w:t>
      </w:r>
      <w:r>
        <w:rPr>
          <w:snapToGrid w:val="0"/>
        </w:rPr>
        <w:tab/>
        <w:t>obey promptly all lawful instructions given by any member under whose control or supervision he is placed and, where necessary, act on his own initiative;</w:t>
      </w:r>
    </w:p>
    <w:p>
      <w:pPr>
        <w:pStyle w:val="Indenta"/>
        <w:rPr>
          <w:snapToGrid w:val="0"/>
        </w:rPr>
      </w:pPr>
      <w:r>
        <w:rPr>
          <w:snapToGrid w:val="0"/>
        </w:rPr>
        <w:tab/>
        <w:t>(d)</w:t>
      </w:r>
      <w:r>
        <w:rPr>
          <w:snapToGrid w:val="0"/>
        </w:rPr>
        <w:tab/>
        <w:t>promptly and correctly carry out all duties appertaining to his office, or any other duty he is lawfully directed to perform; and</w:t>
      </w:r>
    </w:p>
    <w:p>
      <w:pPr>
        <w:pStyle w:val="Indenta"/>
        <w:rPr>
          <w:snapToGrid w:val="0"/>
        </w:rPr>
      </w:pPr>
      <w:r>
        <w:rPr>
          <w:snapToGrid w:val="0"/>
        </w:rPr>
        <w:tab/>
        <w:t>(e)</w:t>
      </w:r>
      <w:r>
        <w:rPr>
          <w:snapToGrid w:val="0"/>
        </w:rPr>
        <w:tab/>
        <w:t>in due course and at proper times comply with, and give effect to, all enactments, regulations, rules, orders and administrative instructions made or issued for his guidance in the performance of his duties.</w:t>
      </w:r>
    </w:p>
    <w:p>
      <w:pPr>
        <w:pStyle w:val="Heading5"/>
        <w:rPr>
          <w:snapToGrid w:val="0"/>
        </w:rPr>
      </w:pPr>
      <w:bookmarkStart w:id="179" w:name="_Toc500034685"/>
      <w:bookmarkStart w:id="180" w:name="_Toc515769483"/>
      <w:bookmarkStart w:id="181" w:name="_Toc522083164"/>
      <w:bookmarkStart w:id="182" w:name="_Toc123622897"/>
      <w:bookmarkStart w:id="183" w:name="_Toc166925587"/>
      <w:bookmarkStart w:id="184" w:name="_Toc256088248"/>
      <w:bookmarkStart w:id="185" w:name="_Toc218399476"/>
      <w:r>
        <w:rPr>
          <w:rStyle w:val="CharSectno"/>
        </w:rPr>
        <w:t>403</w:t>
      </w:r>
      <w:r>
        <w:rPr>
          <w:snapToGrid w:val="0"/>
        </w:rPr>
        <w:t>.</w:t>
      </w:r>
      <w:r>
        <w:rPr>
          <w:snapToGrid w:val="0"/>
        </w:rPr>
        <w:tab/>
        <w:t>Proper care to be taken of firearms, etc.</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Every member or cadet shall take proper care of any firearms or ammunition in his care, possession or custody.</w:t>
      </w:r>
    </w:p>
    <w:p>
      <w:pPr>
        <w:pStyle w:val="Heading5"/>
      </w:pPr>
      <w:bookmarkStart w:id="186" w:name="_Toc158523514"/>
      <w:bookmarkStart w:id="187" w:name="_Toc166925588"/>
      <w:bookmarkStart w:id="188" w:name="_Toc256088249"/>
      <w:bookmarkStart w:id="189" w:name="_Toc218399477"/>
      <w:bookmarkStart w:id="190" w:name="_Toc500034687"/>
      <w:bookmarkStart w:id="191" w:name="_Toc515769485"/>
      <w:bookmarkStart w:id="192" w:name="_Toc522083166"/>
      <w:bookmarkStart w:id="193" w:name="_Toc123622899"/>
      <w:bookmarkStart w:id="194" w:name="_Toc500034688"/>
      <w:bookmarkStart w:id="195" w:name="_Toc515769486"/>
      <w:bookmarkStart w:id="196" w:name="_Toc522083167"/>
      <w:bookmarkStart w:id="197" w:name="_Toc123622900"/>
      <w:r>
        <w:rPr>
          <w:rStyle w:val="CharSectno"/>
        </w:rPr>
        <w:t>404</w:t>
      </w:r>
      <w:r>
        <w:t>.</w:t>
      </w:r>
      <w:r>
        <w:tab/>
        <w:t>Station and personal issue firearms</w:t>
      </w:r>
      <w:bookmarkEnd w:id="186"/>
      <w:bookmarkEnd w:id="187"/>
      <w:bookmarkEnd w:id="188"/>
      <w:bookmarkEnd w:id="189"/>
    </w:p>
    <w:p>
      <w:pPr>
        <w:pStyle w:val="Subsection"/>
      </w:pPr>
      <w:r>
        <w:tab/>
        <w:t>(1)</w:t>
      </w:r>
      <w:r>
        <w:tab/>
        <w:t xml:space="preserve">In this regulation —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or cadet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in Gazette 2 Feb 2007 p. 247.]</w:t>
      </w:r>
    </w:p>
    <w:bookmarkEnd w:id="190"/>
    <w:bookmarkEnd w:id="191"/>
    <w:bookmarkEnd w:id="192"/>
    <w:bookmarkEnd w:id="193"/>
    <w:p>
      <w:pPr>
        <w:pStyle w:val="Ednotesection"/>
      </w:pPr>
      <w:r>
        <w:t>[</w:t>
      </w:r>
      <w:r>
        <w:rPr>
          <w:b/>
          <w:bCs/>
        </w:rPr>
        <w:t>405.</w:t>
      </w:r>
      <w:r>
        <w:tab/>
        <w:t>Deleted in Gazette 2 Feb 2007 p. 247.]</w:t>
      </w:r>
    </w:p>
    <w:p>
      <w:pPr>
        <w:pStyle w:val="Ednotesection"/>
      </w:pPr>
      <w:bookmarkStart w:id="198" w:name="_Toc500034689"/>
      <w:bookmarkStart w:id="199" w:name="_Toc515769487"/>
      <w:bookmarkStart w:id="200" w:name="_Toc522083168"/>
      <w:bookmarkStart w:id="201" w:name="_Toc123622901"/>
      <w:bookmarkStart w:id="202" w:name="_Toc166925590"/>
      <w:bookmarkEnd w:id="194"/>
      <w:bookmarkEnd w:id="195"/>
      <w:bookmarkEnd w:id="196"/>
      <w:bookmarkEnd w:id="197"/>
      <w:r>
        <w:t>[</w:t>
      </w:r>
      <w:r>
        <w:rPr>
          <w:b/>
          <w:bCs/>
        </w:rPr>
        <w:t>406.</w:t>
      </w:r>
      <w:r>
        <w:tab/>
        <w:t>Deleted in Gazette 16 Nov 2007 p. 5786.]</w:t>
      </w:r>
    </w:p>
    <w:p>
      <w:pPr>
        <w:pStyle w:val="Heading5"/>
        <w:rPr>
          <w:snapToGrid w:val="0"/>
        </w:rPr>
      </w:pPr>
      <w:bookmarkStart w:id="203" w:name="_Toc256088250"/>
      <w:bookmarkStart w:id="204" w:name="_Toc218399478"/>
      <w:r>
        <w:rPr>
          <w:rStyle w:val="CharSectno"/>
        </w:rPr>
        <w:t>407</w:t>
      </w:r>
      <w:r>
        <w:rPr>
          <w:snapToGrid w:val="0"/>
        </w:rPr>
        <w:t>.</w:t>
      </w:r>
      <w:r>
        <w:rPr>
          <w:snapToGrid w:val="0"/>
        </w:rPr>
        <w:tab/>
        <w:t>Notice of functions, duties and responsibilities of other members</w:t>
      </w:r>
      <w:bookmarkEnd w:id="198"/>
      <w:bookmarkEnd w:id="199"/>
      <w:bookmarkEnd w:id="200"/>
      <w:bookmarkEnd w:id="201"/>
      <w:bookmarkEnd w:id="202"/>
      <w:bookmarkEnd w:id="203"/>
      <w:bookmarkEnd w:id="204"/>
      <w:r>
        <w:rPr>
          <w:snapToGrid w:val="0"/>
        </w:rPr>
        <w:t xml:space="preserve"> </w:t>
      </w:r>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he may give such lawful directions as he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Where a member who receives a direction given pursuant to subregulation (3) disagrees with the direction he shall nevertheless carry out the direction but may report the matter to the Commissioner in the manner directed by the Commissioner.</w:t>
      </w:r>
    </w:p>
    <w:p>
      <w:pPr>
        <w:pStyle w:val="Ednotesection"/>
      </w:pPr>
      <w:bookmarkStart w:id="205" w:name="_Toc90976441"/>
      <w:bookmarkStart w:id="206" w:name="_Toc91044673"/>
      <w:bookmarkStart w:id="207" w:name="_Toc91044853"/>
      <w:bookmarkStart w:id="208" w:name="_Toc123621362"/>
      <w:bookmarkStart w:id="209" w:name="_Toc123622905"/>
      <w:bookmarkStart w:id="210" w:name="_Toc153957278"/>
      <w:bookmarkStart w:id="211" w:name="_Toc153958621"/>
      <w:bookmarkStart w:id="212" w:name="_Toc154478700"/>
      <w:bookmarkStart w:id="213" w:name="_Toc161039382"/>
      <w:bookmarkStart w:id="214" w:name="_Toc161039523"/>
      <w:bookmarkStart w:id="215" w:name="_Toc161130276"/>
      <w:bookmarkStart w:id="216" w:name="_Toc163021035"/>
      <w:bookmarkStart w:id="217" w:name="_Toc164760006"/>
      <w:bookmarkStart w:id="218" w:name="_Toc166925594"/>
      <w:bookmarkStart w:id="219" w:name="_Toc182896923"/>
      <w:r>
        <w:t>[</w:t>
      </w:r>
      <w:r>
        <w:rPr>
          <w:b/>
          <w:bCs/>
        </w:rPr>
        <w:t>408-410.</w:t>
      </w:r>
      <w:r>
        <w:tab/>
        <w:t>Deleted in Gazette 16 Nov 2007 p. 5786.]</w:t>
      </w:r>
    </w:p>
    <w:p>
      <w:pPr>
        <w:pStyle w:val="Heading2"/>
      </w:pPr>
      <w:bookmarkStart w:id="220" w:name="_Toc182897685"/>
      <w:bookmarkStart w:id="221" w:name="_Toc182901839"/>
      <w:bookmarkStart w:id="222" w:name="_Toc198028231"/>
      <w:bookmarkStart w:id="223" w:name="_Toc218399479"/>
      <w:bookmarkStart w:id="224" w:name="_Toc256088251"/>
      <w:r>
        <w:rPr>
          <w:rStyle w:val="CharPartNo"/>
        </w:rPr>
        <w:t>Part V</w:t>
      </w:r>
      <w:r>
        <w:rPr>
          <w:rStyle w:val="CharDivNo"/>
        </w:rPr>
        <w:t> </w:t>
      </w:r>
      <w:r>
        <w:t>—</w:t>
      </w:r>
      <w:r>
        <w:rPr>
          <w:rStyle w:val="CharDivText"/>
        </w:rPr>
        <w:t> </w:t>
      </w:r>
      <w:r>
        <w:rPr>
          <w:rStyle w:val="CharPartText"/>
        </w:rPr>
        <w:t>Appointment</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PartText"/>
        </w:rPr>
        <w:t xml:space="preserve"> </w:t>
      </w:r>
    </w:p>
    <w:p>
      <w:pPr>
        <w:pStyle w:val="Heading5"/>
        <w:rPr>
          <w:snapToGrid w:val="0"/>
        </w:rPr>
      </w:pPr>
      <w:bookmarkStart w:id="225" w:name="_Toc500034693"/>
      <w:bookmarkStart w:id="226" w:name="_Toc515769491"/>
      <w:bookmarkStart w:id="227" w:name="_Toc522083172"/>
      <w:bookmarkStart w:id="228" w:name="_Toc123622906"/>
      <w:bookmarkStart w:id="229" w:name="_Toc166925595"/>
      <w:bookmarkStart w:id="230" w:name="_Toc256088252"/>
      <w:bookmarkStart w:id="231" w:name="_Toc218399480"/>
      <w:r>
        <w:rPr>
          <w:rStyle w:val="CharSectno"/>
        </w:rPr>
        <w:t>501</w:t>
      </w:r>
      <w:r>
        <w:rPr>
          <w:snapToGrid w:val="0"/>
        </w:rPr>
        <w:t>.</w:t>
      </w:r>
      <w:r>
        <w:rPr>
          <w:snapToGrid w:val="0"/>
        </w:rPr>
        <w:tab/>
        <w:t>Application for appointment</w:t>
      </w:r>
      <w:bookmarkEnd w:id="225"/>
      <w:bookmarkEnd w:id="226"/>
      <w:bookmarkEnd w:id="227"/>
      <w:bookmarkEnd w:id="228"/>
      <w:bookmarkEnd w:id="229"/>
      <w:bookmarkEnd w:id="230"/>
      <w:bookmarkEnd w:id="231"/>
      <w:r>
        <w:rPr>
          <w:snapToGrid w:val="0"/>
        </w:rPr>
        <w:t xml:space="preserve"> </w:t>
      </w:r>
    </w:p>
    <w:p>
      <w:pPr>
        <w:pStyle w:val="Subsection"/>
        <w:spacing w:before="140"/>
        <w:rPr>
          <w:snapToGrid w:val="0"/>
        </w:rPr>
      </w:pPr>
      <w:r>
        <w:rPr>
          <w:snapToGrid w:val="0"/>
        </w:rPr>
        <w:tab/>
        <w:t>(1)</w:t>
      </w:r>
      <w:r>
        <w:rPr>
          <w:snapToGrid w:val="0"/>
        </w:rPr>
        <w:tab/>
        <w:t>A person who is desirous of being appointed as a member or a cadet shall apply in his own handwriting to the Commissioner.</w:t>
      </w:r>
    </w:p>
    <w:p>
      <w:pPr>
        <w:pStyle w:val="Subsection"/>
        <w:spacing w:before="140"/>
        <w:rPr>
          <w:snapToGrid w:val="0"/>
        </w:rPr>
      </w:pPr>
      <w:r>
        <w:rPr>
          <w:snapToGrid w:val="0"/>
        </w:rPr>
        <w:tab/>
        <w:t>(2)</w:t>
      </w:r>
      <w:r>
        <w:rPr>
          <w:snapToGrid w:val="0"/>
        </w:rPr>
        <w:tab/>
        <w:t>An application made under subregulation (1) shall be — </w:t>
      </w:r>
    </w:p>
    <w:p>
      <w:pPr>
        <w:pStyle w:val="Indenta"/>
        <w:spacing w:before="60"/>
        <w:rPr>
          <w:snapToGrid w:val="0"/>
        </w:rPr>
      </w:pPr>
      <w:r>
        <w:rPr>
          <w:snapToGrid w:val="0"/>
        </w:rPr>
        <w:tab/>
        <w:t>(a)</w:t>
      </w:r>
      <w:r>
        <w:rPr>
          <w:snapToGrid w:val="0"/>
        </w:rPr>
        <w:tab/>
        <w:t>on the approved form; and</w:t>
      </w:r>
    </w:p>
    <w:p>
      <w:pPr>
        <w:pStyle w:val="Indenta"/>
        <w:spacing w:before="60"/>
        <w:rPr>
          <w:snapToGrid w:val="0"/>
        </w:rPr>
      </w:pPr>
      <w:r>
        <w:rPr>
          <w:snapToGrid w:val="0"/>
        </w:rPr>
        <w:tab/>
        <w:t>(b)</w:t>
      </w:r>
      <w:r>
        <w:rPr>
          <w:snapToGrid w:val="0"/>
        </w:rPr>
        <w:tab/>
        <w:t>accompanied by — </w:t>
      </w:r>
    </w:p>
    <w:p>
      <w:pPr>
        <w:pStyle w:val="Indenti"/>
        <w:spacing w:before="60"/>
        <w:rPr>
          <w:snapToGrid w:val="0"/>
        </w:rPr>
      </w:pPr>
      <w:r>
        <w:rPr>
          <w:snapToGrid w:val="0"/>
        </w:rPr>
        <w:tab/>
        <w:t>(i)</w:t>
      </w:r>
      <w:r>
        <w:rPr>
          <w:snapToGrid w:val="0"/>
        </w:rPr>
        <w:tab/>
        <w:t>evidence of the date of birth of the applicant;</w:t>
      </w:r>
    </w:p>
    <w:p>
      <w:pPr>
        <w:pStyle w:val="Indenti"/>
        <w:spacing w:before="60"/>
        <w:rPr>
          <w:snapToGrid w:val="0"/>
        </w:rPr>
      </w:pPr>
      <w:r>
        <w:rPr>
          <w:snapToGrid w:val="0"/>
        </w:rPr>
        <w:tab/>
        <w:t>(ii)</w:t>
      </w:r>
      <w:r>
        <w:rPr>
          <w:snapToGrid w:val="0"/>
        </w:rPr>
        <w:tab/>
        <w:t>testimonials of character from persons to whom the applicant is known;</w:t>
      </w:r>
    </w:p>
    <w:p>
      <w:pPr>
        <w:pStyle w:val="Indenti"/>
        <w:spacing w:before="60"/>
        <w:rPr>
          <w:snapToGrid w:val="0"/>
        </w:rPr>
      </w:pPr>
      <w:r>
        <w:rPr>
          <w:snapToGrid w:val="0"/>
        </w:rPr>
        <w:tab/>
        <w:t>(iii)</w:t>
      </w:r>
      <w:r>
        <w:rPr>
          <w:snapToGrid w:val="0"/>
        </w:rPr>
        <w:tab/>
        <w:t>where the applicant has had previous service in a police force, the armed services or with a public authority, any certificate issued in respect of that previous service; and</w:t>
      </w:r>
    </w:p>
    <w:p>
      <w:pPr>
        <w:pStyle w:val="Indenti"/>
        <w:spacing w:before="60"/>
        <w:rPr>
          <w:snapToGrid w:val="0"/>
        </w:rPr>
      </w:pPr>
      <w:r>
        <w:rPr>
          <w:snapToGrid w:val="0"/>
        </w:rPr>
        <w:tab/>
        <w:t>(iv)</w:t>
      </w:r>
      <w:r>
        <w:rPr>
          <w:snapToGrid w:val="0"/>
        </w:rPr>
        <w:tab/>
        <w:t>unless otherwise required by the Commissioner, a certificate from a medical practitioner in the form of Form 1 in the Third Schedule.</w:t>
      </w:r>
    </w:p>
    <w:p>
      <w:pPr>
        <w:pStyle w:val="Footnotesection"/>
      </w:pPr>
      <w:r>
        <w:tab/>
        <w:t xml:space="preserve">[Regulation 501 amended in Gazette 22 Jan 1988 p. 128.] </w:t>
      </w:r>
    </w:p>
    <w:p>
      <w:pPr>
        <w:pStyle w:val="Heading5"/>
        <w:rPr>
          <w:snapToGrid w:val="0"/>
        </w:rPr>
      </w:pPr>
      <w:bookmarkStart w:id="232" w:name="_Toc500034694"/>
      <w:bookmarkStart w:id="233" w:name="_Toc515769492"/>
      <w:bookmarkStart w:id="234" w:name="_Toc522083173"/>
      <w:bookmarkStart w:id="235" w:name="_Toc123622907"/>
      <w:bookmarkStart w:id="236" w:name="_Toc166925596"/>
      <w:bookmarkStart w:id="237" w:name="_Toc256088253"/>
      <w:bookmarkStart w:id="238" w:name="_Toc218399481"/>
      <w:r>
        <w:rPr>
          <w:rStyle w:val="CharSectno"/>
        </w:rPr>
        <w:t>502</w:t>
      </w:r>
      <w:r>
        <w:rPr>
          <w:snapToGrid w:val="0"/>
        </w:rPr>
        <w:t>.</w:t>
      </w:r>
      <w:r>
        <w:rPr>
          <w:snapToGrid w:val="0"/>
        </w:rPr>
        <w:tab/>
        <w:t>Eligibility for appointment</w:t>
      </w:r>
      <w:bookmarkEnd w:id="232"/>
      <w:bookmarkEnd w:id="233"/>
      <w:bookmarkEnd w:id="234"/>
      <w:bookmarkEnd w:id="235"/>
      <w:bookmarkEnd w:id="236"/>
      <w:bookmarkEnd w:id="237"/>
      <w:bookmarkEnd w:id="238"/>
      <w:r>
        <w:rPr>
          <w:snapToGrid w:val="0"/>
        </w:rPr>
        <w:t xml:space="preserve"> </w:t>
      </w:r>
    </w:p>
    <w:p>
      <w:pPr>
        <w:pStyle w:val="Subsection"/>
        <w:spacing w:before="140"/>
        <w:rPr>
          <w:snapToGrid w:val="0"/>
        </w:rPr>
      </w:pPr>
      <w:r>
        <w:rPr>
          <w:snapToGrid w:val="0"/>
        </w:rPr>
        <w:tab/>
        <w:t>(1)</w:t>
      </w:r>
      <w:r>
        <w:rPr>
          <w:snapToGrid w:val="0"/>
        </w:rPr>
        <w:tab/>
        <w:t>Subject to these regulations, a person is not eligible for appointment</w:t>
      </w:r>
      <w:r>
        <w:t xml:space="preserve"> </w:t>
      </w:r>
      <w:ins w:id="239" w:author="Master Repository Process" w:date="2021-09-11T18:14:00Z">
        <w:r>
          <w:t>as a member or cadet</w:t>
        </w:r>
        <w:r>
          <w:rPr>
            <w:snapToGrid w:val="0"/>
          </w:rPr>
          <w:t xml:space="preserve"> </w:t>
        </w:r>
      </w:ins>
      <w:r>
        <w:rPr>
          <w:snapToGrid w:val="0"/>
        </w:rPr>
        <w:t>unless — </w:t>
      </w:r>
    </w:p>
    <w:p>
      <w:pPr>
        <w:pStyle w:val="Indenta"/>
      </w:pPr>
      <w:r>
        <w:tab/>
        <w:t>(a)</w:t>
      </w:r>
      <w:r>
        <w:tab/>
        <w:t xml:space="preserve">he is — </w:t>
      </w:r>
    </w:p>
    <w:p>
      <w:pPr>
        <w:pStyle w:val="Indenti"/>
      </w:pPr>
      <w:r>
        <w:tab/>
        <w:t>(i)</w:t>
      </w:r>
      <w:r>
        <w:tab/>
        <w:t xml:space="preserve">an Australian citizen, or a permanent resident, within the meaning of the </w:t>
      </w:r>
      <w:r>
        <w:rPr>
          <w:i/>
          <w:iCs/>
        </w:rPr>
        <w:t xml:space="preserve">Australian Citizenship Act 2007 </w:t>
      </w:r>
      <w:r>
        <w:t>of the Commonwealth; or</w:t>
      </w:r>
    </w:p>
    <w:p>
      <w:pPr>
        <w:pStyle w:val="Indenti"/>
      </w:pPr>
      <w:r>
        <w:tab/>
        <w:t>(ii)</w:t>
      </w:r>
      <w:r>
        <w:tab/>
        <w:t xml:space="preserve">the holder of a temporary visa within the meaning of the </w:t>
      </w:r>
      <w:r>
        <w:rPr>
          <w:i/>
        </w:rPr>
        <w:t xml:space="preserve">Migration Act 1958 </w:t>
      </w:r>
      <w:r>
        <w:t>of the Commonwealth and is authorised by that temporary visa to engage in relevant work in Australia;</w:t>
      </w:r>
    </w:p>
    <w:p>
      <w:pPr>
        <w:pStyle w:val="Indenta"/>
      </w:pPr>
      <w:r>
        <w:tab/>
      </w:r>
      <w:r>
        <w:tab/>
        <w:t>and</w:t>
      </w:r>
    </w:p>
    <w:p>
      <w:pPr>
        <w:pStyle w:val="Indenta"/>
        <w:keepNext/>
        <w:keepLines/>
        <w:spacing w:before="60"/>
        <w:rPr>
          <w:snapToGrid w:val="0"/>
        </w:rPr>
      </w:pPr>
      <w:r>
        <w:rPr>
          <w:snapToGrid w:val="0"/>
        </w:rPr>
        <w:tab/>
        <w:t>(b)</w:t>
      </w:r>
      <w:r>
        <w:rPr>
          <w:snapToGrid w:val="0"/>
        </w:rPr>
        <w:tab/>
        <w:t>he is of good character and repute; and</w:t>
      </w:r>
    </w:p>
    <w:p>
      <w:pPr>
        <w:pStyle w:val="Ednotepara"/>
        <w:spacing w:before="60"/>
        <w:ind w:left="1610" w:hanging="1610"/>
        <w:rPr>
          <w:snapToGrid w:val="0"/>
        </w:rPr>
      </w:pPr>
      <w:r>
        <w:rPr>
          <w:snapToGrid w:val="0"/>
        </w:rPr>
        <w:tab/>
        <w:t>[(c)</w:t>
      </w:r>
      <w:r>
        <w:rPr>
          <w:snapToGrid w:val="0"/>
        </w:rPr>
        <w:tab/>
        <w:t xml:space="preserve">deleted] </w:t>
      </w:r>
    </w:p>
    <w:p>
      <w:pPr>
        <w:pStyle w:val="Indenta"/>
        <w:spacing w:before="60"/>
        <w:rPr>
          <w:snapToGrid w:val="0"/>
        </w:rPr>
      </w:pPr>
      <w:r>
        <w:rPr>
          <w:snapToGrid w:val="0"/>
        </w:rPr>
        <w:tab/>
        <w:t>(d)</w:t>
      </w:r>
      <w:r>
        <w:rPr>
          <w:snapToGrid w:val="0"/>
        </w:rPr>
        <w:tab/>
        <w:t>he passes a medical examination conducted by a legally qualified medical practitioner who certifies that he is physically fit and free from any constitutional, organic or other disability likely to render him unfit for duty as a member or cadet; and</w:t>
      </w:r>
    </w:p>
    <w:p>
      <w:pPr>
        <w:pStyle w:val="Indenta"/>
        <w:rPr>
          <w:snapToGrid w:val="0"/>
        </w:rPr>
      </w:pPr>
      <w:r>
        <w:rPr>
          <w:snapToGrid w:val="0"/>
        </w:rPr>
        <w:tab/>
        <w:t>(e)</w:t>
      </w:r>
      <w:r>
        <w:rPr>
          <w:snapToGrid w:val="0"/>
        </w:rPr>
        <w:tab/>
        <w:t>he is — </w:t>
      </w:r>
    </w:p>
    <w:p>
      <w:pPr>
        <w:pStyle w:val="Indenti"/>
        <w:rPr>
          <w:snapToGrid w:val="0"/>
        </w:rPr>
      </w:pPr>
      <w:r>
        <w:rPr>
          <w:snapToGrid w:val="0"/>
        </w:rPr>
        <w:tab/>
        <w:t>(i)</w:t>
      </w:r>
      <w:r>
        <w:rPr>
          <w:snapToGrid w:val="0"/>
        </w:rPr>
        <w:tab/>
        <w:t>in the case of an application for appointment as a member not less than 18 years of age;</w:t>
      </w:r>
    </w:p>
    <w:p>
      <w:pPr>
        <w:pStyle w:val="Indenti"/>
        <w:rPr>
          <w:snapToGrid w:val="0"/>
        </w:rPr>
      </w:pPr>
      <w:r>
        <w:rPr>
          <w:snapToGrid w:val="0"/>
        </w:rPr>
        <w:tab/>
        <w:t>(ii)</w:t>
      </w:r>
      <w:r>
        <w:rPr>
          <w:snapToGrid w:val="0"/>
        </w:rPr>
        <w:tab/>
        <w:t xml:space="preserve">in the case of an application for appointment as a cadet not less than 16 years of age and not more than 18 years of age,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he has — </w:t>
      </w:r>
    </w:p>
    <w:p>
      <w:pPr>
        <w:pStyle w:val="Indenti"/>
        <w:rPr>
          <w:snapToGrid w:val="0"/>
        </w:rPr>
      </w:pPr>
      <w:r>
        <w:rPr>
          <w:snapToGrid w:val="0"/>
        </w:rPr>
        <w:tab/>
        <w:t>(i)</w:t>
      </w:r>
      <w:r>
        <w:rPr>
          <w:snapToGrid w:val="0"/>
        </w:rPr>
        <w:tab/>
        <w:t>in the case of an application for appointment as a member, successfully completed at least Year 10 of school education in a school in Western Australia or has achieved an equivalent standard;</w:t>
      </w:r>
    </w:p>
    <w:p>
      <w:pPr>
        <w:pStyle w:val="Indenti"/>
        <w:rPr>
          <w:snapToGrid w:val="0"/>
        </w:rPr>
      </w:pPr>
      <w:r>
        <w:rPr>
          <w:snapToGrid w:val="0"/>
        </w:rPr>
        <w:tab/>
        <w:t>(ii)</w:t>
      </w:r>
      <w:r>
        <w:rPr>
          <w:snapToGrid w:val="0"/>
        </w:rPr>
        <w:tab/>
        <w:t>in the case of an application for appointment as a cadet, successfully completed at least Year 11 of school education in a school in Western Australia or has achieved an equivalent standard;</w:t>
      </w:r>
    </w:p>
    <w:p>
      <w:pPr>
        <w:pStyle w:val="Indenti"/>
      </w:pPr>
      <w:r>
        <w:tab/>
        <w:t>(iii)</w:t>
      </w:r>
      <w:r>
        <w:tab/>
        <w:t>unless the Commissioner in a particular case approves otherwise, in the case of an appointment as a member or cadet, passed the entrance examination prescribed by regulation 503;</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in the case of an application for appointment as a member, and if required to do so by the Commissioner, he passes a physical performance evaluation conducted by a person appointed for that purpose by the Commissioner; and</w:t>
      </w:r>
    </w:p>
    <w:p>
      <w:pPr>
        <w:pStyle w:val="Indenta"/>
        <w:rPr>
          <w:snapToGrid w:val="0"/>
        </w:rPr>
      </w:pPr>
      <w:r>
        <w:rPr>
          <w:snapToGrid w:val="0"/>
        </w:rPr>
        <w:tab/>
        <w:t>(h)</w:t>
      </w:r>
      <w:r>
        <w:rPr>
          <w:snapToGrid w:val="0"/>
        </w:rPr>
        <w:tab/>
        <w:t>if required to do so by the Commissioner, he presents himself for personal interview by a Board of Selectors.</w:t>
      </w:r>
    </w:p>
    <w:p>
      <w:pPr>
        <w:pStyle w:val="Subsection"/>
        <w:spacing w:before="120"/>
        <w:rPr>
          <w:snapToGrid w:val="0"/>
        </w:rPr>
      </w:pPr>
      <w:r>
        <w:rPr>
          <w:snapToGrid w:val="0"/>
        </w:rPr>
        <w:tab/>
        <w:t>(2)</w:t>
      </w:r>
      <w:r>
        <w:rPr>
          <w:snapToGrid w:val="0"/>
        </w:rPr>
        <w:tab/>
        <w:t>The activities to be undertaken by an applicant for appointment as a member, for the purposes of a physical performance evaluation required under subregulation (1)(g), shall be as determined by the Commissioner.</w:t>
      </w:r>
    </w:p>
    <w:p>
      <w:pPr>
        <w:pStyle w:val="Footnotesection"/>
      </w:pPr>
      <w:r>
        <w:tab/>
        <w:t>[Regulation 502 amended in Gazette 1 Mar 1985 p. 790; 22 Jan 1988 p. 128; 20 Sep 1996 p. 4750; 17 Dec 2004 p. 6087; 16 Nov 2007 p. 5786-7; 30 Dec 2008 p. 5644</w:t>
      </w:r>
      <w:r>
        <w:noBreakHyphen/>
        <w:t>5</w:t>
      </w:r>
      <w:ins w:id="240" w:author="Master Repository Process" w:date="2021-09-11T18:14:00Z">
        <w:r>
          <w:t>; 12 Mar 2010 p. 954</w:t>
        </w:r>
      </w:ins>
      <w:r>
        <w:t xml:space="preserve">.] </w:t>
      </w:r>
    </w:p>
    <w:p>
      <w:pPr>
        <w:pStyle w:val="Heading5"/>
        <w:spacing w:before="180"/>
      </w:pPr>
      <w:bookmarkStart w:id="241" w:name="_Toc500034695"/>
      <w:bookmarkStart w:id="242" w:name="_Toc515769493"/>
      <w:bookmarkStart w:id="243" w:name="_Toc522083174"/>
      <w:bookmarkStart w:id="244" w:name="_Toc123622908"/>
      <w:bookmarkStart w:id="245" w:name="_Toc166925597"/>
      <w:bookmarkStart w:id="246" w:name="_Toc256088254"/>
      <w:bookmarkStart w:id="247" w:name="_Toc218399482"/>
      <w:r>
        <w:rPr>
          <w:rStyle w:val="CharSectno"/>
        </w:rPr>
        <w:t>503</w:t>
      </w:r>
      <w:r>
        <w:t>.</w:t>
      </w:r>
      <w:r>
        <w:tab/>
        <w:t>Entrance examination</w:t>
      </w:r>
      <w:bookmarkEnd w:id="241"/>
      <w:bookmarkEnd w:id="242"/>
      <w:bookmarkEnd w:id="243"/>
      <w:bookmarkEnd w:id="244"/>
      <w:bookmarkEnd w:id="245"/>
      <w:bookmarkEnd w:id="246"/>
      <w:bookmarkEnd w:id="247"/>
      <w:r>
        <w:t xml:space="preserve"> </w:t>
      </w:r>
    </w:p>
    <w:p>
      <w:pPr>
        <w:pStyle w:val="Subsection"/>
        <w:spacing w:before="120"/>
        <w:rPr>
          <w:snapToGrid w:val="0"/>
        </w:rPr>
      </w:pPr>
      <w:r>
        <w:rPr>
          <w:snapToGrid w:val="0"/>
        </w:rPr>
        <w:tab/>
      </w:r>
      <w:r>
        <w:rPr>
          <w:snapToGrid w:val="0"/>
        </w:rPr>
        <w:tab/>
        <w:t>The entrance examination</w:t>
      </w:r>
      <w:r>
        <w:t xml:space="preserve"> referred to in regulation 502(1)(f)(iii)</w:t>
      </w:r>
      <w:r>
        <w:rPr>
          <w:snapToGrid w:val="0"/>
        </w:rPr>
        <w:t xml:space="preserve"> shall consist of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a written examination in English expression, covering both grammar and spelling; and</w:t>
      </w:r>
    </w:p>
    <w:p>
      <w:pPr>
        <w:pStyle w:val="Indenta"/>
        <w:spacing w:before="60"/>
        <w:rPr>
          <w:snapToGrid w:val="0"/>
        </w:rPr>
      </w:pPr>
      <w:r>
        <w:rPr>
          <w:snapToGrid w:val="0"/>
        </w:rPr>
        <w:tab/>
        <w:t>(c)</w:t>
      </w:r>
      <w:r>
        <w:rPr>
          <w:snapToGrid w:val="0"/>
        </w:rPr>
        <w:tab/>
        <w:t>arithmetic.</w:t>
      </w:r>
    </w:p>
    <w:p>
      <w:pPr>
        <w:pStyle w:val="Footnotesection"/>
      </w:pPr>
      <w:r>
        <w:tab/>
        <w:t xml:space="preserve">[Regulation 503 amended in Gazette 18 Nov 1988 p. 4532; 16 Nov 2007 p. 5787.] </w:t>
      </w:r>
    </w:p>
    <w:p>
      <w:pPr>
        <w:pStyle w:val="Heading5"/>
        <w:spacing w:before="180"/>
        <w:rPr>
          <w:snapToGrid w:val="0"/>
        </w:rPr>
      </w:pPr>
      <w:bookmarkStart w:id="248" w:name="_Toc500034696"/>
      <w:bookmarkStart w:id="249" w:name="_Toc515769494"/>
      <w:bookmarkStart w:id="250" w:name="_Toc522083175"/>
      <w:bookmarkStart w:id="251" w:name="_Toc123622909"/>
      <w:bookmarkStart w:id="252" w:name="_Toc166925598"/>
      <w:bookmarkStart w:id="253" w:name="_Toc256088255"/>
      <w:bookmarkStart w:id="254" w:name="_Toc218399483"/>
      <w:r>
        <w:rPr>
          <w:rStyle w:val="CharSectno"/>
        </w:rPr>
        <w:t>504</w:t>
      </w:r>
      <w:r>
        <w:rPr>
          <w:snapToGrid w:val="0"/>
        </w:rPr>
        <w:t>.</w:t>
      </w:r>
      <w:r>
        <w:rPr>
          <w:snapToGrid w:val="0"/>
        </w:rPr>
        <w:tab/>
        <w:t>Board of Selectors</w:t>
      </w:r>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For the purposes of regulation 502(1)(h), the Commissioner may appoint a Board of Selectors, which shall have a membership as follows — </w:t>
      </w:r>
    </w:p>
    <w:p>
      <w:pPr>
        <w:pStyle w:val="Indenta"/>
        <w:spacing w:before="60"/>
        <w:rPr>
          <w:snapToGrid w:val="0"/>
        </w:rPr>
      </w:pPr>
      <w:r>
        <w:rPr>
          <w:snapToGrid w:val="0"/>
        </w:rPr>
        <w:tab/>
        <w:t>(a)</w:t>
      </w:r>
      <w:r>
        <w:rPr>
          <w:snapToGrid w:val="0"/>
        </w:rPr>
        <w:tab/>
        <w:t>as to number — </w:t>
      </w:r>
    </w:p>
    <w:p>
      <w:pPr>
        <w:pStyle w:val="Indenti"/>
        <w:rPr>
          <w:snapToGrid w:val="0"/>
        </w:rPr>
      </w:pPr>
      <w:r>
        <w:rPr>
          <w:snapToGrid w:val="0"/>
        </w:rPr>
        <w:tab/>
        <w:t>(i)</w:t>
      </w:r>
      <w:r>
        <w:rPr>
          <w:snapToGrid w:val="0"/>
        </w:rPr>
        <w:tab/>
        <w:t>in the absence of specific reasons for contrary action, 3 members; but</w:t>
      </w:r>
    </w:p>
    <w:p>
      <w:pPr>
        <w:pStyle w:val="Indenti"/>
        <w:rPr>
          <w:snapToGrid w:val="0"/>
        </w:rPr>
      </w:pPr>
      <w:r>
        <w:rPr>
          <w:snapToGrid w:val="0"/>
        </w:rPr>
        <w:tab/>
        <w:t>(ii)</w:t>
      </w:r>
      <w:r>
        <w:rPr>
          <w:snapToGrid w:val="0"/>
        </w:rPr>
        <w:tab/>
        <w:t>in any case a minimum of 2 members and a maximum of 4 members;</w:t>
      </w:r>
    </w:p>
    <w:p>
      <w:pPr>
        <w:pStyle w:val="Indenta"/>
        <w:spacing w:before="60"/>
        <w:rPr>
          <w:snapToGrid w:val="0"/>
        </w:rPr>
      </w:pPr>
      <w:r>
        <w:rPr>
          <w:snapToGrid w:val="0"/>
        </w:rPr>
        <w:tab/>
        <w:t>(b)</w:t>
      </w:r>
      <w:r>
        <w:rPr>
          <w:snapToGrid w:val="0"/>
        </w:rPr>
        <w:tab/>
        <w:t>as to sex, in the absence of specific reasons for contrary action, members of each sex; and</w:t>
      </w:r>
    </w:p>
    <w:p>
      <w:pPr>
        <w:pStyle w:val="Indenta"/>
        <w:spacing w:before="60"/>
        <w:rPr>
          <w:snapToGrid w:val="0"/>
        </w:rPr>
      </w:pPr>
      <w:r>
        <w:rPr>
          <w:snapToGrid w:val="0"/>
        </w:rPr>
        <w:tab/>
        <w:t>(c)</w:t>
      </w:r>
      <w:r>
        <w:rPr>
          <w:snapToGrid w:val="0"/>
        </w:rPr>
        <w:tab/>
        <w:t>as to status, a member may be a commissioned officer, a senior sergeant or a person who is a retired commissioned officer, except that a commissioned officer shall be appointed to be chairman.</w:t>
      </w:r>
    </w:p>
    <w:p>
      <w:pPr>
        <w:pStyle w:val="Footnotesection"/>
      </w:pPr>
      <w:r>
        <w:tab/>
        <w:t xml:space="preserve">[Regulation 504 inserted in Gazette 1 Dec 1989 p. 4395.] </w:t>
      </w:r>
    </w:p>
    <w:p>
      <w:pPr>
        <w:pStyle w:val="Heading5"/>
        <w:rPr>
          <w:snapToGrid w:val="0"/>
        </w:rPr>
      </w:pPr>
      <w:bookmarkStart w:id="255" w:name="_Toc500034697"/>
      <w:bookmarkStart w:id="256" w:name="_Toc515769495"/>
      <w:bookmarkStart w:id="257" w:name="_Toc522083176"/>
      <w:bookmarkStart w:id="258" w:name="_Toc123622910"/>
      <w:bookmarkStart w:id="259" w:name="_Toc166925599"/>
      <w:bookmarkStart w:id="260" w:name="_Toc256088256"/>
      <w:bookmarkStart w:id="261" w:name="_Toc218399484"/>
      <w:r>
        <w:rPr>
          <w:rStyle w:val="CharSectno"/>
        </w:rPr>
        <w:t>505</w:t>
      </w:r>
      <w:r>
        <w:rPr>
          <w:snapToGrid w:val="0"/>
        </w:rPr>
        <w:t>.</w:t>
      </w:r>
      <w:r>
        <w:rPr>
          <w:snapToGrid w:val="0"/>
        </w:rPr>
        <w:tab/>
        <w:t>Member in possession of information about applicant</w:t>
      </w:r>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Where a member possesses any information about any applicant that should be brought to the attention of the Commissioner, the member shall immediately communicate that information to his officer in charge for forwarding to the Officer</w:t>
      </w:r>
      <w:r>
        <w:rPr>
          <w:snapToGrid w:val="0"/>
        </w:rPr>
        <w:noBreakHyphen/>
        <w:t>in</w:t>
      </w:r>
      <w:r>
        <w:rPr>
          <w:snapToGrid w:val="0"/>
        </w:rPr>
        <w:noBreakHyphen/>
        <w:t>Charge, Recruiting.</w:t>
      </w:r>
    </w:p>
    <w:p>
      <w:pPr>
        <w:pStyle w:val="Heading5"/>
        <w:rPr>
          <w:snapToGrid w:val="0"/>
        </w:rPr>
      </w:pPr>
      <w:bookmarkStart w:id="262" w:name="_Toc500034698"/>
      <w:bookmarkStart w:id="263" w:name="_Toc515769496"/>
      <w:bookmarkStart w:id="264" w:name="_Toc522083177"/>
      <w:bookmarkStart w:id="265" w:name="_Toc123622911"/>
      <w:bookmarkStart w:id="266" w:name="_Toc166925600"/>
      <w:bookmarkStart w:id="267" w:name="_Toc256088257"/>
      <w:bookmarkStart w:id="268" w:name="_Toc218399485"/>
      <w:r>
        <w:rPr>
          <w:rStyle w:val="CharSectno"/>
        </w:rPr>
        <w:t>505A</w:t>
      </w:r>
      <w:r>
        <w:rPr>
          <w:snapToGrid w:val="0"/>
        </w:rPr>
        <w:t xml:space="preserve">. </w:t>
      </w:r>
      <w:r>
        <w:rPr>
          <w:snapToGrid w:val="0"/>
        </w:rPr>
        <w:tab/>
        <w:t>Probationary period</w:t>
      </w:r>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 person appointed as a member is on probation for a period of 2 years beginning on the day of his induction into the Police Academy or, where the person did not attend the Police Academy, beginning on the day of his appointment as a member.</w:t>
      </w:r>
    </w:p>
    <w:p>
      <w:pPr>
        <w:pStyle w:val="Subsection"/>
        <w:rPr>
          <w:snapToGrid w:val="0"/>
        </w:rPr>
      </w:pPr>
      <w:r>
        <w:rPr>
          <w:snapToGrid w:val="0"/>
        </w:rPr>
        <w:tab/>
        <w:t>(2)</w:t>
      </w:r>
      <w:r>
        <w:rPr>
          <w:snapToGrid w:val="0"/>
        </w:rPr>
        <w:tab/>
        <w:t>Where the Commissioner is of the opinion that a member on probation will not give satisfactory service, he may, subject to the approval of the Minister remove the member from the Force.</w:t>
      </w:r>
    </w:p>
    <w:p>
      <w:pPr>
        <w:pStyle w:val="Subsection"/>
        <w:rPr>
          <w:snapToGrid w:val="0"/>
        </w:rPr>
      </w:pPr>
      <w:r>
        <w:rPr>
          <w:snapToGrid w:val="0"/>
        </w:rPr>
        <w:tab/>
        <w:t>(3)</w:t>
      </w:r>
      <w:r>
        <w:rPr>
          <w:snapToGrid w:val="0"/>
        </w:rPr>
        <w:tab/>
        <w:t>The Commissioner may, at his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 xml:space="preserve">[Regulation 505A inserted in Gazette 1 Mar 1985 p. 790; amended in Gazette 14 Jul 1992 p. 3365.] </w:t>
      </w:r>
    </w:p>
    <w:p>
      <w:pPr>
        <w:pStyle w:val="Heading2"/>
      </w:pPr>
      <w:bookmarkStart w:id="269" w:name="_Toc90976448"/>
      <w:bookmarkStart w:id="270" w:name="_Toc91044680"/>
      <w:bookmarkStart w:id="271" w:name="_Toc91044860"/>
      <w:bookmarkStart w:id="272" w:name="_Toc123621369"/>
      <w:bookmarkStart w:id="273" w:name="_Toc123622912"/>
      <w:bookmarkStart w:id="274" w:name="_Toc153957285"/>
      <w:bookmarkStart w:id="275" w:name="_Toc153958628"/>
      <w:bookmarkStart w:id="276" w:name="_Toc154478707"/>
      <w:bookmarkStart w:id="277" w:name="_Toc161039389"/>
      <w:bookmarkStart w:id="278" w:name="_Toc161039530"/>
      <w:bookmarkStart w:id="279" w:name="_Toc161130283"/>
      <w:bookmarkStart w:id="280" w:name="_Toc163021042"/>
      <w:bookmarkStart w:id="281" w:name="_Toc164760013"/>
      <w:bookmarkStart w:id="282" w:name="_Toc166925601"/>
      <w:bookmarkStart w:id="283" w:name="_Toc182896930"/>
      <w:bookmarkStart w:id="284" w:name="_Toc182897692"/>
      <w:bookmarkStart w:id="285" w:name="_Toc182901846"/>
      <w:bookmarkStart w:id="286" w:name="_Toc198028238"/>
      <w:bookmarkStart w:id="287" w:name="_Toc218399486"/>
      <w:bookmarkStart w:id="288" w:name="_Toc256088258"/>
      <w:r>
        <w:rPr>
          <w:rStyle w:val="CharPartNo"/>
        </w:rPr>
        <w:t>Part VI</w:t>
      </w:r>
      <w:r>
        <w:rPr>
          <w:rStyle w:val="CharDivNo"/>
        </w:rPr>
        <w:t> </w:t>
      </w:r>
      <w:r>
        <w:t>—</w:t>
      </w:r>
      <w:r>
        <w:rPr>
          <w:rStyle w:val="CharDivText"/>
        </w:rPr>
        <w:t> </w:t>
      </w:r>
      <w:r>
        <w:rPr>
          <w:rStyle w:val="CharPartText"/>
        </w:rPr>
        <w:t>General rules relating to discipline</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PartText"/>
        </w:rPr>
        <w:t xml:space="preserve"> </w:t>
      </w:r>
    </w:p>
    <w:p>
      <w:pPr>
        <w:pStyle w:val="Heading5"/>
        <w:rPr>
          <w:snapToGrid w:val="0"/>
        </w:rPr>
      </w:pPr>
      <w:bookmarkStart w:id="289" w:name="_Toc500034699"/>
      <w:bookmarkStart w:id="290" w:name="_Toc515769497"/>
      <w:bookmarkStart w:id="291" w:name="_Toc522083178"/>
      <w:bookmarkStart w:id="292" w:name="_Toc123622913"/>
      <w:bookmarkStart w:id="293" w:name="_Toc166925602"/>
      <w:bookmarkStart w:id="294" w:name="_Toc256088259"/>
      <w:bookmarkStart w:id="295" w:name="_Toc218399487"/>
      <w:r>
        <w:rPr>
          <w:rStyle w:val="CharSectno"/>
        </w:rPr>
        <w:t>601</w:t>
      </w:r>
      <w:r>
        <w:rPr>
          <w:snapToGrid w:val="0"/>
        </w:rPr>
        <w:t>.</w:t>
      </w:r>
      <w:r>
        <w:rPr>
          <w:snapToGrid w:val="0"/>
        </w:rPr>
        <w:tab/>
        <w:t>Acting in manner prejudicial to the Force</w:t>
      </w:r>
      <w:bookmarkEnd w:id="289"/>
      <w:bookmarkEnd w:id="290"/>
      <w:bookmarkEnd w:id="291"/>
      <w:bookmarkEnd w:id="292"/>
      <w:bookmarkEnd w:id="293"/>
      <w:bookmarkEnd w:id="294"/>
      <w:bookmarkEnd w:id="295"/>
      <w:r>
        <w:rPr>
          <w:snapToGrid w:val="0"/>
        </w:rPr>
        <w:t xml:space="preserve"> </w:t>
      </w:r>
    </w:p>
    <w:p>
      <w:pPr>
        <w:pStyle w:val="Subsection"/>
        <w:spacing w:before="140"/>
        <w:rPr>
          <w:snapToGrid w:val="0"/>
        </w:rPr>
      </w:pPr>
      <w:r>
        <w:rPr>
          <w:snapToGrid w:val="0"/>
        </w:rPr>
        <w:tab/>
        <w:t>(1)</w:t>
      </w:r>
      <w:r>
        <w:rPr>
          <w:snapToGrid w:val="0"/>
        </w:rPr>
        <w:tab/>
        <w:t>A member or cadet shall not act in a disorderly manner, or any manner prejudicial to discipline of the Force.</w:t>
      </w:r>
    </w:p>
    <w:p>
      <w:pPr>
        <w:pStyle w:val="Subsection"/>
        <w:spacing w:before="140"/>
        <w:rPr>
          <w:snapToGrid w:val="0"/>
        </w:rPr>
      </w:pPr>
      <w:r>
        <w:rPr>
          <w:snapToGrid w:val="0"/>
        </w:rPr>
        <w:tab/>
        <w:t>(2)</w:t>
      </w:r>
      <w:r>
        <w:rPr>
          <w:snapToGrid w:val="0"/>
        </w:rPr>
        <w:tab/>
        <w:t>A member or a cadet shall not act in a manner that is likely to bring discredit on the Force or in a manner that is unbecoming of a member of the Force or a cadet, as the case may be.</w:t>
      </w:r>
    </w:p>
    <w:p>
      <w:pPr>
        <w:pStyle w:val="Heading5"/>
        <w:rPr>
          <w:snapToGrid w:val="0"/>
        </w:rPr>
      </w:pPr>
      <w:bookmarkStart w:id="296" w:name="_Toc500034700"/>
      <w:bookmarkStart w:id="297" w:name="_Toc515769498"/>
      <w:bookmarkStart w:id="298" w:name="_Toc522083179"/>
      <w:bookmarkStart w:id="299" w:name="_Toc123622914"/>
      <w:bookmarkStart w:id="300" w:name="_Toc166925603"/>
      <w:bookmarkStart w:id="301" w:name="_Toc256088260"/>
      <w:bookmarkStart w:id="302" w:name="_Toc218399488"/>
      <w:r>
        <w:rPr>
          <w:rStyle w:val="CharSectno"/>
        </w:rPr>
        <w:t>602</w:t>
      </w:r>
      <w:r>
        <w:rPr>
          <w:snapToGrid w:val="0"/>
        </w:rPr>
        <w:t>.</w:t>
      </w:r>
      <w:r>
        <w:rPr>
          <w:snapToGrid w:val="0"/>
        </w:rPr>
        <w:tab/>
        <w:t>Behaviour towards other members</w:t>
      </w:r>
      <w:bookmarkEnd w:id="296"/>
      <w:bookmarkEnd w:id="297"/>
      <w:bookmarkEnd w:id="298"/>
      <w:bookmarkEnd w:id="299"/>
      <w:bookmarkEnd w:id="300"/>
      <w:bookmarkEnd w:id="301"/>
      <w:bookmarkEnd w:id="302"/>
      <w:r>
        <w:rPr>
          <w:snapToGrid w:val="0"/>
        </w:rPr>
        <w:t xml:space="preserve"> </w:t>
      </w:r>
    </w:p>
    <w:p>
      <w:pPr>
        <w:pStyle w:val="Subsection"/>
        <w:spacing w:before="140"/>
        <w:rPr>
          <w:snapToGrid w:val="0"/>
        </w:rPr>
      </w:pPr>
      <w:r>
        <w:rPr>
          <w:snapToGrid w:val="0"/>
        </w:rPr>
        <w:tab/>
      </w:r>
      <w:r>
        <w:rPr>
          <w:snapToGrid w:val="0"/>
        </w:rPr>
        <w:tab/>
        <w:t>A member or cadet shall not —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 or cadet;</w:t>
      </w:r>
    </w:p>
    <w:p>
      <w:pPr>
        <w:pStyle w:val="Indenta"/>
        <w:spacing w:before="70"/>
        <w:rPr>
          <w:snapToGrid w:val="0"/>
        </w:rPr>
      </w:pPr>
      <w:r>
        <w:rPr>
          <w:snapToGrid w:val="0"/>
        </w:rPr>
        <w:tab/>
        <w:t>(d)</w:t>
      </w:r>
      <w:r>
        <w:rPr>
          <w:snapToGrid w:val="0"/>
        </w:rPr>
        <w:tab/>
        <w:t>wilfully or negligently make any false complaint or statement against a member or a cadet;</w:t>
      </w:r>
    </w:p>
    <w:p>
      <w:pPr>
        <w:pStyle w:val="Indenta"/>
        <w:spacing w:before="70"/>
        <w:rPr>
          <w:snapToGrid w:val="0"/>
        </w:rPr>
      </w:pPr>
      <w:r>
        <w:rPr>
          <w:snapToGrid w:val="0"/>
        </w:rPr>
        <w:tab/>
        <w:t>(e)</w:t>
      </w:r>
      <w:r>
        <w:rPr>
          <w:snapToGrid w:val="0"/>
        </w:rPr>
        <w:tab/>
        <w:t>assault a member or a cadet;</w:t>
      </w:r>
    </w:p>
    <w:p>
      <w:pPr>
        <w:pStyle w:val="Indenta"/>
        <w:spacing w:before="70"/>
        <w:rPr>
          <w:snapToGrid w:val="0"/>
        </w:rPr>
      </w:pPr>
      <w:r>
        <w:rPr>
          <w:snapToGrid w:val="0"/>
        </w:rPr>
        <w:tab/>
        <w:t>(f)</w:t>
      </w:r>
      <w:r>
        <w:rPr>
          <w:snapToGrid w:val="0"/>
        </w:rPr>
        <w:tab/>
        <w:t>withhold any complaint or report against a member or a cadet;</w:t>
      </w:r>
    </w:p>
    <w:p>
      <w:pPr>
        <w:pStyle w:val="Indenta"/>
        <w:spacing w:before="70"/>
        <w:rPr>
          <w:snapToGrid w:val="0"/>
        </w:rPr>
      </w:pPr>
      <w:r>
        <w:rPr>
          <w:snapToGrid w:val="0"/>
        </w:rPr>
        <w:tab/>
        <w:t>(g)</w:t>
      </w:r>
      <w:r>
        <w:rPr>
          <w:snapToGrid w:val="0"/>
        </w:rPr>
        <w:tab/>
        <w:t>cause or attempt to cause disaffection amongst members or cadets.</w:t>
      </w:r>
    </w:p>
    <w:p>
      <w:pPr>
        <w:pStyle w:val="Heading5"/>
        <w:rPr>
          <w:snapToGrid w:val="0"/>
        </w:rPr>
      </w:pPr>
      <w:bookmarkStart w:id="303" w:name="_Toc500034701"/>
      <w:bookmarkStart w:id="304" w:name="_Toc515769499"/>
      <w:bookmarkStart w:id="305" w:name="_Toc522083180"/>
      <w:bookmarkStart w:id="306" w:name="_Toc123622915"/>
      <w:bookmarkStart w:id="307" w:name="_Toc166925604"/>
      <w:bookmarkStart w:id="308" w:name="_Toc256088261"/>
      <w:bookmarkStart w:id="309" w:name="_Toc218399489"/>
      <w:r>
        <w:rPr>
          <w:rStyle w:val="CharSectno"/>
        </w:rPr>
        <w:t>603</w:t>
      </w:r>
      <w:r>
        <w:rPr>
          <w:snapToGrid w:val="0"/>
        </w:rPr>
        <w:t>.</w:t>
      </w:r>
      <w:r>
        <w:rPr>
          <w:snapToGrid w:val="0"/>
        </w:rPr>
        <w:tab/>
        <w:t>Lawful order not to be disobeyed</w:t>
      </w:r>
      <w:bookmarkEnd w:id="303"/>
      <w:bookmarkEnd w:id="304"/>
      <w:bookmarkEnd w:id="305"/>
      <w:bookmarkEnd w:id="306"/>
      <w:bookmarkEnd w:id="307"/>
      <w:bookmarkEnd w:id="308"/>
      <w:bookmarkEnd w:id="309"/>
      <w:r>
        <w:rPr>
          <w:snapToGrid w:val="0"/>
        </w:rPr>
        <w:t xml:space="preserve"> </w:t>
      </w:r>
    </w:p>
    <w:p>
      <w:pPr>
        <w:pStyle w:val="Subsection"/>
        <w:spacing w:before="140"/>
        <w:rPr>
          <w:snapToGrid w:val="0"/>
        </w:rPr>
      </w:pPr>
      <w:r>
        <w:rPr>
          <w:snapToGrid w:val="0"/>
        </w:rPr>
        <w:tab/>
      </w:r>
      <w:r>
        <w:rPr>
          <w:snapToGrid w:val="0"/>
        </w:rPr>
        <w:tab/>
        <w:t>A member or cadet shall not disobey a lawful order and shall not, without good and sufficient cause, fail to carry out a lawful order.</w:t>
      </w:r>
    </w:p>
    <w:p>
      <w:pPr>
        <w:pStyle w:val="Heading5"/>
        <w:rPr>
          <w:snapToGrid w:val="0"/>
        </w:rPr>
      </w:pPr>
      <w:bookmarkStart w:id="310" w:name="_Toc500034702"/>
      <w:bookmarkStart w:id="311" w:name="_Toc515769500"/>
      <w:bookmarkStart w:id="312" w:name="_Toc522083181"/>
      <w:bookmarkStart w:id="313" w:name="_Toc123622916"/>
      <w:bookmarkStart w:id="314" w:name="_Toc166925605"/>
      <w:bookmarkStart w:id="315" w:name="_Toc256088262"/>
      <w:bookmarkStart w:id="316" w:name="_Toc218399490"/>
      <w:r>
        <w:rPr>
          <w:rStyle w:val="CharSectno"/>
        </w:rPr>
        <w:t>604</w:t>
      </w:r>
      <w:r>
        <w:rPr>
          <w:snapToGrid w:val="0"/>
        </w:rPr>
        <w:t>.</w:t>
      </w:r>
      <w:r>
        <w:rPr>
          <w:snapToGrid w:val="0"/>
        </w:rPr>
        <w:tab/>
        <w:t>Officer in charge not to remain absent unless arrangements made for his absence</w:t>
      </w:r>
      <w:bookmarkEnd w:id="310"/>
      <w:bookmarkEnd w:id="311"/>
      <w:bookmarkEnd w:id="312"/>
      <w:bookmarkEnd w:id="313"/>
      <w:bookmarkEnd w:id="314"/>
      <w:bookmarkEnd w:id="315"/>
      <w:bookmarkEnd w:id="316"/>
      <w:r>
        <w:rPr>
          <w:snapToGrid w:val="0"/>
        </w:rPr>
        <w:t xml:space="preserve"> </w:t>
      </w:r>
    </w:p>
    <w:p>
      <w:pPr>
        <w:pStyle w:val="Subsection"/>
        <w:spacing w:before="140"/>
        <w:rPr>
          <w:snapToGrid w:val="0"/>
        </w:rPr>
      </w:pPr>
      <w:r>
        <w:rPr>
          <w:snapToGrid w:val="0"/>
        </w:rPr>
        <w:tab/>
      </w:r>
      <w:r>
        <w:rPr>
          <w:snapToGrid w:val="0"/>
        </w:rPr>
        <w:tab/>
        <w:t>An officer in charge shall not remain absent from his region, division, sub</w:t>
      </w:r>
      <w:r>
        <w:rPr>
          <w:snapToGrid w:val="0"/>
        </w:rPr>
        <w:noBreakHyphen/>
        <w:t>division, section, branch, sub</w:t>
      </w:r>
      <w:r>
        <w:rPr>
          <w:snapToGrid w:val="0"/>
        </w:rPr>
        <w:noBreakHyphen/>
        <w:t>branch, police station or office as the case may be, unless definite and adequate arrangements have been made for carrying out the functions, duties and responsibilities attaching to his office during his absence.</w:t>
      </w:r>
    </w:p>
    <w:p>
      <w:pPr>
        <w:pStyle w:val="Heading5"/>
        <w:rPr>
          <w:snapToGrid w:val="0"/>
        </w:rPr>
      </w:pPr>
      <w:bookmarkStart w:id="317" w:name="_Toc500034703"/>
      <w:bookmarkStart w:id="318" w:name="_Toc515769501"/>
      <w:bookmarkStart w:id="319" w:name="_Toc522083182"/>
      <w:bookmarkStart w:id="320" w:name="_Toc123622917"/>
      <w:bookmarkStart w:id="321" w:name="_Toc166925606"/>
      <w:bookmarkStart w:id="322" w:name="_Toc256088263"/>
      <w:bookmarkStart w:id="323" w:name="_Toc218399491"/>
      <w:r>
        <w:rPr>
          <w:rStyle w:val="CharSectno"/>
        </w:rPr>
        <w:t>605</w:t>
      </w:r>
      <w:r>
        <w:rPr>
          <w:snapToGrid w:val="0"/>
        </w:rPr>
        <w:t>.</w:t>
      </w:r>
      <w:r>
        <w:rPr>
          <w:snapToGrid w:val="0"/>
        </w:rPr>
        <w:tab/>
        <w:t>Performance generally</w:t>
      </w:r>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A member or cadet shall — </w:t>
      </w:r>
    </w:p>
    <w:p>
      <w:pPr>
        <w:pStyle w:val="Indenta"/>
        <w:rPr>
          <w:snapToGrid w:val="0"/>
        </w:rPr>
      </w:pPr>
      <w:r>
        <w:rPr>
          <w:snapToGrid w:val="0"/>
        </w:rPr>
        <w:tab/>
        <w:t>(a)</w:t>
      </w:r>
      <w:r>
        <w:rPr>
          <w:snapToGrid w:val="0"/>
        </w:rPr>
        <w:tab/>
        <w:t>except for good or sufficient cause, promptly and diligently attend to and carry out anything which is his duty as a member or cadet;</w:t>
      </w:r>
    </w:p>
    <w:p>
      <w:pPr>
        <w:pStyle w:val="Indenta"/>
        <w:rPr>
          <w:snapToGrid w:val="0"/>
        </w:rPr>
      </w:pPr>
      <w:r>
        <w:rPr>
          <w:snapToGrid w:val="0"/>
        </w:rPr>
        <w:tab/>
        <w:t>(b)</w:t>
      </w:r>
      <w:r>
        <w:rPr>
          <w:snapToGrid w:val="0"/>
        </w:rPr>
        <w:tab/>
        <w:t>perform and carry out any duty in a proper manner;</w:t>
      </w:r>
    </w:p>
    <w:p>
      <w:pPr>
        <w:pStyle w:val="Indenta"/>
        <w:rPr>
          <w:snapToGrid w:val="0"/>
        </w:rPr>
      </w:pPr>
      <w:r>
        <w:rPr>
          <w:snapToGrid w:val="0"/>
        </w:rPr>
        <w:tab/>
        <w:t>(c)</w:t>
      </w:r>
      <w:r>
        <w:rPr>
          <w:snapToGrid w:val="0"/>
        </w:rPr>
        <w:tab/>
        <w:t>work his beat in accordance with orders;</w:t>
      </w:r>
    </w:p>
    <w:p>
      <w:pPr>
        <w:pStyle w:val="Indenta"/>
        <w:rPr>
          <w:snapToGrid w:val="0"/>
        </w:rPr>
      </w:pPr>
      <w:r>
        <w:rPr>
          <w:snapToGrid w:val="0"/>
        </w:rPr>
        <w:tab/>
        <w:t>(d)</w:t>
      </w:r>
      <w:r>
        <w:rPr>
          <w:snapToGrid w:val="0"/>
        </w:rPr>
        <w:tab/>
        <w:t>when knowing where any offender is to be found, report the same and shall make due exertion for making him amenable to justice;</w:t>
      </w:r>
    </w:p>
    <w:p>
      <w:pPr>
        <w:pStyle w:val="Indenta"/>
        <w:rPr>
          <w:snapToGrid w:val="0"/>
        </w:rPr>
      </w:pPr>
      <w:r>
        <w:rPr>
          <w:snapToGrid w:val="0"/>
        </w:rPr>
        <w:tab/>
        <w:t>(e)</w:t>
      </w:r>
      <w:r>
        <w:rPr>
          <w:snapToGrid w:val="0"/>
        </w:rPr>
        <w:tab/>
        <w:t>report any matter which it is his duty to report;</w:t>
      </w:r>
    </w:p>
    <w:p>
      <w:pPr>
        <w:pStyle w:val="Indenta"/>
        <w:rPr>
          <w:snapToGrid w:val="0"/>
        </w:rPr>
      </w:pPr>
      <w:r>
        <w:rPr>
          <w:snapToGrid w:val="0"/>
        </w:rPr>
        <w:tab/>
        <w:t>(f)</w:t>
      </w:r>
      <w:r>
        <w:rPr>
          <w:snapToGrid w:val="0"/>
        </w:rPr>
        <w:tab/>
        <w:t>report anything which he knows concerning a criminal charge and shall disclose any evidence which he, or any person within his knowledge can give for or against any accused or defendant to a criminal charge.</w:t>
      </w:r>
    </w:p>
    <w:p>
      <w:pPr>
        <w:pStyle w:val="Subsection"/>
        <w:rPr>
          <w:snapToGrid w:val="0"/>
        </w:rPr>
      </w:pPr>
      <w:r>
        <w:rPr>
          <w:snapToGrid w:val="0"/>
        </w:rPr>
        <w:tab/>
        <w:t>(2)</w:t>
      </w:r>
      <w:r>
        <w:rPr>
          <w:snapToGrid w:val="0"/>
        </w:rPr>
        <w:tab/>
        <w:t>A member or cadet shall not — </w:t>
      </w:r>
    </w:p>
    <w:p>
      <w:pPr>
        <w:pStyle w:val="Indenta"/>
        <w:rPr>
          <w:snapToGrid w:val="0"/>
        </w:rPr>
      </w:pPr>
      <w:r>
        <w:rPr>
          <w:snapToGrid w:val="0"/>
        </w:rPr>
        <w:tab/>
        <w:t>(a)</w:t>
      </w:r>
      <w:r>
        <w:rPr>
          <w:snapToGrid w:val="0"/>
        </w:rPr>
        <w:tab/>
        <w:t>sleep while on duty;</w:t>
      </w:r>
    </w:p>
    <w:p>
      <w:pPr>
        <w:pStyle w:val="Indenta"/>
        <w:rPr>
          <w:snapToGrid w:val="0"/>
        </w:rPr>
      </w:pPr>
      <w:r>
        <w:rPr>
          <w:snapToGrid w:val="0"/>
        </w:rPr>
        <w:tab/>
        <w:t>(b)</w:t>
      </w:r>
      <w:r>
        <w:rPr>
          <w:snapToGrid w:val="0"/>
        </w:rPr>
        <w:tab/>
        <w:t>by carelessness or neglect permit a prisoner to escape;</w:t>
      </w:r>
    </w:p>
    <w:p>
      <w:pPr>
        <w:pStyle w:val="Indenta"/>
        <w:rPr>
          <w:snapToGrid w:val="0"/>
        </w:rPr>
      </w:pPr>
      <w:r>
        <w:rPr>
          <w:snapToGrid w:val="0"/>
        </w:rPr>
        <w:tab/>
        <w:t>(c)</w:t>
      </w:r>
      <w:r>
        <w:rPr>
          <w:snapToGrid w:val="0"/>
        </w:rPr>
        <w:tab/>
        <w:t>omit to make any necessary entry in any official document or book;</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rPr>
          <w:snapToGrid w:val="0"/>
        </w:rPr>
      </w:pPr>
      <w:r>
        <w:rPr>
          <w:snapToGrid w:val="0"/>
        </w:rPr>
        <w:tab/>
        <w:t>(e)</w:t>
      </w:r>
      <w:r>
        <w:rPr>
          <w:snapToGrid w:val="0"/>
        </w:rPr>
        <w:tab/>
        <w:t>if absent from duty on account of sickness or ill</w:t>
      </w:r>
      <w:r>
        <w:rPr>
          <w:snapToGrid w:val="0"/>
        </w:rPr>
        <w:noBreakHyphen/>
        <w:t>health, do any act that will, or is likely to, retard his return to duty, or conduct himself in a manner that is likely to cause a delay in his return to duty.</w:t>
      </w:r>
    </w:p>
    <w:p>
      <w:pPr>
        <w:pStyle w:val="Heading5"/>
        <w:rPr>
          <w:snapToGrid w:val="0"/>
        </w:rPr>
      </w:pPr>
      <w:bookmarkStart w:id="324" w:name="_Toc500034704"/>
      <w:bookmarkStart w:id="325" w:name="_Toc515769502"/>
      <w:bookmarkStart w:id="326" w:name="_Toc522083183"/>
      <w:bookmarkStart w:id="327" w:name="_Toc123622918"/>
      <w:bookmarkStart w:id="328" w:name="_Toc166925607"/>
      <w:bookmarkStart w:id="329" w:name="_Toc256088264"/>
      <w:bookmarkStart w:id="330" w:name="_Toc218399492"/>
      <w:r>
        <w:rPr>
          <w:rStyle w:val="CharSectno"/>
        </w:rPr>
        <w:t>606</w:t>
      </w:r>
      <w:r>
        <w:rPr>
          <w:snapToGrid w:val="0"/>
        </w:rPr>
        <w:t>.</w:t>
      </w:r>
      <w:r>
        <w:rPr>
          <w:snapToGrid w:val="0"/>
        </w:rPr>
        <w:tab/>
        <w:t>False, misleading or inaccurate statements, etc.</w:t>
      </w:r>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Heading5"/>
        <w:rPr>
          <w:snapToGrid w:val="0"/>
        </w:rPr>
      </w:pPr>
      <w:bookmarkStart w:id="331" w:name="_Toc500034705"/>
      <w:bookmarkStart w:id="332" w:name="_Toc515769503"/>
      <w:bookmarkStart w:id="333" w:name="_Toc522083184"/>
      <w:bookmarkStart w:id="334" w:name="_Toc123622919"/>
      <w:bookmarkStart w:id="335" w:name="_Toc166925608"/>
      <w:bookmarkStart w:id="336" w:name="_Toc256088265"/>
      <w:bookmarkStart w:id="337" w:name="_Toc218399493"/>
      <w:r>
        <w:rPr>
          <w:rStyle w:val="CharSectno"/>
        </w:rPr>
        <w:t>607</w:t>
      </w:r>
      <w:r>
        <w:rPr>
          <w:snapToGrid w:val="0"/>
        </w:rPr>
        <w:t>.</w:t>
      </w:r>
      <w:r>
        <w:rPr>
          <w:snapToGrid w:val="0"/>
        </w:rPr>
        <w:tab/>
        <w:t>Secrecy</w:t>
      </w:r>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give any person any information relating to the Force or other information that has been furnished to him or obtained by him in the course of his duty as a member or cadet; or</w:t>
      </w:r>
    </w:p>
    <w:p>
      <w:pPr>
        <w:pStyle w:val="Indenta"/>
        <w:rPr>
          <w:snapToGrid w:val="0"/>
        </w:rPr>
      </w:pPr>
      <w:r>
        <w:rPr>
          <w:snapToGrid w:val="0"/>
        </w:rPr>
        <w:tab/>
        <w:t>(b)</w:t>
      </w:r>
      <w:r>
        <w:rPr>
          <w:snapToGrid w:val="0"/>
        </w:rPr>
        <w:tab/>
        <w:t>disclose the contents of any official papers or documents that have been supplied to him in the course of his duties as a member or cadet or otherwise,</w:t>
      </w:r>
    </w:p>
    <w:p>
      <w:pPr>
        <w:pStyle w:val="Subsection"/>
        <w:rPr>
          <w:snapToGrid w:val="0"/>
        </w:rPr>
      </w:pPr>
      <w:r>
        <w:rPr>
          <w:snapToGrid w:val="0"/>
        </w:rPr>
        <w:tab/>
      </w:r>
      <w:r>
        <w:rPr>
          <w:snapToGrid w:val="0"/>
        </w:rPr>
        <w:tab/>
        <w:t>except in the course of his duty as a member or cadet.</w:t>
      </w:r>
    </w:p>
    <w:p>
      <w:pPr>
        <w:pStyle w:val="Subsection"/>
        <w:rPr>
          <w:snapToGrid w:val="0"/>
        </w:rPr>
      </w:pPr>
      <w:r>
        <w:rPr>
          <w:snapToGrid w:val="0"/>
        </w:rPr>
        <w:tab/>
        <w:t>(2)</w:t>
      </w:r>
      <w:r>
        <w:rPr>
          <w:snapToGrid w:val="0"/>
        </w:rPr>
        <w:tab/>
        <w:t>A member or cadet shall not, except with the express permission of his officer in charge or the Commissioner — </w:t>
      </w:r>
    </w:p>
    <w:p>
      <w:pPr>
        <w:pStyle w:val="Indenta"/>
        <w:rPr>
          <w:snapToGrid w:val="0"/>
        </w:rPr>
      </w:pPr>
      <w:r>
        <w:rPr>
          <w:snapToGrid w:val="0"/>
        </w:rPr>
        <w:tab/>
        <w:t>(a)</w:t>
      </w:r>
      <w:r>
        <w:rPr>
          <w:snapToGrid w:val="0"/>
        </w:rPr>
        <w:tab/>
        <w:t>publicly comment, either orally or in writing, on any administrative action, or upon the administration of the Force;</w:t>
      </w:r>
    </w:p>
    <w:p>
      <w:pPr>
        <w:pStyle w:val="Indenta"/>
        <w:rPr>
          <w:snapToGrid w:val="0"/>
        </w:rPr>
      </w:pPr>
      <w:r>
        <w:rPr>
          <w:snapToGrid w:val="0"/>
        </w:rPr>
        <w:tab/>
        <w:t>(b)</w:t>
      </w:r>
      <w:r>
        <w:rPr>
          <w:snapToGrid w:val="0"/>
        </w:rPr>
        <w:tab/>
        <w:t>use for any purpose, other than for the discharge of his official duties as a member or cadet, information gained by him through his employment in the Force or as a cadet;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or cadet shall not —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 xml:space="preserve">[Regulation 607 amended in Gazette 22 Jan 1988 p. 128.] </w:t>
      </w:r>
    </w:p>
    <w:p>
      <w:pPr>
        <w:pStyle w:val="Heading5"/>
        <w:rPr>
          <w:snapToGrid w:val="0"/>
        </w:rPr>
      </w:pPr>
      <w:bookmarkStart w:id="338" w:name="_Toc500034706"/>
      <w:bookmarkStart w:id="339" w:name="_Toc515769504"/>
      <w:bookmarkStart w:id="340" w:name="_Toc522083185"/>
      <w:bookmarkStart w:id="341" w:name="_Toc123622920"/>
      <w:bookmarkStart w:id="342" w:name="_Toc166925609"/>
      <w:bookmarkStart w:id="343" w:name="_Toc256088266"/>
      <w:bookmarkStart w:id="344" w:name="_Toc218399494"/>
      <w:r>
        <w:rPr>
          <w:rStyle w:val="CharSectno"/>
        </w:rPr>
        <w:t>608</w:t>
      </w:r>
      <w:r>
        <w:rPr>
          <w:snapToGrid w:val="0"/>
        </w:rPr>
        <w:t>.</w:t>
      </w:r>
      <w:r>
        <w:rPr>
          <w:snapToGrid w:val="0"/>
        </w:rPr>
        <w:tab/>
        <w:t>Member or cadet not to compromise his position</w:t>
      </w:r>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place himself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improperly use his reputation or position as a member or as a cadet for his private advantage;</w:t>
      </w:r>
    </w:p>
    <w:p>
      <w:pPr>
        <w:pStyle w:val="Indenta"/>
        <w:rPr>
          <w:snapToGrid w:val="0"/>
        </w:rPr>
      </w:pPr>
      <w:r>
        <w:rPr>
          <w:snapToGrid w:val="0"/>
        </w:rPr>
        <w:tab/>
        <w:t>(e)</w:t>
      </w:r>
      <w:r>
        <w:rPr>
          <w:snapToGrid w:val="0"/>
        </w:rPr>
        <w:tab/>
        <w:t>in his capacity as a member or as a cadet,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spacing w:before="120"/>
      </w:pPr>
      <w:r>
        <w:tab/>
        <w:t>(1a)</w:t>
      </w:r>
      <w:r>
        <w:tab/>
        <w:t>The Commissioner may delegate, to an officer of the rank of superintendent or higher, the approval power conferred on the Commissioner under subregulation (1)(b).</w:t>
      </w:r>
    </w:p>
    <w:p>
      <w:pPr>
        <w:pStyle w:val="Subsection"/>
        <w:spacing w:before="120"/>
        <w:rPr>
          <w:snapToGrid w:val="0"/>
        </w:rPr>
      </w:pPr>
      <w:r>
        <w:rPr>
          <w:snapToGrid w:val="0"/>
        </w:rPr>
        <w:tab/>
        <w:t>(2)</w:t>
      </w:r>
      <w:r>
        <w:rPr>
          <w:snapToGrid w:val="0"/>
        </w:rPr>
        <w:tab/>
        <w:t>A member or cadet shall account for and make prompt and true return of any money or property received by him in his official capacity.</w:t>
      </w:r>
    </w:p>
    <w:p>
      <w:pPr>
        <w:pStyle w:val="Subsection"/>
        <w:spacing w:before="120"/>
        <w:rPr>
          <w:snapToGrid w:val="0"/>
        </w:rPr>
      </w:pPr>
      <w:r>
        <w:rPr>
          <w:snapToGrid w:val="0"/>
        </w:rPr>
        <w:tab/>
        <w:t>(3)</w:t>
      </w:r>
      <w:r>
        <w:rPr>
          <w:snapToGrid w:val="0"/>
        </w:rPr>
        <w:tab/>
        <w:t>Where the Commissioner requires a member or cadet to account for any money or property whether received by him in his capacity as a member or cadet or not the member or cadet shall comply with that requirement within the time specified by the Commissioner.</w:t>
      </w:r>
    </w:p>
    <w:p>
      <w:pPr>
        <w:pStyle w:val="Footnotesection"/>
      </w:pPr>
      <w:r>
        <w:tab/>
        <w:t>[Regulation 608 amended in Gazette 10 Aug 2001 p. 4214.]</w:t>
      </w:r>
    </w:p>
    <w:p>
      <w:pPr>
        <w:pStyle w:val="Heading5"/>
        <w:rPr>
          <w:snapToGrid w:val="0"/>
        </w:rPr>
      </w:pPr>
      <w:bookmarkStart w:id="345" w:name="_Toc500034707"/>
      <w:bookmarkStart w:id="346" w:name="_Toc515769505"/>
      <w:bookmarkStart w:id="347" w:name="_Toc522083186"/>
      <w:bookmarkStart w:id="348" w:name="_Toc123622921"/>
      <w:bookmarkStart w:id="349" w:name="_Toc166925610"/>
      <w:bookmarkStart w:id="350" w:name="_Toc256088267"/>
      <w:bookmarkStart w:id="351" w:name="_Toc218399495"/>
      <w:r>
        <w:rPr>
          <w:rStyle w:val="CharSectno"/>
        </w:rPr>
        <w:t>609</w:t>
      </w:r>
      <w:r>
        <w:rPr>
          <w:snapToGrid w:val="0"/>
        </w:rPr>
        <w:t>.</w:t>
      </w:r>
      <w:r>
        <w:rPr>
          <w:snapToGrid w:val="0"/>
        </w:rPr>
        <w:tab/>
        <w:t>Unlawful arrest and unnecessary force</w:t>
      </w:r>
      <w:bookmarkEnd w:id="345"/>
      <w:bookmarkEnd w:id="346"/>
      <w:bookmarkEnd w:id="347"/>
      <w:bookmarkEnd w:id="348"/>
      <w:bookmarkEnd w:id="349"/>
      <w:bookmarkEnd w:id="350"/>
      <w:bookmarkEnd w:id="351"/>
      <w:r>
        <w:rPr>
          <w:snapToGrid w:val="0"/>
        </w:rPr>
        <w:t xml:space="preserve"> </w:t>
      </w:r>
    </w:p>
    <w:p>
      <w:pPr>
        <w:pStyle w:val="Subsection"/>
        <w:spacing w:before="120"/>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use any unnecessary force on any prisoner or other person with whom he may be brought into contact in the performance of his duty.</w:t>
      </w:r>
    </w:p>
    <w:p>
      <w:pPr>
        <w:pStyle w:val="Heading5"/>
        <w:rPr>
          <w:snapToGrid w:val="0"/>
        </w:rPr>
      </w:pPr>
      <w:bookmarkStart w:id="352" w:name="_Toc500034708"/>
      <w:bookmarkStart w:id="353" w:name="_Toc515769506"/>
      <w:bookmarkStart w:id="354" w:name="_Toc522083187"/>
      <w:bookmarkStart w:id="355" w:name="_Toc123622922"/>
      <w:bookmarkStart w:id="356" w:name="_Toc166925611"/>
      <w:bookmarkStart w:id="357" w:name="_Toc256088268"/>
      <w:bookmarkStart w:id="358" w:name="_Toc218399496"/>
      <w:r>
        <w:rPr>
          <w:rStyle w:val="CharSectno"/>
        </w:rPr>
        <w:t>610</w:t>
      </w:r>
      <w:r>
        <w:rPr>
          <w:snapToGrid w:val="0"/>
        </w:rPr>
        <w:t>.</w:t>
      </w:r>
      <w:r>
        <w:rPr>
          <w:snapToGrid w:val="0"/>
        </w:rPr>
        <w:tab/>
        <w:t>Feigning sickness or injury</w:t>
      </w:r>
      <w:bookmarkEnd w:id="352"/>
      <w:bookmarkEnd w:id="353"/>
      <w:bookmarkEnd w:id="354"/>
      <w:bookmarkEnd w:id="355"/>
      <w:bookmarkEnd w:id="356"/>
      <w:bookmarkEnd w:id="357"/>
      <w:bookmarkEnd w:id="358"/>
      <w:r>
        <w:rPr>
          <w:snapToGrid w:val="0"/>
        </w:rPr>
        <w:t xml:space="preserve"> </w:t>
      </w:r>
    </w:p>
    <w:p>
      <w:pPr>
        <w:pStyle w:val="Subsection"/>
        <w:spacing w:before="120"/>
        <w:rPr>
          <w:snapToGrid w:val="0"/>
        </w:rPr>
      </w:pPr>
      <w:r>
        <w:rPr>
          <w:snapToGrid w:val="0"/>
        </w:rPr>
        <w:tab/>
      </w:r>
      <w:r>
        <w:rPr>
          <w:snapToGrid w:val="0"/>
        </w:rPr>
        <w:tab/>
        <w:t>A member or cadet shall not feign or exaggerate any sickness or injury with a view to evading duty.</w:t>
      </w:r>
    </w:p>
    <w:p>
      <w:pPr>
        <w:pStyle w:val="Heading5"/>
        <w:rPr>
          <w:snapToGrid w:val="0"/>
        </w:rPr>
      </w:pPr>
      <w:bookmarkStart w:id="359" w:name="_Toc500034709"/>
      <w:bookmarkStart w:id="360" w:name="_Toc515769507"/>
      <w:bookmarkStart w:id="361" w:name="_Toc522083188"/>
      <w:bookmarkStart w:id="362" w:name="_Toc123622923"/>
      <w:bookmarkStart w:id="363" w:name="_Toc166925612"/>
      <w:bookmarkStart w:id="364" w:name="_Toc256088269"/>
      <w:bookmarkStart w:id="365" w:name="_Toc218399497"/>
      <w:r>
        <w:rPr>
          <w:rStyle w:val="CharSectno"/>
        </w:rPr>
        <w:t>611</w:t>
      </w:r>
      <w:r>
        <w:rPr>
          <w:snapToGrid w:val="0"/>
        </w:rPr>
        <w:t>.</w:t>
      </w:r>
      <w:r>
        <w:rPr>
          <w:snapToGrid w:val="0"/>
        </w:rPr>
        <w:tab/>
        <w:t>Not to be absent or late without reasonable excuse</w:t>
      </w:r>
      <w:bookmarkEnd w:id="359"/>
      <w:bookmarkEnd w:id="360"/>
      <w:bookmarkEnd w:id="361"/>
      <w:bookmarkEnd w:id="362"/>
      <w:bookmarkEnd w:id="363"/>
      <w:bookmarkEnd w:id="364"/>
      <w:bookmarkEnd w:id="365"/>
      <w:r>
        <w:rPr>
          <w:snapToGrid w:val="0"/>
        </w:rPr>
        <w:t xml:space="preserve"> </w:t>
      </w:r>
    </w:p>
    <w:p>
      <w:pPr>
        <w:pStyle w:val="Subsection"/>
        <w:spacing w:before="120"/>
        <w:rPr>
          <w:snapToGrid w:val="0"/>
        </w:rPr>
      </w:pPr>
      <w:r>
        <w:rPr>
          <w:snapToGrid w:val="0"/>
        </w:rPr>
        <w:tab/>
      </w:r>
      <w:r>
        <w:rPr>
          <w:snapToGrid w:val="0"/>
        </w:rPr>
        <w:tab/>
        <w:t>A member or cadet shall not without reasonable excuse be absent without leave from, or be late for, parade, court or any other duty.</w:t>
      </w:r>
    </w:p>
    <w:p>
      <w:pPr>
        <w:pStyle w:val="Ednotesection"/>
      </w:pPr>
      <w:bookmarkStart w:id="366" w:name="_Toc500034712"/>
      <w:bookmarkStart w:id="367" w:name="_Toc515769510"/>
      <w:bookmarkStart w:id="368" w:name="_Toc522083191"/>
      <w:bookmarkStart w:id="369" w:name="_Toc123622926"/>
      <w:r>
        <w:t>[</w:t>
      </w:r>
      <w:r>
        <w:rPr>
          <w:b/>
          <w:bCs/>
        </w:rPr>
        <w:t>612, 613.</w:t>
      </w:r>
      <w:r>
        <w:tab/>
        <w:t>Deleted in Gazette 2 Feb 2007 p. 247.]</w:t>
      </w:r>
    </w:p>
    <w:p>
      <w:pPr>
        <w:pStyle w:val="Heading5"/>
        <w:rPr>
          <w:snapToGrid w:val="0"/>
        </w:rPr>
      </w:pPr>
      <w:bookmarkStart w:id="370" w:name="_Toc166925613"/>
      <w:bookmarkStart w:id="371" w:name="_Toc256088270"/>
      <w:bookmarkStart w:id="372" w:name="_Toc218399498"/>
      <w:r>
        <w:rPr>
          <w:rStyle w:val="CharSectno"/>
        </w:rPr>
        <w:t>614</w:t>
      </w:r>
      <w:r>
        <w:rPr>
          <w:snapToGrid w:val="0"/>
        </w:rPr>
        <w:t>.</w:t>
      </w:r>
      <w:r>
        <w:rPr>
          <w:snapToGrid w:val="0"/>
        </w:rPr>
        <w:tab/>
        <w:t>Under influence of intoxicating liquor or any drug</w:t>
      </w:r>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A member or cadet who at any time when on duty, or at any time when it is time for him to go on duty, is found to be under the influence of intoxicating liquor or any drug to such an extent as to affect or be likely to affect his speech, action or judgment, commits an offence against the discipline of the Force.</w:t>
      </w:r>
    </w:p>
    <w:p>
      <w:pPr>
        <w:pStyle w:val="Heading5"/>
        <w:rPr>
          <w:snapToGrid w:val="0"/>
        </w:rPr>
      </w:pPr>
      <w:bookmarkStart w:id="373" w:name="_Toc500034713"/>
      <w:bookmarkStart w:id="374" w:name="_Toc515769511"/>
      <w:bookmarkStart w:id="375" w:name="_Toc522083192"/>
      <w:bookmarkStart w:id="376" w:name="_Toc123622927"/>
      <w:bookmarkStart w:id="377" w:name="_Toc166925614"/>
      <w:bookmarkStart w:id="378" w:name="_Toc256088271"/>
      <w:bookmarkStart w:id="379" w:name="_Toc218399499"/>
      <w:r>
        <w:rPr>
          <w:rStyle w:val="CharSectno"/>
        </w:rPr>
        <w:t>615</w:t>
      </w:r>
      <w:r>
        <w:rPr>
          <w:snapToGrid w:val="0"/>
        </w:rPr>
        <w:t>.</w:t>
      </w:r>
      <w:r>
        <w:rPr>
          <w:snapToGrid w:val="0"/>
        </w:rPr>
        <w:tab/>
        <w:t>Receiving and being supplied with intoxicating liquor while on duty</w:t>
      </w:r>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A member or cadet shall not without the consent of his superior officer —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request or attempt to persuade any person to supply him with intoxicating liquor,</w:t>
      </w:r>
    </w:p>
    <w:p>
      <w:pPr>
        <w:pStyle w:val="Subsection"/>
        <w:rPr>
          <w:snapToGrid w:val="0"/>
        </w:rPr>
      </w:pPr>
      <w:r>
        <w:rPr>
          <w:snapToGrid w:val="0"/>
        </w:rPr>
        <w:tab/>
      </w:r>
      <w:r>
        <w:rPr>
          <w:snapToGrid w:val="0"/>
        </w:rPr>
        <w:tab/>
        <w:t>while he is on duty.</w:t>
      </w:r>
    </w:p>
    <w:p>
      <w:pPr>
        <w:pStyle w:val="Heading5"/>
        <w:rPr>
          <w:snapToGrid w:val="0"/>
        </w:rPr>
      </w:pPr>
      <w:bookmarkStart w:id="380" w:name="_Toc500034714"/>
      <w:bookmarkStart w:id="381" w:name="_Toc515769512"/>
      <w:bookmarkStart w:id="382" w:name="_Toc522083193"/>
      <w:bookmarkStart w:id="383" w:name="_Toc123622928"/>
      <w:bookmarkStart w:id="384" w:name="_Toc166925615"/>
      <w:bookmarkStart w:id="385" w:name="_Toc256088272"/>
      <w:bookmarkStart w:id="386" w:name="_Toc218399500"/>
      <w:r>
        <w:rPr>
          <w:rStyle w:val="CharSectno"/>
        </w:rPr>
        <w:t>616</w:t>
      </w:r>
      <w:r>
        <w:rPr>
          <w:snapToGrid w:val="0"/>
        </w:rPr>
        <w:t>.</w:t>
      </w:r>
      <w:r>
        <w:rPr>
          <w:snapToGrid w:val="0"/>
        </w:rPr>
        <w:tab/>
        <w:t>Entering licensed premises</w:t>
      </w:r>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 xml:space="preserve">A member or cadet shall not enter while on duty any premises licensed under the </w:t>
      </w:r>
      <w:r>
        <w:rPr>
          <w:i/>
          <w:iCs/>
        </w:rPr>
        <w:t xml:space="preserve">Liquor Control Act 1988 </w:t>
      </w:r>
      <w:r>
        <w:rPr>
          <w:snapToGrid w:val="0"/>
        </w:rPr>
        <w:t>or any other premises where intoxicating liquor is stored or distributed, when his presence there is not required in the performance of his duty.</w:t>
      </w:r>
    </w:p>
    <w:p>
      <w:pPr>
        <w:pStyle w:val="Footnotesection"/>
      </w:pPr>
      <w:r>
        <w:tab/>
        <w:t>[Regulation 616 amended in Gazette 30 Dec 2008 p. 5645.]</w:t>
      </w:r>
    </w:p>
    <w:p>
      <w:pPr>
        <w:pStyle w:val="Heading5"/>
        <w:rPr>
          <w:snapToGrid w:val="0"/>
        </w:rPr>
      </w:pPr>
      <w:bookmarkStart w:id="387" w:name="_Toc500034715"/>
      <w:bookmarkStart w:id="388" w:name="_Toc515769513"/>
      <w:bookmarkStart w:id="389" w:name="_Toc522083194"/>
      <w:bookmarkStart w:id="390" w:name="_Toc123622929"/>
      <w:bookmarkStart w:id="391" w:name="_Toc166925616"/>
      <w:bookmarkStart w:id="392" w:name="_Toc256088273"/>
      <w:bookmarkStart w:id="393" w:name="_Toc218399501"/>
      <w:r>
        <w:rPr>
          <w:rStyle w:val="CharSectno"/>
        </w:rPr>
        <w:t>617</w:t>
      </w:r>
      <w:r>
        <w:rPr>
          <w:snapToGrid w:val="0"/>
        </w:rPr>
        <w:t>.</w:t>
      </w:r>
      <w:r>
        <w:rPr>
          <w:snapToGrid w:val="0"/>
        </w:rPr>
        <w:tab/>
        <w:t>Consumption of intoxicating liquor</w:t>
      </w:r>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A member does not commit an offence against subregulation (1) if he consumes intoxicating liquor at the Police Canteen.</w:t>
      </w:r>
    </w:p>
    <w:p>
      <w:pPr>
        <w:pStyle w:val="Heading5"/>
        <w:rPr>
          <w:snapToGrid w:val="0"/>
        </w:rPr>
      </w:pPr>
      <w:bookmarkStart w:id="394" w:name="_Toc500034716"/>
      <w:bookmarkStart w:id="395" w:name="_Toc515769514"/>
      <w:bookmarkStart w:id="396" w:name="_Toc522083195"/>
      <w:bookmarkStart w:id="397" w:name="_Toc123622930"/>
      <w:bookmarkStart w:id="398" w:name="_Toc166925617"/>
      <w:bookmarkStart w:id="399" w:name="_Toc256088274"/>
      <w:bookmarkStart w:id="400" w:name="_Toc218399502"/>
      <w:r>
        <w:rPr>
          <w:rStyle w:val="CharSectno"/>
        </w:rPr>
        <w:t>618</w:t>
      </w:r>
      <w:r>
        <w:rPr>
          <w:snapToGrid w:val="0"/>
        </w:rPr>
        <w:t>.</w:t>
      </w:r>
      <w:r>
        <w:rPr>
          <w:snapToGrid w:val="0"/>
        </w:rPr>
        <w:tab/>
        <w:t>Premises supplying intoxicating liquor</w:t>
      </w:r>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Subject to subregulation (2), a member or cadet shall not keep premises for the sale of intoxicating liquor either in his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or cadet to keep premises for the sale of intoxicating liquor or to be directly or indirectly interested in the management or control of any such premises if — </w:t>
      </w:r>
    </w:p>
    <w:p>
      <w:pPr>
        <w:pStyle w:val="Indenta"/>
        <w:rPr>
          <w:snapToGrid w:val="0"/>
        </w:rPr>
      </w:pPr>
      <w:r>
        <w:rPr>
          <w:snapToGrid w:val="0"/>
        </w:rPr>
        <w:tab/>
        <w:t>(a)</w:t>
      </w:r>
      <w:r>
        <w:rPr>
          <w:snapToGrid w:val="0"/>
        </w:rPr>
        <w:tab/>
        <w:t>the premises have been approved by the Commissioner;</w:t>
      </w:r>
    </w:p>
    <w:p>
      <w:pPr>
        <w:pStyle w:val="Indenta"/>
        <w:rPr>
          <w:snapToGrid w:val="0"/>
        </w:rPr>
      </w:pPr>
      <w:r>
        <w:rPr>
          <w:snapToGrid w:val="0"/>
        </w:rPr>
        <w:tab/>
        <w:t>(b)</w:t>
      </w:r>
      <w:r>
        <w:rPr>
          <w:snapToGrid w:val="0"/>
        </w:rPr>
        <w:tab/>
        <w:t>the member or cadet is a member of the Western Australian Police Social Club (Inc.); and</w:t>
      </w:r>
    </w:p>
    <w:p>
      <w:pPr>
        <w:pStyle w:val="Indenta"/>
        <w:rPr>
          <w:snapToGrid w:val="0"/>
        </w:rPr>
      </w:pPr>
      <w:r>
        <w:rPr>
          <w:snapToGrid w:val="0"/>
        </w:rPr>
        <w:tab/>
        <w:t>(c)</w:t>
      </w:r>
      <w:r>
        <w:rPr>
          <w:snapToGrid w:val="0"/>
        </w:rPr>
        <w:tab/>
        <w:t>the premises are owned or leased by that Club.</w:t>
      </w:r>
    </w:p>
    <w:p>
      <w:pPr>
        <w:pStyle w:val="Footnotesection"/>
      </w:pPr>
      <w:r>
        <w:tab/>
        <w:t xml:space="preserve">[Regulation 618 amended in Gazette 14 Nov 1997 p. 6457.] </w:t>
      </w:r>
    </w:p>
    <w:p>
      <w:pPr>
        <w:pStyle w:val="Heading5"/>
        <w:rPr>
          <w:snapToGrid w:val="0"/>
        </w:rPr>
      </w:pPr>
      <w:bookmarkStart w:id="401" w:name="_Toc500034717"/>
      <w:bookmarkStart w:id="402" w:name="_Toc515769515"/>
      <w:bookmarkStart w:id="403" w:name="_Toc522083196"/>
      <w:bookmarkStart w:id="404" w:name="_Toc123622931"/>
      <w:bookmarkStart w:id="405" w:name="_Toc166925618"/>
      <w:bookmarkStart w:id="406" w:name="_Toc256088275"/>
      <w:bookmarkStart w:id="407" w:name="_Toc218399503"/>
      <w:r>
        <w:rPr>
          <w:rStyle w:val="CharSectno"/>
        </w:rPr>
        <w:t>619</w:t>
      </w:r>
      <w:r>
        <w:rPr>
          <w:snapToGrid w:val="0"/>
        </w:rPr>
        <w:t>.</w:t>
      </w:r>
      <w:r>
        <w:rPr>
          <w:snapToGrid w:val="0"/>
        </w:rPr>
        <w:tab/>
        <w:t>Restrictions relating to loans, securities and debts</w:t>
      </w:r>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lend money to any superior or borrow money or accept presents from any inferior;</w:t>
      </w:r>
    </w:p>
    <w:p>
      <w:pPr>
        <w:pStyle w:val="Indenta"/>
        <w:rPr>
          <w:snapToGrid w:val="0"/>
        </w:rPr>
      </w:pPr>
      <w:r>
        <w:rPr>
          <w:snapToGrid w:val="0"/>
        </w:rPr>
        <w:tab/>
        <w:t>(b)</w:t>
      </w:r>
      <w:r>
        <w:rPr>
          <w:snapToGrid w:val="0"/>
        </w:rPr>
        <w:tab/>
        <w:t>induce any other member or cadet to become a security for a loan or debt;</w:t>
      </w:r>
    </w:p>
    <w:p>
      <w:pPr>
        <w:pStyle w:val="Indenta"/>
        <w:rPr>
          <w:snapToGrid w:val="0"/>
        </w:rPr>
      </w:pPr>
      <w:r>
        <w:rPr>
          <w:snapToGrid w:val="0"/>
        </w:rPr>
        <w:tab/>
        <w:t>(c)</w:t>
      </w:r>
      <w:r>
        <w:rPr>
          <w:snapToGrid w:val="0"/>
        </w:rPr>
        <w:tab/>
        <w:t>neglect to pay a lawful debt.</w:t>
      </w:r>
    </w:p>
    <w:p>
      <w:pPr>
        <w:pStyle w:val="Heading5"/>
        <w:rPr>
          <w:snapToGrid w:val="0"/>
        </w:rPr>
      </w:pPr>
      <w:bookmarkStart w:id="408" w:name="_Toc500034718"/>
      <w:bookmarkStart w:id="409" w:name="_Toc515769516"/>
      <w:bookmarkStart w:id="410" w:name="_Toc522083197"/>
      <w:bookmarkStart w:id="411" w:name="_Toc123622932"/>
      <w:bookmarkStart w:id="412" w:name="_Toc166925619"/>
      <w:bookmarkStart w:id="413" w:name="_Toc256088276"/>
      <w:bookmarkStart w:id="414" w:name="_Toc218399504"/>
      <w:r>
        <w:rPr>
          <w:rStyle w:val="CharSectno"/>
        </w:rPr>
        <w:t>620</w:t>
      </w:r>
      <w:r>
        <w:rPr>
          <w:snapToGrid w:val="0"/>
        </w:rPr>
        <w:t>.</w:t>
      </w:r>
      <w:r>
        <w:rPr>
          <w:snapToGrid w:val="0"/>
        </w:rPr>
        <w:tab/>
        <w:t>Interest in racing</w:t>
      </w:r>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A member or cadet being an owner or directly or indirectly interested in or in any way taking part in the training or racing of a race horse or racing dog shall not act in a manner likely to bring discredit on the reputation of the Force or unbecoming to a member of the Force or cadet.</w:t>
      </w:r>
    </w:p>
    <w:p>
      <w:pPr>
        <w:pStyle w:val="Heading5"/>
        <w:rPr>
          <w:snapToGrid w:val="0"/>
        </w:rPr>
      </w:pPr>
      <w:bookmarkStart w:id="415" w:name="_Toc500034719"/>
      <w:bookmarkStart w:id="416" w:name="_Toc515769517"/>
      <w:bookmarkStart w:id="417" w:name="_Toc522083198"/>
      <w:bookmarkStart w:id="418" w:name="_Toc123622933"/>
      <w:bookmarkStart w:id="419" w:name="_Toc166925620"/>
      <w:bookmarkStart w:id="420" w:name="_Toc256088277"/>
      <w:bookmarkStart w:id="421" w:name="_Toc218399505"/>
      <w:r>
        <w:rPr>
          <w:rStyle w:val="CharSectno"/>
        </w:rPr>
        <w:t>621</w:t>
      </w:r>
      <w:r>
        <w:rPr>
          <w:snapToGrid w:val="0"/>
        </w:rPr>
        <w:t>.</w:t>
      </w:r>
      <w:r>
        <w:rPr>
          <w:snapToGrid w:val="0"/>
        </w:rPr>
        <w:tab/>
        <w:t>Restrictions relating to trade, business or professions outside the Force</w:t>
      </w:r>
      <w:bookmarkEnd w:id="415"/>
      <w:bookmarkEnd w:id="416"/>
      <w:bookmarkEnd w:id="417"/>
      <w:bookmarkEnd w:id="418"/>
      <w:bookmarkEnd w:id="419"/>
      <w:bookmarkEnd w:id="420"/>
      <w:bookmarkEnd w:id="421"/>
      <w:r>
        <w:rPr>
          <w:snapToGrid w:val="0"/>
        </w:rPr>
        <w:t xml:space="preserve"> </w:t>
      </w:r>
    </w:p>
    <w:p>
      <w:pPr>
        <w:pStyle w:val="Subsection"/>
      </w:pPr>
      <w:r>
        <w:rPr>
          <w:snapToGrid w:val="0"/>
        </w:rPr>
        <w:tab/>
        <w:t>(1)</w:t>
      </w:r>
      <w:r>
        <w:rPr>
          <w:snapToGrid w:val="0"/>
        </w:rPr>
        <w:tab/>
        <w:t xml:space="preserve">A member or cadet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in Gazette 30 Dec 2005 p. 6879.]</w:t>
      </w:r>
    </w:p>
    <w:p>
      <w:pPr>
        <w:pStyle w:val="Heading5"/>
        <w:rPr>
          <w:snapToGrid w:val="0"/>
        </w:rPr>
      </w:pPr>
      <w:bookmarkStart w:id="422" w:name="_Toc500034720"/>
      <w:bookmarkStart w:id="423" w:name="_Toc515769518"/>
      <w:bookmarkStart w:id="424" w:name="_Toc522083199"/>
      <w:bookmarkStart w:id="425" w:name="_Toc123622934"/>
      <w:bookmarkStart w:id="426" w:name="_Toc166925621"/>
      <w:bookmarkStart w:id="427" w:name="_Toc256088278"/>
      <w:bookmarkStart w:id="428" w:name="_Toc218399506"/>
      <w:r>
        <w:rPr>
          <w:rStyle w:val="CharSectno"/>
        </w:rPr>
        <w:t>622</w:t>
      </w:r>
      <w:r>
        <w:rPr>
          <w:snapToGrid w:val="0"/>
        </w:rPr>
        <w:t>.</w:t>
      </w:r>
      <w:r>
        <w:rPr>
          <w:snapToGrid w:val="0"/>
        </w:rPr>
        <w:tab/>
        <w:t>Acts against discipline</w:t>
      </w:r>
      <w:bookmarkEnd w:id="422"/>
      <w:bookmarkEnd w:id="423"/>
      <w:bookmarkEnd w:id="424"/>
      <w:bookmarkEnd w:id="425"/>
      <w:bookmarkEnd w:id="426"/>
      <w:bookmarkEnd w:id="427"/>
      <w:bookmarkEnd w:id="428"/>
      <w:r>
        <w:rPr>
          <w:snapToGrid w:val="0"/>
        </w:rPr>
        <w:t xml:space="preserve"> </w:t>
      </w:r>
    </w:p>
    <w:p>
      <w:pPr>
        <w:pStyle w:val="Subsection"/>
        <w:spacing w:before="120"/>
        <w:rPr>
          <w:snapToGrid w:val="0"/>
        </w:rPr>
      </w:pPr>
      <w:r>
        <w:rPr>
          <w:snapToGrid w:val="0"/>
        </w:rPr>
        <w:tab/>
      </w:r>
      <w:r>
        <w:rPr>
          <w:snapToGrid w:val="0"/>
        </w:rPr>
        <w:tab/>
        <w:t>A member or cadet shall not induce or attempt to induce any member of the Force or cadet to withhold his services, or commit a breach of discipline, or connive at or knowingly be an accessory to any offence against discipline of the Force.</w:t>
      </w:r>
    </w:p>
    <w:p>
      <w:pPr>
        <w:pStyle w:val="Heading5"/>
        <w:rPr>
          <w:snapToGrid w:val="0"/>
        </w:rPr>
      </w:pPr>
      <w:bookmarkStart w:id="429" w:name="_Toc500034721"/>
      <w:bookmarkStart w:id="430" w:name="_Toc515769519"/>
      <w:bookmarkStart w:id="431" w:name="_Toc522083200"/>
      <w:bookmarkStart w:id="432" w:name="_Toc123622935"/>
      <w:bookmarkStart w:id="433" w:name="_Toc166925622"/>
      <w:bookmarkStart w:id="434" w:name="_Toc256088279"/>
      <w:bookmarkStart w:id="435" w:name="_Toc218399507"/>
      <w:r>
        <w:rPr>
          <w:rStyle w:val="CharSectno"/>
        </w:rPr>
        <w:t>623</w:t>
      </w:r>
      <w:r>
        <w:rPr>
          <w:snapToGrid w:val="0"/>
        </w:rPr>
        <w:t>.</w:t>
      </w:r>
      <w:r>
        <w:rPr>
          <w:snapToGrid w:val="0"/>
        </w:rPr>
        <w:tab/>
        <w:t>Offence against discipline to be reported</w:t>
      </w:r>
      <w:bookmarkEnd w:id="429"/>
      <w:bookmarkEnd w:id="430"/>
      <w:bookmarkEnd w:id="431"/>
      <w:bookmarkEnd w:id="432"/>
      <w:bookmarkEnd w:id="433"/>
      <w:bookmarkEnd w:id="434"/>
      <w:bookmarkEnd w:id="435"/>
      <w:r>
        <w:rPr>
          <w:snapToGrid w:val="0"/>
        </w:rPr>
        <w:t xml:space="preserve"> </w:t>
      </w:r>
    </w:p>
    <w:p>
      <w:pPr>
        <w:pStyle w:val="Subsection"/>
        <w:spacing w:before="120"/>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or cadet who has committed an offence against discipline of the Force.</w:t>
      </w:r>
    </w:p>
    <w:p>
      <w:pPr>
        <w:pStyle w:val="Heading5"/>
        <w:rPr>
          <w:snapToGrid w:val="0"/>
        </w:rPr>
      </w:pPr>
      <w:bookmarkStart w:id="436" w:name="_Toc500034722"/>
      <w:bookmarkStart w:id="437" w:name="_Toc515769520"/>
      <w:bookmarkStart w:id="438" w:name="_Toc522083201"/>
      <w:bookmarkStart w:id="439" w:name="_Toc123622936"/>
      <w:bookmarkStart w:id="440" w:name="_Toc166925623"/>
      <w:bookmarkStart w:id="441" w:name="_Toc256088280"/>
      <w:bookmarkStart w:id="442" w:name="_Toc218399508"/>
      <w:r>
        <w:rPr>
          <w:rStyle w:val="CharSectno"/>
        </w:rPr>
        <w:t>624</w:t>
      </w:r>
      <w:r>
        <w:rPr>
          <w:snapToGrid w:val="0"/>
        </w:rPr>
        <w:t>.</w:t>
      </w:r>
      <w:r>
        <w:rPr>
          <w:snapToGrid w:val="0"/>
        </w:rPr>
        <w:tab/>
        <w:t>Investigation into acts against discipline</w:t>
      </w:r>
      <w:bookmarkEnd w:id="436"/>
      <w:bookmarkEnd w:id="437"/>
      <w:bookmarkEnd w:id="438"/>
      <w:bookmarkEnd w:id="439"/>
      <w:bookmarkEnd w:id="440"/>
      <w:bookmarkEnd w:id="441"/>
      <w:bookmarkEnd w:id="442"/>
      <w:r>
        <w:rPr>
          <w:snapToGrid w:val="0"/>
        </w:rPr>
        <w:t xml:space="preserve"> </w:t>
      </w:r>
    </w:p>
    <w:p>
      <w:pPr>
        <w:pStyle w:val="Subsection"/>
        <w:spacing w:before="120"/>
        <w:rPr>
          <w:snapToGrid w:val="0"/>
        </w:rPr>
      </w:pPr>
      <w:r>
        <w:rPr>
          <w:snapToGrid w:val="0"/>
        </w:rPr>
        <w:tab/>
        <w:t>(1)</w:t>
      </w:r>
      <w:r>
        <w:rPr>
          <w:snapToGrid w:val="0"/>
        </w:rPr>
        <w:tab/>
        <w:t>Where an allegation is made that a member or cadet has committed an offence against the discipline of the Force the officer designated by the Commissioner for that purpose or the officer in charge of the region or branch in which the member or cadet is stationed shall cause an investigation to be made by a commissioned officer or non</w:t>
      </w:r>
      <w:r>
        <w:rPr>
          <w:snapToGrid w:val="0"/>
        </w:rPr>
        <w:noBreakHyphen/>
        <w:t xml:space="preserve">commissioned officer (in subregulation (2) called </w:t>
      </w:r>
      <w:r>
        <w:rPr>
          <w:rStyle w:val="CharDefText"/>
        </w:rPr>
        <w:t>the investigating officer</w:t>
      </w:r>
      <w:r>
        <w:rPr>
          <w:snapToGrid w:val="0"/>
        </w:rPr>
        <w:t>) into the allegation.</w:t>
      </w:r>
    </w:p>
    <w:p>
      <w:pPr>
        <w:pStyle w:val="Subsection"/>
        <w:spacing w:before="120"/>
        <w:rPr>
          <w:snapToGrid w:val="0"/>
        </w:rPr>
      </w:pPr>
      <w:r>
        <w:rPr>
          <w:snapToGrid w:val="0"/>
        </w:rPr>
        <w:tab/>
        <w:t>(2)</w:t>
      </w:r>
      <w:r>
        <w:rPr>
          <w:snapToGrid w:val="0"/>
        </w:rPr>
        <w:tab/>
        <w:t>The investigating officer shall on completing his investigation make his report to the officer by whom he was appointed to make the investigation.</w:t>
      </w:r>
    </w:p>
    <w:p>
      <w:pPr>
        <w:pStyle w:val="Subsection"/>
        <w:spacing w:before="120"/>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 xml:space="preserve">[Regulation 624 amended in Gazette 16 Feb 1979 p. 425; 23 Mar 1984 p. 745; 22 Aug 1997 p. 4815.] </w:t>
      </w:r>
    </w:p>
    <w:p>
      <w:pPr>
        <w:pStyle w:val="Heading5"/>
        <w:rPr>
          <w:snapToGrid w:val="0"/>
        </w:rPr>
      </w:pPr>
      <w:bookmarkStart w:id="443" w:name="_Toc500034723"/>
      <w:bookmarkStart w:id="444" w:name="_Toc515769521"/>
      <w:bookmarkStart w:id="445" w:name="_Toc522083202"/>
      <w:bookmarkStart w:id="446" w:name="_Toc123622937"/>
      <w:bookmarkStart w:id="447" w:name="_Toc166925624"/>
      <w:bookmarkStart w:id="448" w:name="_Toc256088281"/>
      <w:bookmarkStart w:id="449" w:name="_Toc218399509"/>
      <w:r>
        <w:rPr>
          <w:rStyle w:val="CharSectno"/>
        </w:rPr>
        <w:t>625</w:t>
      </w:r>
      <w:r>
        <w:rPr>
          <w:snapToGrid w:val="0"/>
        </w:rPr>
        <w:t>.</w:t>
      </w:r>
      <w:r>
        <w:rPr>
          <w:snapToGrid w:val="0"/>
        </w:rPr>
        <w:tab/>
        <w:t>Disciplinary proceedings</w:t>
      </w:r>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Where proceedings are taken pursuant to section 23 of the Act —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the officer in charge of the region or branch shall cause a copy of the disciplinary charge sheet containing the charge to be served on the member or cadet charged with the offence before he pleads to the charge;</w:t>
      </w:r>
    </w:p>
    <w:p>
      <w:pPr>
        <w:pStyle w:val="Indenta"/>
        <w:rPr>
          <w:snapToGrid w:val="0"/>
        </w:rPr>
      </w:pPr>
      <w:r>
        <w:rPr>
          <w:snapToGrid w:val="0"/>
        </w:rPr>
        <w:tab/>
        <w:t>(c)</w:t>
      </w:r>
      <w:r>
        <w:rPr>
          <w:snapToGrid w:val="0"/>
        </w:rPr>
        <w:tab/>
        <w:t>the officer in charge of the region or branch in which the member or cadet is stationed shall take reasonable steps to secure the attendance at the hearing of all persons whose names and addresses have been supplied by the accused member or cadet as witnesses on his behalf.</w:t>
      </w:r>
    </w:p>
    <w:p>
      <w:pPr>
        <w:pStyle w:val="Footnotesection"/>
      </w:pPr>
      <w:r>
        <w:tab/>
        <w:t xml:space="preserve">[Regulation 625 amended in Gazette 7 Sep 1979 p. 2717; 27 Oct 1989 p. 3888.] </w:t>
      </w:r>
    </w:p>
    <w:p>
      <w:pPr>
        <w:pStyle w:val="Heading5"/>
        <w:rPr>
          <w:snapToGrid w:val="0"/>
        </w:rPr>
      </w:pPr>
      <w:bookmarkStart w:id="450" w:name="_Toc500034724"/>
      <w:bookmarkStart w:id="451" w:name="_Toc515769522"/>
      <w:bookmarkStart w:id="452" w:name="_Toc522083203"/>
      <w:bookmarkStart w:id="453" w:name="_Toc123622938"/>
      <w:bookmarkStart w:id="454" w:name="_Toc166925625"/>
      <w:bookmarkStart w:id="455" w:name="_Toc256088282"/>
      <w:bookmarkStart w:id="456" w:name="_Toc218399510"/>
      <w:r>
        <w:rPr>
          <w:rStyle w:val="CharSectno"/>
        </w:rPr>
        <w:t>626</w:t>
      </w:r>
      <w:r>
        <w:rPr>
          <w:snapToGrid w:val="0"/>
        </w:rPr>
        <w:t>.</w:t>
      </w:r>
      <w:r>
        <w:rPr>
          <w:snapToGrid w:val="0"/>
        </w:rPr>
        <w:tab/>
        <w:t>Civil or criminal proceedings against member or cadet</w:t>
      </w:r>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Where any proceeding, whether civil or criminal (not being a charge for an offence against the discipline of the Force) is brought against a member or cadet, the member or cadet shall, as soon as possible after the commencement of the proceedings, report the fact to the officer in charge of the region or the branch in which he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Heading2"/>
      </w:pPr>
      <w:bookmarkStart w:id="457" w:name="_Toc90976475"/>
      <w:bookmarkStart w:id="458" w:name="_Toc91044707"/>
      <w:bookmarkStart w:id="459" w:name="_Toc91044887"/>
      <w:bookmarkStart w:id="460" w:name="_Toc123621396"/>
      <w:bookmarkStart w:id="461" w:name="_Toc123622939"/>
      <w:bookmarkStart w:id="462" w:name="_Toc153957312"/>
      <w:bookmarkStart w:id="463" w:name="_Toc153958655"/>
      <w:bookmarkStart w:id="464" w:name="_Toc154478734"/>
      <w:bookmarkStart w:id="465" w:name="_Toc161039414"/>
      <w:bookmarkStart w:id="466" w:name="_Toc161039555"/>
      <w:bookmarkStart w:id="467" w:name="_Toc161130308"/>
      <w:bookmarkStart w:id="468" w:name="_Toc163021067"/>
      <w:bookmarkStart w:id="469" w:name="_Toc164760038"/>
      <w:bookmarkStart w:id="470" w:name="_Toc166925626"/>
      <w:bookmarkStart w:id="471" w:name="_Toc182896955"/>
      <w:bookmarkStart w:id="472" w:name="_Toc182897717"/>
      <w:bookmarkStart w:id="473" w:name="_Toc182901871"/>
      <w:bookmarkStart w:id="474" w:name="_Toc198028263"/>
      <w:bookmarkStart w:id="475" w:name="_Toc218399511"/>
      <w:bookmarkStart w:id="476" w:name="_Toc256088283"/>
      <w:r>
        <w:rPr>
          <w:rStyle w:val="CharPartNo"/>
        </w:rPr>
        <w:t>Part VIA</w:t>
      </w:r>
      <w:r>
        <w:rPr>
          <w:b w:val="0"/>
        </w:rPr>
        <w:t> </w:t>
      </w:r>
      <w:r>
        <w:t>—</w:t>
      </w:r>
      <w:r>
        <w:rPr>
          <w:b w:val="0"/>
        </w:rPr>
        <w:t> </w:t>
      </w:r>
      <w:r>
        <w:rPr>
          <w:rStyle w:val="CharPartText"/>
        </w:rPr>
        <w:t>Procedure relating to Part IIB of the Act</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Footnotesection"/>
      </w:pPr>
      <w:r>
        <w:tab/>
        <w:t>[Heading inserted in Gazette 26 Aug 2003 p. 3758.]</w:t>
      </w:r>
    </w:p>
    <w:p>
      <w:pPr>
        <w:pStyle w:val="Heading5"/>
      </w:pPr>
      <w:bookmarkStart w:id="477" w:name="_Toc123622940"/>
      <w:bookmarkStart w:id="478" w:name="_Toc166925627"/>
      <w:bookmarkStart w:id="479" w:name="_Toc256088284"/>
      <w:bookmarkStart w:id="480" w:name="_Toc218399512"/>
      <w:r>
        <w:rPr>
          <w:rStyle w:val="CharSectno"/>
        </w:rPr>
        <w:t>6A01</w:t>
      </w:r>
      <w:r>
        <w:t>.</w:t>
      </w:r>
      <w:r>
        <w:tab/>
      </w:r>
      <w:bookmarkEnd w:id="477"/>
      <w:r>
        <w:t>Terms used in this Part</w:t>
      </w:r>
      <w:bookmarkEnd w:id="478"/>
      <w:bookmarkEnd w:id="479"/>
      <w:bookmarkEnd w:id="480"/>
    </w:p>
    <w:p>
      <w:pPr>
        <w:pStyle w:val="Subsection"/>
      </w:pPr>
      <w:r>
        <w:tab/>
      </w:r>
      <w:r>
        <w:tab/>
        <w:t xml:space="preserve">In this Part, unless the contrary intention appears —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 </w:t>
      </w:r>
    </w:p>
    <w:p>
      <w:pPr>
        <w:pStyle w:val="Defpara"/>
      </w:pPr>
      <w:r>
        <w:tab/>
        <w:t>(a)</w:t>
      </w:r>
      <w:r>
        <w:tab/>
        <w:t>a privilege that would attach to documents prepared for the purpose of pending or contemplated proceedings or in connection with the obtaining or giving of legal advice;</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in Gazette 26 Aug 2003 p. 3758</w:t>
      </w:r>
      <w:r>
        <w:noBreakHyphen/>
        <w:t>9; amended in Gazette 15 Dec 2006 p. 5632.]</w:t>
      </w:r>
    </w:p>
    <w:p>
      <w:pPr>
        <w:pStyle w:val="Heading5"/>
      </w:pPr>
      <w:bookmarkStart w:id="481" w:name="_Toc123622941"/>
      <w:bookmarkStart w:id="482" w:name="_Toc166925628"/>
      <w:bookmarkStart w:id="483" w:name="_Toc256088285"/>
      <w:bookmarkStart w:id="484" w:name="_Toc218399513"/>
      <w:r>
        <w:rPr>
          <w:rStyle w:val="CharSectno"/>
        </w:rPr>
        <w:t>6A02</w:t>
      </w:r>
      <w:r>
        <w:t>.</w:t>
      </w:r>
      <w:r>
        <w:tab/>
        <w:t>Appointment of review officer</w:t>
      </w:r>
      <w:bookmarkEnd w:id="481"/>
      <w:bookmarkEnd w:id="482"/>
      <w:bookmarkEnd w:id="483"/>
      <w:bookmarkEnd w:id="484"/>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485" w:name="_Toc123622942"/>
      <w:bookmarkStart w:id="486" w:name="_Toc166925629"/>
      <w:bookmarkStart w:id="487" w:name="_Toc256088286"/>
      <w:bookmarkStart w:id="488" w:name="_Toc218399514"/>
      <w:r>
        <w:rPr>
          <w:rStyle w:val="CharSectno"/>
        </w:rPr>
        <w:t>6A03</w:t>
      </w:r>
      <w:r>
        <w:t>.</w:t>
      </w:r>
      <w:r>
        <w:tab/>
        <w:t>Role of review officer</w:t>
      </w:r>
      <w:bookmarkEnd w:id="485"/>
      <w:bookmarkEnd w:id="486"/>
      <w:bookmarkEnd w:id="487"/>
      <w:bookmarkEnd w:id="488"/>
    </w:p>
    <w:p>
      <w:pPr>
        <w:pStyle w:val="Subsection"/>
      </w:pPr>
      <w:r>
        <w:tab/>
        <w:t>(1)</w:t>
      </w:r>
      <w:r>
        <w:tab/>
        <w:t xml:space="preserve">In subregulation (2) —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 xml:space="preserve">The review officer shall conduct an inquiry into the member referred to in regulation 6A02(1) and prepare —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w:t>
      </w:r>
      <w:r>
        <w:noBreakHyphen/>
        <w:t>60.]</w:t>
      </w:r>
    </w:p>
    <w:p>
      <w:pPr>
        <w:pStyle w:val="Heading5"/>
      </w:pPr>
      <w:bookmarkStart w:id="489" w:name="_Toc123622943"/>
      <w:bookmarkStart w:id="490" w:name="_Toc166925630"/>
      <w:bookmarkStart w:id="491" w:name="_Toc256088287"/>
      <w:bookmarkStart w:id="492" w:name="_Toc218399515"/>
      <w:r>
        <w:rPr>
          <w:rStyle w:val="CharSectno"/>
        </w:rPr>
        <w:t>6A04</w:t>
      </w:r>
      <w:r>
        <w:t>.</w:t>
      </w:r>
      <w:r>
        <w:tab/>
        <w:t>Provision of materials to the Commissioner</w:t>
      </w:r>
      <w:bookmarkEnd w:id="489"/>
      <w:bookmarkEnd w:id="490"/>
      <w:bookmarkEnd w:id="491"/>
      <w:bookmarkEnd w:id="492"/>
    </w:p>
    <w:p>
      <w:pPr>
        <w:pStyle w:val="Subsection"/>
      </w:pPr>
      <w:r>
        <w:tab/>
        <w:t>(1)</w:t>
      </w:r>
      <w:r>
        <w:tab/>
        <w:t xml:space="preserve">When the review officer completes his or her inquiry, the review officer or the assistant commissioner shall provide the Commissioner with — </w:t>
      </w:r>
    </w:p>
    <w:p>
      <w:pPr>
        <w:pStyle w:val="Indenta"/>
      </w:pPr>
      <w:r>
        <w:tab/>
        <w:t>(a)</w:t>
      </w:r>
      <w:r>
        <w:tab/>
        <w:t>the Summary of Investigation;</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pPr>
      <w:r>
        <w:tab/>
        <w:t>[Regulation 6A04 inserted in Gazette 26 Aug 2003 p. 3760.]</w:t>
      </w:r>
    </w:p>
    <w:p>
      <w:pPr>
        <w:pStyle w:val="Heading5"/>
      </w:pPr>
      <w:bookmarkStart w:id="493" w:name="_Toc123622944"/>
      <w:bookmarkStart w:id="494" w:name="_Toc166925631"/>
      <w:bookmarkStart w:id="495" w:name="_Toc256088288"/>
      <w:bookmarkStart w:id="496" w:name="_Toc218399516"/>
      <w:r>
        <w:rPr>
          <w:rStyle w:val="CharSectno"/>
        </w:rPr>
        <w:t>6A05</w:t>
      </w:r>
      <w:r>
        <w:t>.</w:t>
      </w:r>
      <w:r>
        <w:tab/>
        <w:t>Notice for purpose of section 33L(1) of the Act</w:t>
      </w:r>
      <w:bookmarkEnd w:id="493"/>
      <w:bookmarkEnd w:id="494"/>
      <w:bookmarkEnd w:id="495"/>
      <w:bookmarkEnd w:id="496"/>
    </w:p>
    <w:p>
      <w:pPr>
        <w:pStyle w:val="Subsection"/>
        <w:spacing w:before="120"/>
      </w:pPr>
      <w:r>
        <w:tab/>
        <w:t>(1)</w:t>
      </w:r>
      <w:r>
        <w:tab/>
        <w:t xml:space="preserve">Apart from the matter set out in section 33L(1) of the Act, a notice shall —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 xml:space="preserve">As soon as practicable after the Commissioner gives a notice to a member, the Commissioner shall — </w:t>
      </w:r>
    </w:p>
    <w:p>
      <w:pPr>
        <w:pStyle w:val="Indenta"/>
      </w:pPr>
      <w:r>
        <w:tab/>
        <w:t>(a)</w:t>
      </w:r>
      <w:r>
        <w:tab/>
        <w:t xml:space="preserve">provide to the member a copy of any of the following documents relating to the decision to give the notice —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w:t>
      </w:r>
      <w:r>
        <w:noBreakHyphen/>
        <w:t>1.]</w:t>
      </w:r>
    </w:p>
    <w:p>
      <w:pPr>
        <w:pStyle w:val="Heading5"/>
      </w:pPr>
      <w:bookmarkStart w:id="497" w:name="_Toc123622945"/>
      <w:bookmarkStart w:id="498" w:name="_Toc166925632"/>
      <w:bookmarkStart w:id="499" w:name="_Toc256088289"/>
      <w:bookmarkStart w:id="500" w:name="_Toc218399517"/>
      <w:r>
        <w:rPr>
          <w:rStyle w:val="CharSectno"/>
        </w:rPr>
        <w:t>6A06</w:t>
      </w:r>
      <w:r>
        <w:t>.</w:t>
      </w:r>
      <w:r>
        <w:tab/>
        <w:t>Access to material</w:t>
      </w:r>
      <w:bookmarkEnd w:id="497"/>
      <w:bookmarkEnd w:id="498"/>
      <w:bookmarkEnd w:id="499"/>
      <w:bookmarkEnd w:id="500"/>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 xml:space="preserve">If a member who has been given a notice wishes to inspect any material, other than material provided to the member under these regulations, that — </w:t>
      </w:r>
    </w:p>
    <w:p>
      <w:pPr>
        <w:pStyle w:val="Indenta"/>
      </w:pPr>
      <w:r>
        <w:tab/>
        <w:t>(a)</w:t>
      </w:r>
      <w:r>
        <w:tab/>
        <w:t>the member has seen or created in the course of his or her duties as a member; and</w:t>
      </w:r>
    </w:p>
    <w:p>
      <w:pPr>
        <w:pStyle w:val="Indenta"/>
      </w:pPr>
      <w:r>
        <w:tab/>
        <w:t>(b)</w:t>
      </w:r>
      <w:r>
        <w:tab/>
        <w:t xml:space="preserve">is relevant to issues concerning the member referred to in the notice, </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501" w:name="_Toc123622946"/>
      <w:bookmarkStart w:id="502" w:name="_Toc166925633"/>
      <w:bookmarkStart w:id="503" w:name="_Toc256088290"/>
      <w:bookmarkStart w:id="504" w:name="_Toc218399518"/>
      <w:r>
        <w:rPr>
          <w:rStyle w:val="CharSectno"/>
        </w:rPr>
        <w:t>6A07</w:t>
      </w:r>
      <w:r>
        <w:t>.</w:t>
      </w:r>
      <w:r>
        <w:tab/>
        <w:t>Commissioner’s assessment of the member’s submission</w:t>
      </w:r>
      <w:bookmarkEnd w:id="501"/>
      <w:bookmarkEnd w:id="502"/>
      <w:bookmarkEnd w:id="503"/>
      <w:bookmarkEnd w:id="504"/>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 xml:space="preserve">If the further investigation or analysis cannot be completed within the period referred to in subregulation (3), the Commissioner shall give the member a notice stating — </w:t>
      </w:r>
    </w:p>
    <w:p>
      <w:pPr>
        <w:pStyle w:val="Indenta"/>
      </w:pPr>
      <w:r>
        <w:tab/>
        <w:t>(a)</w:t>
      </w:r>
      <w:r>
        <w:tab/>
        <w:t>the reasons for the further investigation or analysis;</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lang w:val="en-US"/>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w:t>
      </w:r>
      <w:r>
        <w:noBreakHyphen/>
        <w:t>2.]</w:t>
      </w:r>
    </w:p>
    <w:p>
      <w:pPr>
        <w:pStyle w:val="Heading5"/>
      </w:pPr>
      <w:bookmarkStart w:id="505" w:name="_Toc123622947"/>
      <w:bookmarkStart w:id="506" w:name="_Toc166925634"/>
      <w:bookmarkStart w:id="507" w:name="_Toc256088291"/>
      <w:bookmarkStart w:id="508" w:name="_Toc218399519"/>
      <w:r>
        <w:rPr>
          <w:rStyle w:val="CharSectno"/>
        </w:rPr>
        <w:t>6A08</w:t>
      </w:r>
      <w:r>
        <w:t>.</w:t>
      </w:r>
      <w:r>
        <w:tab/>
        <w:t>Further ground for removal, or revocation of appointment</w:t>
      </w:r>
      <w:bookmarkEnd w:id="505"/>
      <w:bookmarkEnd w:id="506"/>
      <w:bookmarkEnd w:id="507"/>
      <w:bookmarkEnd w:id="508"/>
    </w:p>
    <w:p>
      <w:pPr>
        <w:pStyle w:val="Subsection"/>
      </w:pPr>
      <w:r>
        <w:tab/>
        <w:t>(1)</w:t>
      </w:r>
      <w:r>
        <w:tab/>
        <w:t xml:space="preserve">If during an assessment under this Part the Commissioner concludes that he or she has lost confidence in the suitability of the member the subject of the assessment to continue as a member on a ground other than a ground set out in the notice the Commissioner shall — </w:t>
      </w:r>
    </w:p>
    <w:p>
      <w:pPr>
        <w:pStyle w:val="Indenta"/>
      </w:pPr>
      <w:r>
        <w:tab/>
        <w:t>(a)</w:t>
      </w:r>
      <w:r>
        <w:tab/>
        <w:t>give the member notice in writing of the further ground;</w:t>
      </w:r>
    </w:p>
    <w:p>
      <w:pPr>
        <w:pStyle w:val="Indenta"/>
      </w:pPr>
      <w:r>
        <w:tab/>
        <w:t>(b)</w:t>
      </w:r>
      <w:r>
        <w:tab/>
        <w:t xml:space="preserve">provide to the member a copy of any documents and make available for inspection any other materials that have been examined and taken into account by the Commissioner during the assessment under this Part with the exception of — </w:t>
      </w:r>
    </w:p>
    <w:p>
      <w:pPr>
        <w:pStyle w:val="Indenti"/>
      </w:pPr>
      <w:r>
        <w:tab/>
        <w:t>(i)</w:t>
      </w:r>
      <w:r>
        <w:tab/>
        <w:t>those documents copies of which have already been given to the member or materials which have already been made available for inspection by the member under this Part; and</w:t>
      </w:r>
    </w:p>
    <w:p>
      <w:pPr>
        <w:pStyle w:val="Indenti"/>
      </w:pPr>
      <w:r>
        <w:tab/>
        <w:t>(ii)</w:t>
      </w:r>
      <w:r>
        <w:tab/>
        <w:t>privileged documents or materials;</w:t>
      </w:r>
    </w:p>
    <w:p>
      <w:pPr>
        <w:pStyle w:val="Indenta"/>
      </w:pPr>
      <w:r>
        <w:tab/>
      </w:r>
      <w:r>
        <w:tab/>
        <w:t>and</w:t>
      </w:r>
    </w:p>
    <w:p>
      <w:pPr>
        <w:pStyle w:val="Indenta"/>
      </w:pPr>
      <w:r>
        <w:tab/>
        <w:t>(c)</w:t>
      </w:r>
      <w:r>
        <w:tab/>
        <w:t>allow the member a specified period to provide a response to the further ground.</w:t>
      </w:r>
    </w:p>
    <w:p>
      <w:pPr>
        <w:pStyle w:val="Subsection"/>
      </w:pPr>
      <w:r>
        <w:tab/>
        <w:t>(2)</w:t>
      </w:r>
      <w:r>
        <w:tab/>
        <w:t xml:space="preserve">For the purpose of subregulation (1), the specified period is — </w:t>
      </w:r>
    </w:p>
    <w:p>
      <w:pPr>
        <w:pStyle w:val="Indenta"/>
      </w:pPr>
      <w:r>
        <w:tab/>
        <w:t>(a)</w:t>
      </w:r>
      <w:r>
        <w:tab/>
        <w:t>the period of 21 days beginning on the day on which the member is given the notice of the further ground or copies of documents under subregulation (1), whichever is the later; or</w:t>
      </w:r>
    </w:p>
    <w:p>
      <w:pPr>
        <w:pStyle w:val="Indenta"/>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w:t>
      </w:r>
      <w:r>
        <w:noBreakHyphen/>
        <w:t>3.]</w:t>
      </w:r>
    </w:p>
    <w:p>
      <w:pPr>
        <w:pStyle w:val="Heading5"/>
      </w:pPr>
      <w:bookmarkStart w:id="509" w:name="_Toc123622948"/>
      <w:bookmarkStart w:id="510" w:name="_Toc166925635"/>
      <w:bookmarkStart w:id="511" w:name="_Toc256088292"/>
      <w:bookmarkStart w:id="512" w:name="_Toc218399520"/>
      <w:r>
        <w:rPr>
          <w:rStyle w:val="CharSectno"/>
        </w:rPr>
        <w:t>6A09</w:t>
      </w:r>
      <w:r>
        <w:t>.</w:t>
      </w:r>
      <w:r>
        <w:tab/>
        <w:t xml:space="preserve">Notice of Commissioner’s </w:t>
      </w:r>
      <w:bookmarkEnd w:id="509"/>
      <w:bookmarkEnd w:id="510"/>
      <w:r>
        <w:t>decision on removal action and materials relied on (Act s. 33L(3) and (5))</w:t>
      </w:r>
      <w:bookmarkEnd w:id="511"/>
      <w:bookmarkEnd w:id="512"/>
    </w:p>
    <w:p>
      <w:pPr>
        <w:pStyle w:val="Subsection"/>
      </w:pPr>
      <w:r>
        <w:tab/>
        <w:t>(1)</w:t>
      </w:r>
      <w:r>
        <w:tab/>
        <w:t>A notice under section 33L(3)(b) of the Act shall be given to the member within 7 days of the making of the decision to take removal action.</w:t>
      </w:r>
    </w:p>
    <w:p>
      <w:pPr>
        <w:pStyle w:val="Subsection"/>
      </w:pPr>
      <w:r>
        <w:tab/>
        <w:t>(2)</w:t>
      </w:r>
      <w:r>
        <w:tab/>
        <w:t xml:space="preserve">The Commissioner is not required to comply with section 33L(5)(b) of the Act —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513" w:name="_Toc123622949"/>
      <w:bookmarkStart w:id="514" w:name="_Toc166925636"/>
      <w:bookmarkStart w:id="515" w:name="_Toc256088293"/>
      <w:bookmarkStart w:id="516" w:name="_Toc218399521"/>
      <w:r>
        <w:rPr>
          <w:rStyle w:val="CharSectno"/>
        </w:rPr>
        <w:t>6A10</w:t>
      </w:r>
      <w:r>
        <w:t>.</w:t>
      </w:r>
      <w:r>
        <w:tab/>
        <w:t>Service of notices or documents</w:t>
      </w:r>
      <w:bookmarkEnd w:id="513"/>
      <w:bookmarkEnd w:id="514"/>
      <w:bookmarkEnd w:id="515"/>
      <w:bookmarkEnd w:id="516"/>
    </w:p>
    <w:p>
      <w:pPr>
        <w:pStyle w:val="Subsection"/>
        <w:spacing w:before="120"/>
      </w:pPr>
      <w:r>
        <w:tab/>
        <w:t>(1)</w:t>
      </w:r>
      <w:r>
        <w:tab/>
        <w:t xml:space="preserve">If a notice or document is required to be given to a member under Part IIB of the Act or this Part, service may be effected on the member — </w:t>
      </w:r>
    </w:p>
    <w:p>
      <w:pPr>
        <w:pStyle w:val="Indenta"/>
      </w:pPr>
      <w:r>
        <w:tab/>
        <w:t>(a)</w:t>
      </w:r>
      <w:r>
        <w:tab/>
        <w:t>by delivering it to the member personally;</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 xml:space="preserve">Service under subregulation (1) is to be taken to be effected — </w:t>
      </w:r>
    </w:p>
    <w:p>
      <w:pPr>
        <w:pStyle w:val="Indenta"/>
      </w:pPr>
      <w:r>
        <w:tab/>
        <w:t>(a)</w:t>
      </w:r>
      <w:r>
        <w:tab/>
        <w:t>in the case of service under subregulation (1)(a), at the time of delivery to the member;</w:t>
      </w:r>
    </w:p>
    <w:p>
      <w:pPr>
        <w:pStyle w:val="Indenta"/>
      </w:pPr>
      <w:r>
        <w:tab/>
        <w:t>(b)</w:t>
      </w:r>
      <w:r>
        <w:tab/>
        <w:t>in the case of service under subregulation (1)(b), at the time when the letter would have been delivered in the ordinary course of post;</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517" w:name="_Toc123622950"/>
      <w:bookmarkStart w:id="518" w:name="_Toc166925637"/>
      <w:bookmarkStart w:id="519" w:name="_Toc256088294"/>
      <w:bookmarkStart w:id="520" w:name="_Toc218399522"/>
      <w:r>
        <w:rPr>
          <w:rStyle w:val="CharSectno"/>
        </w:rPr>
        <w:t>6A11</w:t>
      </w:r>
      <w:r>
        <w:t>.</w:t>
      </w:r>
      <w:r>
        <w:tab/>
        <w:t>Members unfit for further active service</w:t>
      </w:r>
      <w:bookmarkEnd w:id="517"/>
      <w:bookmarkEnd w:id="518"/>
      <w:bookmarkEnd w:id="519"/>
      <w:bookmarkEnd w:id="520"/>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521" w:name="_Toc123622951"/>
      <w:bookmarkStart w:id="522" w:name="_Toc166925638"/>
      <w:bookmarkStart w:id="523" w:name="_Toc256088295"/>
      <w:bookmarkStart w:id="524" w:name="_Toc218399523"/>
      <w:r>
        <w:rPr>
          <w:rStyle w:val="CharSectno"/>
        </w:rPr>
        <w:t>6A12</w:t>
      </w:r>
      <w:r>
        <w:t>.</w:t>
      </w:r>
      <w:r>
        <w:tab/>
        <w:t>Restriction on suspending member’s pay</w:t>
      </w:r>
      <w:bookmarkEnd w:id="521"/>
      <w:bookmarkEnd w:id="522"/>
      <w:bookmarkEnd w:id="523"/>
      <w:bookmarkEnd w:id="524"/>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Ednotepart"/>
      </w:pPr>
      <w:r>
        <w:t>[Part VII (r. 701</w:t>
      </w:r>
      <w:r>
        <w:noBreakHyphen/>
        <w:t>8) deleted in Gazette 22 Dec 2006 p. 5823.]</w:t>
      </w:r>
    </w:p>
    <w:p>
      <w:pPr>
        <w:pStyle w:val="Ednotepart"/>
      </w:pPr>
      <w:r>
        <w:t>[Part VIIA deleted in Gazette 17 Mar 1995 p. 1055.]</w:t>
      </w:r>
    </w:p>
    <w:p>
      <w:pPr>
        <w:pStyle w:val="Heading2"/>
      </w:pPr>
      <w:bookmarkStart w:id="525" w:name="_Toc90976497"/>
      <w:bookmarkStart w:id="526" w:name="_Toc91044729"/>
      <w:bookmarkStart w:id="527" w:name="_Toc91044909"/>
      <w:bookmarkStart w:id="528" w:name="_Toc123621418"/>
      <w:bookmarkStart w:id="529" w:name="_Toc123622961"/>
      <w:bookmarkStart w:id="530" w:name="_Toc153957334"/>
      <w:bookmarkStart w:id="531" w:name="_Toc153958677"/>
      <w:bookmarkStart w:id="532" w:name="_Toc154478747"/>
      <w:bookmarkStart w:id="533" w:name="_Toc161039427"/>
      <w:bookmarkStart w:id="534" w:name="_Toc161039568"/>
      <w:bookmarkStart w:id="535" w:name="_Toc161130321"/>
      <w:bookmarkStart w:id="536" w:name="_Toc163021080"/>
      <w:bookmarkStart w:id="537" w:name="_Toc164760051"/>
      <w:bookmarkStart w:id="538" w:name="_Toc166925639"/>
      <w:bookmarkStart w:id="539" w:name="_Toc182896968"/>
      <w:bookmarkStart w:id="540" w:name="_Toc182897730"/>
      <w:bookmarkStart w:id="541" w:name="_Toc182901884"/>
      <w:bookmarkStart w:id="542" w:name="_Toc198028276"/>
      <w:bookmarkStart w:id="543" w:name="_Toc218399524"/>
      <w:bookmarkStart w:id="544" w:name="_Toc256088296"/>
      <w:r>
        <w:rPr>
          <w:rStyle w:val="CharPartNo"/>
        </w:rPr>
        <w:t>Part VIII</w:t>
      </w:r>
      <w:r>
        <w:rPr>
          <w:rStyle w:val="CharDivText"/>
        </w:rPr>
        <w:t> </w:t>
      </w:r>
      <w:r>
        <w:t>—</w:t>
      </w:r>
      <w:r>
        <w:rPr>
          <w:rStyle w:val="CharDivText"/>
        </w:rPr>
        <w:t> </w:t>
      </w:r>
      <w:r>
        <w:rPr>
          <w:rStyle w:val="CharPartText"/>
        </w:rPr>
        <w:t>Seniority</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PartText"/>
        </w:rPr>
        <w:t xml:space="preserve"> </w:t>
      </w:r>
    </w:p>
    <w:p>
      <w:pPr>
        <w:pStyle w:val="Footnoteheading"/>
        <w:rPr>
          <w:snapToGrid w:val="0"/>
        </w:rPr>
      </w:pPr>
      <w:r>
        <w:rPr>
          <w:snapToGrid w:val="0"/>
        </w:rPr>
        <w:tab/>
        <w:t xml:space="preserve">[Heading amended in Gazette 30 Mar 1990 p. 1665; 21 Aug 1998 p. 4678.] </w:t>
      </w:r>
    </w:p>
    <w:p>
      <w:pPr>
        <w:pStyle w:val="Heading5"/>
        <w:rPr>
          <w:snapToGrid w:val="0"/>
        </w:rPr>
      </w:pPr>
      <w:bookmarkStart w:id="545" w:name="_Toc500034733"/>
      <w:bookmarkStart w:id="546" w:name="_Toc515769531"/>
      <w:bookmarkStart w:id="547" w:name="_Toc522083212"/>
      <w:bookmarkStart w:id="548" w:name="_Toc123622962"/>
      <w:bookmarkStart w:id="549" w:name="_Toc166925640"/>
      <w:bookmarkStart w:id="550" w:name="_Toc256088297"/>
      <w:bookmarkStart w:id="551" w:name="_Toc218399525"/>
      <w:r>
        <w:rPr>
          <w:rStyle w:val="CharSectno"/>
        </w:rPr>
        <w:t>801</w:t>
      </w:r>
      <w:r>
        <w:rPr>
          <w:snapToGrid w:val="0"/>
        </w:rPr>
        <w:t>.</w:t>
      </w:r>
      <w:r>
        <w:rPr>
          <w:snapToGrid w:val="0"/>
        </w:rPr>
        <w:tab/>
      </w:r>
      <w:bookmarkEnd w:id="545"/>
      <w:bookmarkEnd w:id="546"/>
      <w:bookmarkEnd w:id="547"/>
      <w:bookmarkEnd w:id="548"/>
      <w:r>
        <w:rPr>
          <w:snapToGrid w:val="0"/>
        </w:rPr>
        <w:t>Terms used in this Part</w:t>
      </w:r>
      <w:bookmarkEnd w:id="549"/>
      <w:bookmarkEnd w:id="550"/>
      <w:bookmarkEnd w:id="55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Register</w:t>
      </w:r>
      <w:r>
        <w:t xml:space="preserve"> means the Register of Training and Education Qualifications established pursuant to regulation 803;</w:t>
      </w:r>
    </w:p>
    <w:p>
      <w:pPr>
        <w:pStyle w:val="Defstart"/>
      </w:pPr>
      <w:r>
        <w:rPr>
          <w:b/>
        </w:rPr>
        <w:tab/>
      </w:r>
      <w:r>
        <w:rPr>
          <w:rStyle w:val="CharDefText"/>
        </w:rPr>
        <w:t>Seniority List</w:t>
      </w:r>
      <w:r>
        <w:t xml:space="preserve"> means the General Seniority List established pursuant to regulation 804.</w:t>
      </w:r>
    </w:p>
    <w:p>
      <w:pPr>
        <w:pStyle w:val="Footnotesection"/>
      </w:pPr>
      <w:r>
        <w:tab/>
        <w:t xml:space="preserve">[Regulation 801 amended in Gazette 7 Dec 1984 p. 4024; 24 Apr 1986 p. 1476; 30 Mar 1990 p. 1655; 14 Jul 1992 p. 3369; 21 Aug 1998 p. 4678.] </w:t>
      </w:r>
    </w:p>
    <w:p>
      <w:pPr>
        <w:pStyle w:val="Heading5"/>
      </w:pPr>
      <w:bookmarkStart w:id="552" w:name="_Toc500034734"/>
      <w:bookmarkStart w:id="553" w:name="_Toc515769532"/>
      <w:bookmarkStart w:id="554" w:name="_Toc522083213"/>
      <w:bookmarkStart w:id="555" w:name="_Toc123622963"/>
      <w:bookmarkStart w:id="556" w:name="_Toc166925641"/>
      <w:bookmarkStart w:id="557" w:name="_Toc256088298"/>
      <w:bookmarkStart w:id="558" w:name="_Toc218399526"/>
      <w:r>
        <w:rPr>
          <w:rStyle w:val="CharSectno"/>
        </w:rPr>
        <w:t>802</w:t>
      </w:r>
      <w:r>
        <w:t>.</w:t>
      </w:r>
      <w:r>
        <w:tab/>
        <w:t>Regulations not to affect power conferred on the Governor, Commissioner or Award</w:t>
      </w:r>
      <w:bookmarkEnd w:id="552"/>
      <w:bookmarkEnd w:id="553"/>
      <w:bookmarkEnd w:id="554"/>
      <w:bookmarkEnd w:id="555"/>
      <w:bookmarkEnd w:id="556"/>
      <w:bookmarkEnd w:id="557"/>
      <w:bookmarkEnd w:id="558"/>
    </w:p>
    <w:p>
      <w:pPr>
        <w:pStyle w:val="Subsection"/>
      </w:pPr>
      <w:r>
        <w:tab/>
      </w:r>
      <w:r>
        <w:tab/>
        <w:t>Nothing in these regulations affects —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pPr>
      <w:r>
        <w:tab/>
        <w:t>[Regulation 802 amended in Gazette 30 Dec 2008 p. 5645.]</w:t>
      </w:r>
    </w:p>
    <w:p>
      <w:pPr>
        <w:pStyle w:val="Heading5"/>
        <w:rPr>
          <w:snapToGrid w:val="0"/>
        </w:rPr>
      </w:pPr>
      <w:bookmarkStart w:id="559" w:name="_Toc500034735"/>
      <w:bookmarkStart w:id="560" w:name="_Toc515769533"/>
      <w:bookmarkStart w:id="561" w:name="_Toc522083214"/>
      <w:bookmarkStart w:id="562" w:name="_Toc123622964"/>
      <w:bookmarkStart w:id="563" w:name="_Toc166925642"/>
      <w:bookmarkStart w:id="564" w:name="_Toc256088299"/>
      <w:bookmarkStart w:id="565" w:name="_Toc218399527"/>
      <w:r>
        <w:rPr>
          <w:rStyle w:val="CharSectno"/>
        </w:rPr>
        <w:t>803</w:t>
      </w:r>
      <w:r>
        <w:rPr>
          <w:snapToGrid w:val="0"/>
        </w:rPr>
        <w:t>.</w:t>
      </w:r>
      <w:r>
        <w:rPr>
          <w:snapToGrid w:val="0"/>
        </w:rPr>
        <w:tab/>
        <w:t>Register of Training and Education Qualifications</w:t>
      </w:r>
      <w:bookmarkEnd w:id="559"/>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The Register of Training and Education Qualifications shall contain the results obtained by all members who attend the Police Academy, or who undertake courses of study internally or externally, approved as a prerequisite to appointment or promotion.</w:t>
      </w:r>
    </w:p>
    <w:p>
      <w:pPr>
        <w:pStyle w:val="Footnotesection"/>
      </w:pPr>
      <w:r>
        <w:tab/>
        <w:t xml:space="preserve">[Regulation 803 amended in Gazette 7 Dec 1984 p. 4024.] </w:t>
      </w:r>
    </w:p>
    <w:p>
      <w:pPr>
        <w:pStyle w:val="Heading5"/>
        <w:rPr>
          <w:snapToGrid w:val="0"/>
        </w:rPr>
      </w:pPr>
      <w:bookmarkStart w:id="566" w:name="_Toc500034736"/>
      <w:bookmarkStart w:id="567" w:name="_Toc515769534"/>
      <w:bookmarkStart w:id="568" w:name="_Toc522083215"/>
      <w:bookmarkStart w:id="569" w:name="_Toc123622965"/>
      <w:bookmarkStart w:id="570" w:name="_Toc166925643"/>
      <w:bookmarkStart w:id="571" w:name="_Toc256088300"/>
      <w:bookmarkStart w:id="572" w:name="_Toc218399528"/>
      <w:r>
        <w:rPr>
          <w:rStyle w:val="CharSectno"/>
        </w:rPr>
        <w:t>804</w:t>
      </w:r>
      <w:r>
        <w:rPr>
          <w:snapToGrid w:val="0"/>
        </w:rPr>
        <w:t>.</w:t>
      </w:r>
      <w:r>
        <w:rPr>
          <w:snapToGrid w:val="0"/>
        </w:rPr>
        <w:tab/>
        <w:t>General Seniority List to be established</w:t>
      </w:r>
      <w:bookmarkEnd w:id="566"/>
      <w:bookmarkEnd w:id="567"/>
      <w:bookmarkEnd w:id="568"/>
      <w:bookmarkEnd w:id="569"/>
      <w:bookmarkEnd w:id="570"/>
      <w:bookmarkEnd w:id="571"/>
      <w:bookmarkEnd w:id="572"/>
      <w:r>
        <w:rPr>
          <w:snapToGrid w:val="0"/>
        </w:rPr>
        <w:t xml:space="preserve"> </w:t>
      </w:r>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573" w:name="_Toc500034737"/>
      <w:bookmarkStart w:id="574" w:name="_Toc515769535"/>
      <w:bookmarkStart w:id="575" w:name="_Toc522083216"/>
      <w:bookmarkStart w:id="576" w:name="_Toc123622966"/>
      <w:bookmarkStart w:id="577" w:name="_Toc166925644"/>
      <w:bookmarkStart w:id="578" w:name="_Toc256088301"/>
      <w:bookmarkStart w:id="579" w:name="_Toc218399529"/>
      <w:r>
        <w:rPr>
          <w:rStyle w:val="CharSectno"/>
        </w:rPr>
        <w:t>805</w:t>
      </w:r>
      <w:r>
        <w:rPr>
          <w:snapToGrid w:val="0"/>
        </w:rPr>
        <w:t>.</w:t>
      </w:r>
      <w:r>
        <w:rPr>
          <w:snapToGrid w:val="0"/>
        </w:rPr>
        <w:tab/>
        <w:t>General seniority of Force members</w:t>
      </w:r>
      <w:bookmarkEnd w:id="573"/>
      <w:bookmarkEnd w:id="574"/>
      <w:bookmarkEnd w:id="575"/>
      <w:bookmarkEnd w:id="576"/>
      <w:bookmarkEnd w:id="577"/>
      <w:bookmarkEnd w:id="578"/>
      <w:bookmarkEnd w:id="579"/>
      <w:r>
        <w:rPr>
          <w:snapToGrid w:val="0"/>
        </w:rPr>
        <w:t xml:space="preserve"> </w:t>
      </w:r>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Subject to these regulations, the seniority of a member is determined by the rank held by him.</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 </w:t>
      </w:r>
    </w:p>
    <w:p>
      <w:pPr>
        <w:pStyle w:val="Indenti"/>
        <w:rPr>
          <w:snapToGrid w:val="0"/>
        </w:rPr>
      </w:pPr>
      <w:r>
        <w:rPr>
          <w:snapToGrid w:val="0"/>
        </w:rPr>
        <w:tab/>
        <w:t>(i)</w:t>
      </w:r>
      <w:r>
        <w:rPr>
          <w:snapToGrid w:val="0"/>
        </w:rPr>
        <w:tab/>
        <w:t>if the members took that oath on the same date and attended the course at the Police Academy — the member who received the higher or highest rating as the case may be, is senior;</w:t>
      </w:r>
    </w:p>
    <w:p>
      <w:pPr>
        <w:pStyle w:val="Indenti"/>
        <w:rPr>
          <w:snapToGrid w:val="0"/>
        </w:rPr>
      </w:pPr>
      <w:r>
        <w:rPr>
          <w:snapToGrid w:val="0"/>
        </w:rPr>
        <w:tab/>
        <w:t>(ii)</w:t>
      </w:r>
      <w:r>
        <w:rPr>
          <w:snapToGrid w:val="0"/>
        </w:rPr>
        <w:tab/>
        <w:t>if the members took that oath on the same date, attended the course at the Police Academy and received the same rating at the course — the member who is older or oldest, as the case may be, is senior;</w:t>
      </w:r>
    </w:p>
    <w:p>
      <w:pPr>
        <w:pStyle w:val="Indenti"/>
        <w:rPr>
          <w:snapToGrid w:val="0"/>
        </w:rPr>
      </w:pPr>
      <w:r>
        <w:rPr>
          <w:snapToGrid w:val="0"/>
        </w:rPr>
        <w:tab/>
        <w:t>(iii)</w:t>
      </w:r>
      <w:r>
        <w:rPr>
          <w:snapToGrid w:val="0"/>
        </w:rPr>
        <w:tab/>
        <w:t>if the members took that oath on the same date but have not all attended the course at the Police Academy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 xml:space="preserve">[Regulation 805 amended in Gazette 7 Dec 1985 p. 4024; 30 Dec 2008 p. 5645.] </w:t>
      </w:r>
    </w:p>
    <w:p>
      <w:pPr>
        <w:pStyle w:val="Ednotesection"/>
      </w:pPr>
      <w:r>
        <w:t>[</w:t>
      </w:r>
      <w:r>
        <w:rPr>
          <w:b/>
        </w:rPr>
        <w:t>806.</w:t>
      </w:r>
      <w:r>
        <w:tab/>
        <w:t xml:space="preserve">Deleted in Gazette 14 Jul 1992 p. 3369.] </w:t>
      </w:r>
    </w:p>
    <w:p>
      <w:pPr>
        <w:pStyle w:val="Ednotesection"/>
      </w:pPr>
      <w:r>
        <w:t>[</w:t>
      </w:r>
      <w:r>
        <w:rPr>
          <w:b/>
        </w:rPr>
        <w:t>807, 808, 808A, 808B.</w:t>
      </w:r>
      <w:r>
        <w:tab/>
        <w:t xml:space="preserve">Deleted in Gazette 21 Aug 1998 p. 4678.] </w:t>
      </w:r>
    </w:p>
    <w:p>
      <w:pPr>
        <w:pStyle w:val="Ednotesection"/>
      </w:pPr>
      <w:r>
        <w:t>[</w:t>
      </w:r>
      <w:r>
        <w:rPr>
          <w:b/>
        </w:rPr>
        <w:t>808C.</w:t>
      </w:r>
      <w:r>
        <w:tab/>
        <w:t>Deleted in Gazette 14 Jul 1992 p. 3369.]</w:t>
      </w:r>
    </w:p>
    <w:p>
      <w:pPr>
        <w:pStyle w:val="Ednotesection"/>
      </w:pPr>
      <w:r>
        <w:t>[</w:t>
      </w:r>
      <w:r>
        <w:rPr>
          <w:b/>
        </w:rPr>
        <w:t>809</w:t>
      </w:r>
      <w:r>
        <w:rPr>
          <w:b/>
        </w:rPr>
        <w:noBreakHyphen/>
        <w:t>812.</w:t>
      </w:r>
      <w:r>
        <w:tab/>
        <w:t>Deleted in Gazette 21 Aug 1998 p. 4678</w:t>
      </w:r>
      <w:r>
        <w:noBreakHyphen/>
        <w:t>9.]</w:t>
      </w:r>
    </w:p>
    <w:p>
      <w:pPr>
        <w:pStyle w:val="Ednotesection"/>
      </w:pPr>
      <w:r>
        <w:t>[</w:t>
      </w:r>
      <w:r>
        <w:rPr>
          <w:b/>
        </w:rPr>
        <w:t>812A.</w:t>
      </w:r>
      <w:r>
        <w:tab/>
        <w:t xml:space="preserve">Deleted in Gazette 7 Feb 1995 p. 422.] </w:t>
      </w:r>
    </w:p>
    <w:p>
      <w:pPr>
        <w:pStyle w:val="Ednotesection"/>
      </w:pPr>
      <w:r>
        <w:t>[</w:t>
      </w:r>
      <w:r>
        <w:rPr>
          <w:b/>
        </w:rPr>
        <w:t>813</w:t>
      </w:r>
      <w:r>
        <w:rPr>
          <w:b/>
        </w:rPr>
        <w:noBreakHyphen/>
        <w:t>826.</w:t>
      </w:r>
      <w:r>
        <w:tab/>
        <w:t xml:space="preserve">Deleted in Gazette 30 Mar 1990 p. 1656.] </w:t>
      </w:r>
    </w:p>
    <w:p>
      <w:pPr>
        <w:pStyle w:val="Heading2"/>
      </w:pPr>
      <w:bookmarkStart w:id="580" w:name="_Toc90976503"/>
      <w:bookmarkStart w:id="581" w:name="_Toc91044735"/>
      <w:bookmarkStart w:id="582" w:name="_Toc91044915"/>
      <w:bookmarkStart w:id="583" w:name="_Toc123621424"/>
      <w:bookmarkStart w:id="584" w:name="_Toc123622967"/>
      <w:bookmarkStart w:id="585" w:name="_Toc153957340"/>
      <w:bookmarkStart w:id="586" w:name="_Toc153958683"/>
      <w:bookmarkStart w:id="587" w:name="_Toc154478753"/>
      <w:bookmarkStart w:id="588" w:name="_Toc161039433"/>
      <w:bookmarkStart w:id="589" w:name="_Toc161039574"/>
      <w:bookmarkStart w:id="590" w:name="_Toc161130327"/>
      <w:bookmarkStart w:id="591" w:name="_Toc163021086"/>
      <w:bookmarkStart w:id="592" w:name="_Toc164760057"/>
      <w:bookmarkStart w:id="593" w:name="_Toc166925645"/>
      <w:bookmarkStart w:id="594" w:name="_Toc182896974"/>
      <w:bookmarkStart w:id="595" w:name="_Toc182897736"/>
      <w:bookmarkStart w:id="596" w:name="_Toc182901890"/>
      <w:bookmarkStart w:id="597" w:name="_Toc198028282"/>
      <w:bookmarkStart w:id="598" w:name="_Toc218399530"/>
      <w:bookmarkStart w:id="599" w:name="_Toc256088302"/>
      <w:r>
        <w:rPr>
          <w:rStyle w:val="CharPartNo"/>
        </w:rPr>
        <w:t>Part VIIIA</w:t>
      </w:r>
      <w:r>
        <w:rPr>
          <w:rStyle w:val="CharDivNo"/>
        </w:rPr>
        <w:t> </w:t>
      </w:r>
      <w:r>
        <w:t>—</w:t>
      </w:r>
      <w:r>
        <w:rPr>
          <w:rStyle w:val="CharDivText"/>
        </w:rPr>
        <w:t> </w:t>
      </w:r>
      <w:r>
        <w:rPr>
          <w:rStyle w:val="CharPartText"/>
        </w:rPr>
        <w:t>Recognition of bravery and merit</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Style w:val="CharPartText"/>
        </w:rPr>
        <w:t xml:space="preserve"> </w:t>
      </w:r>
    </w:p>
    <w:p>
      <w:pPr>
        <w:pStyle w:val="Footnoteheading"/>
        <w:rPr>
          <w:snapToGrid w:val="0"/>
        </w:rPr>
      </w:pPr>
      <w:r>
        <w:rPr>
          <w:snapToGrid w:val="0"/>
        </w:rPr>
        <w:tab/>
        <w:t xml:space="preserve">[Heading inserted in Gazette 2 Feb 1990 p. 788.] </w:t>
      </w:r>
    </w:p>
    <w:p>
      <w:pPr>
        <w:pStyle w:val="Heading5"/>
        <w:rPr>
          <w:snapToGrid w:val="0"/>
        </w:rPr>
      </w:pPr>
      <w:bookmarkStart w:id="600" w:name="_Toc500034738"/>
      <w:bookmarkStart w:id="601" w:name="_Toc515769536"/>
      <w:bookmarkStart w:id="602" w:name="_Toc522083217"/>
      <w:bookmarkStart w:id="603" w:name="_Toc123622968"/>
      <w:bookmarkStart w:id="604" w:name="_Toc166925646"/>
      <w:bookmarkStart w:id="605" w:name="_Toc256088303"/>
      <w:bookmarkStart w:id="606" w:name="_Toc218399531"/>
      <w:r>
        <w:rPr>
          <w:rStyle w:val="CharSectno"/>
        </w:rPr>
        <w:t>8A01</w:t>
      </w:r>
      <w:r>
        <w:rPr>
          <w:snapToGrid w:val="0"/>
        </w:rPr>
        <w:t>.</w:t>
      </w:r>
      <w:r>
        <w:rPr>
          <w:snapToGrid w:val="0"/>
        </w:rPr>
        <w:tab/>
        <w:t>Terms used in this Part</w:t>
      </w:r>
      <w:bookmarkEnd w:id="600"/>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award</w:t>
      </w:r>
      <w:r>
        <w:t xml:space="preserve"> means any award designated in regulation 8A02;</w:t>
      </w:r>
    </w:p>
    <w:p>
      <w:pPr>
        <w:pStyle w:val="Defstart"/>
      </w:pPr>
      <w:r>
        <w:rPr>
          <w:b/>
        </w:rPr>
        <w:tab/>
      </w:r>
      <w:r>
        <w:rPr>
          <w:rStyle w:val="CharDefText"/>
        </w:rPr>
        <w:t>Committee</w:t>
      </w:r>
      <w:r>
        <w:t xml:space="preserve"> means the Police Honours and Awards Committee referred to in regulation 8A11;</w:t>
      </w:r>
    </w:p>
    <w:p>
      <w:pPr>
        <w:pStyle w:val="Defstart"/>
      </w:pPr>
      <w:r>
        <w:rPr>
          <w:b/>
        </w:rPr>
        <w:tab/>
      </w:r>
      <w:r>
        <w:rPr>
          <w:rStyle w:val="CharDefText"/>
        </w:rPr>
        <w:t>member of the Force</w:t>
      </w:r>
      <w:r>
        <w:t xml:space="preserve"> means a member, cadet</w:t>
      </w:r>
      <w:del w:id="607" w:author="Master Repository Process" w:date="2021-09-11T18:14:00Z">
        <w:r>
          <w:delText xml:space="preserve"> or APLO</w:delText>
        </w:r>
      </w:del>
      <w:ins w:id="608" w:author="Master Repository Process" w:date="2021-09-11T18:14:00Z">
        <w:r>
          <w:t>, APLO or police auxiliary officer</w:t>
        </w:r>
      </w:ins>
      <w:r>
        <w:t>.</w:t>
      </w:r>
    </w:p>
    <w:p>
      <w:pPr>
        <w:pStyle w:val="Footnotesection"/>
      </w:pPr>
      <w:r>
        <w:tab/>
        <w:t>[Regulation 8A01 inserted in Gazette 2 Feb 1990 p. 788; amended in Gazette 15 Dec 2006 p. 5632; 30 Dec 2008 p. 5645</w:t>
      </w:r>
      <w:ins w:id="609" w:author="Master Repository Process" w:date="2021-09-11T18:14:00Z">
        <w:r>
          <w:t>; 12 Mar 2010 p. 955</w:t>
        </w:r>
      </w:ins>
      <w:r>
        <w:t xml:space="preserve">.] </w:t>
      </w:r>
    </w:p>
    <w:p>
      <w:pPr>
        <w:pStyle w:val="Heading5"/>
        <w:rPr>
          <w:snapToGrid w:val="0"/>
        </w:rPr>
      </w:pPr>
      <w:bookmarkStart w:id="610" w:name="_Toc500034739"/>
      <w:bookmarkStart w:id="611" w:name="_Toc515769537"/>
      <w:bookmarkStart w:id="612" w:name="_Toc522083218"/>
      <w:bookmarkStart w:id="613" w:name="_Toc123622969"/>
      <w:bookmarkStart w:id="614" w:name="_Toc166925647"/>
      <w:bookmarkStart w:id="615" w:name="_Toc256088304"/>
      <w:bookmarkStart w:id="616" w:name="_Toc218399532"/>
      <w:r>
        <w:rPr>
          <w:rStyle w:val="CharSectno"/>
        </w:rPr>
        <w:t>8A02</w:t>
      </w:r>
      <w:r>
        <w:rPr>
          <w:snapToGrid w:val="0"/>
        </w:rPr>
        <w:t>.</w:t>
      </w:r>
      <w:r>
        <w:rPr>
          <w:snapToGrid w:val="0"/>
        </w:rPr>
        <w:tab/>
        <w:t>Classes of awards</w:t>
      </w:r>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 xml:space="preserve">The Commissioner may, </w:t>
      </w:r>
      <w:r>
        <w:t xml:space="preserve">subject to this Part, </w:t>
      </w:r>
      <w:r>
        <w:rPr>
          <w:snapToGrid w:val="0"/>
        </w:rPr>
        <w:t>grant an award of a designation set out in the following table to a member of the Force who is eligible under the criterion shown opposite the designated award.</w:t>
      </w:r>
    </w:p>
    <w:p>
      <w:pPr>
        <w:pStyle w:val="THeadingNAm"/>
        <w:rPr>
          <w:snapToGrid w:val="0"/>
        </w:rPr>
      </w:pPr>
      <w:r>
        <w:rPr>
          <w:snapToGrid w:val="0"/>
        </w:rPr>
        <w:t>Table</w:t>
      </w:r>
    </w:p>
    <w:tbl>
      <w:tblPr>
        <w:tblW w:w="0" w:type="auto"/>
        <w:tblInd w:w="959" w:type="dxa"/>
        <w:tblLayout w:type="fixed"/>
        <w:tblLook w:val="0000" w:firstRow="0" w:lastRow="0" w:firstColumn="0" w:lastColumn="0" w:noHBand="0" w:noVBand="0"/>
      </w:tblPr>
      <w:tblGrid>
        <w:gridCol w:w="2551"/>
        <w:gridCol w:w="3794"/>
      </w:tblGrid>
      <w:tr>
        <w:tc>
          <w:tcPr>
            <w:tcW w:w="2551" w:type="dxa"/>
          </w:tcPr>
          <w:p>
            <w:pPr>
              <w:pStyle w:val="TableNAm"/>
              <w:rPr>
                <w:snapToGrid w:val="0"/>
              </w:rPr>
            </w:pPr>
            <w:r>
              <w:rPr>
                <w:snapToGrid w:val="0"/>
              </w:rPr>
              <w:t xml:space="preserve">Award for Bravery </w:t>
            </w:r>
          </w:p>
        </w:tc>
        <w:tc>
          <w:tcPr>
            <w:tcW w:w="3794" w:type="dxa"/>
          </w:tcPr>
          <w:p>
            <w:pPr>
              <w:pStyle w:val="TableNAm"/>
              <w:rPr>
                <w:snapToGrid w:val="0"/>
              </w:rPr>
            </w:pPr>
            <w:r>
              <w:rPr>
                <w:snapToGrid w:val="0"/>
              </w:rPr>
              <w:t>Performance of an act of conspicuous merit involving exceptional bravery in the execution of duty.</w:t>
            </w:r>
          </w:p>
        </w:tc>
      </w:tr>
      <w:tr>
        <w:tc>
          <w:tcPr>
            <w:tcW w:w="2551" w:type="dxa"/>
          </w:tcPr>
          <w:p>
            <w:pPr>
              <w:pStyle w:val="TableNAm"/>
              <w:rPr>
                <w:snapToGrid w:val="0"/>
              </w:rPr>
            </w:pPr>
            <w:r>
              <w:rPr>
                <w:snapToGrid w:val="0"/>
              </w:rPr>
              <w:t xml:space="preserve">Bar to the Award for Bravery </w:t>
            </w:r>
          </w:p>
        </w:tc>
        <w:tc>
          <w:tcPr>
            <w:tcW w:w="3794" w:type="dxa"/>
          </w:tcPr>
          <w:p>
            <w:pPr>
              <w:pStyle w:val="TableNAm"/>
              <w:rPr>
                <w:snapToGrid w:val="0"/>
              </w:rPr>
            </w:pPr>
            <w:r>
              <w:rPr>
                <w:snapToGrid w:val="0"/>
              </w:rPr>
              <w:t>Performance by the holder of an Award for Bravery of an additional act of conspicuous merit involving exceptional bravery in the execution of duty.</w:t>
            </w:r>
          </w:p>
        </w:tc>
      </w:tr>
      <w:tr>
        <w:tc>
          <w:tcPr>
            <w:tcW w:w="2551" w:type="dxa"/>
          </w:tcPr>
          <w:p>
            <w:pPr>
              <w:pStyle w:val="TableNAm"/>
              <w:rPr>
                <w:snapToGrid w:val="0"/>
              </w:rPr>
            </w:pPr>
            <w:r>
              <w:rPr>
                <w:snapToGrid w:val="0"/>
              </w:rPr>
              <w:t xml:space="preserve">Certificate of Merit </w:t>
            </w:r>
          </w:p>
        </w:tc>
        <w:tc>
          <w:tcPr>
            <w:tcW w:w="3794" w:type="dxa"/>
          </w:tcPr>
          <w:p>
            <w:pPr>
              <w:pStyle w:val="TableNAm"/>
              <w:rPr>
                <w:snapToGrid w:val="0"/>
              </w:rPr>
            </w:pPr>
            <w:r>
              <w:rPr>
                <w:snapToGrid w:val="0"/>
              </w:rPr>
              <w:t>Display in the execution of duty of initiative, resourcefulness and courageous action, putting aside thought of personal safety, greater than what might reasonably be expected.</w:t>
            </w:r>
          </w:p>
        </w:tc>
      </w:tr>
      <w:tr>
        <w:tc>
          <w:tcPr>
            <w:tcW w:w="2551" w:type="dxa"/>
          </w:tcPr>
          <w:p>
            <w:pPr>
              <w:pStyle w:val="TableNAm"/>
              <w:rPr>
                <w:snapToGrid w:val="0"/>
              </w:rPr>
            </w:pPr>
            <w:r>
              <w:rPr>
                <w:snapToGrid w:val="0"/>
              </w:rPr>
              <w:t xml:space="preserve">Special Commendation </w:t>
            </w:r>
          </w:p>
        </w:tc>
        <w:tc>
          <w:tcPr>
            <w:tcW w:w="3794" w:type="dxa"/>
          </w:tcPr>
          <w:p>
            <w:pPr>
              <w:pStyle w:val="TableNAm"/>
              <w:rPr>
                <w:snapToGrid w:val="0"/>
              </w:rPr>
            </w:pPr>
            <w:r>
              <w:rPr>
                <w:snapToGrid w:val="0"/>
              </w:rPr>
              <w:t>Meritorious conduct under stressful conditions in the course of operational duty.</w:t>
            </w:r>
          </w:p>
        </w:tc>
      </w:tr>
      <w:tr>
        <w:tc>
          <w:tcPr>
            <w:tcW w:w="2551" w:type="dxa"/>
          </w:tcPr>
          <w:p>
            <w:pPr>
              <w:pStyle w:val="TableNAm"/>
              <w:rPr>
                <w:snapToGrid w:val="0"/>
              </w:rPr>
            </w:pPr>
            <w:r>
              <w:rPr>
                <w:snapToGrid w:val="0"/>
              </w:rPr>
              <w:t xml:space="preserve">Commendation </w:t>
            </w:r>
          </w:p>
        </w:tc>
        <w:tc>
          <w:tcPr>
            <w:tcW w:w="3794" w:type="dxa"/>
          </w:tcPr>
          <w:p>
            <w:pPr>
              <w:pStyle w:val="TableNAm"/>
              <w:rPr>
                <w:snapToGrid w:val="0"/>
              </w:rPr>
            </w:pPr>
            <w:r>
              <w:rPr>
                <w:snapToGrid w:val="0"/>
              </w:rPr>
              <w:t>Display of initiative, resourcefulness and devotion to duty reflecting credit on the Force</w:t>
            </w:r>
          </w:p>
        </w:tc>
      </w:tr>
    </w:tbl>
    <w:p>
      <w:pPr>
        <w:pStyle w:val="Footnotesection"/>
      </w:pPr>
      <w:r>
        <w:tab/>
        <w:t>[Regulation 8A02 inserted in Gazette 2 Feb 1990 p. 788</w:t>
      </w:r>
      <w:r>
        <w:noBreakHyphen/>
        <w:t xml:space="preserve">9; amended in Gazette 15 Dec 2006 p. 5632.] </w:t>
      </w:r>
    </w:p>
    <w:p>
      <w:pPr>
        <w:pStyle w:val="Heading5"/>
        <w:rPr>
          <w:snapToGrid w:val="0"/>
        </w:rPr>
      </w:pPr>
      <w:bookmarkStart w:id="617" w:name="_Toc500034740"/>
      <w:bookmarkStart w:id="618" w:name="_Toc515769538"/>
      <w:bookmarkStart w:id="619" w:name="_Toc522083219"/>
      <w:bookmarkStart w:id="620" w:name="_Toc123622970"/>
      <w:bookmarkStart w:id="621" w:name="_Toc166925648"/>
      <w:bookmarkStart w:id="622" w:name="_Toc256088305"/>
      <w:bookmarkStart w:id="623" w:name="_Toc218399533"/>
      <w:r>
        <w:rPr>
          <w:rStyle w:val="CharSectno"/>
        </w:rPr>
        <w:t>8A03</w:t>
      </w:r>
      <w:r>
        <w:rPr>
          <w:snapToGrid w:val="0"/>
        </w:rPr>
        <w:t>.</w:t>
      </w:r>
      <w:r>
        <w:rPr>
          <w:snapToGrid w:val="0"/>
        </w:rPr>
        <w:tab/>
        <w:t>Nature of awards</w:t>
      </w:r>
      <w:bookmarkEnd w:id="617"/>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Each award consists of what is specified in the following table — </w:t>
      </w:r>
    </w:p>
    <w:p>
      <w:pPr>
        <w:pStyle w:val="THeadingNAm"/>
        <w:rPr>
          <w:snapToGrid w:val="0"/>
        </w:rPr>
      </w:pPr>
      <w:r>
        <w:rPr>
          <w:snapToGrid w:val="0"/>
        </w:rPr>
        <w:t>Table</w:t>
      </w:r>
    </w:p>
    <w:tbl>
      <w:tblPr>
        <w:tblW w:w="0" w:type="auto"/>
        <w:tblInd w:w="675" w:type="dxa"/>
        <w:tblLayout w:type="fixed"/>
        <w:tblLook w:val="0000" w:firstRow="0" w:lastRow="0" w:firstColumn="0" w:lastColumn="0" w:noHBand="0" w:noVBand="0"/>
      </w:tblPr>
      <w:tblGrid>
        <w:gridCol w:w="426"/>
        <w:gridCol w:w="2126"/>
        <w:gridCol w:w="283"/>
        <w:gridCol w:w="3793"/>
      </w:tblGrid>
      <w:tr>
        <w:trPr>
          <w:cantSplit/>
        </w:trPr>
        <w:tc>
          <w:tcPr>
            <w:tcW w:w="426" w:type="dxa"/>
          </w:tcPr>
          <w:p>
            <w:pPr>
              <w:pStyle w:val="TableNAm"/>
              <w:rPr>
                <w:snapToGrid w:val="0"/>
              </w:rPr>
            </w:pPr>
            <w:r>
              <w:rPr>
                <w:snapToGrid w:val="0"/>
              </w:rPr>
              <w:t>1</w:t>
            </w:r>
          </w:p>
        </w:tc>
        <w:tc>
          <w:tcPr>
            <w:tcW w:w="2126" w:type="dxa"/>
          </w:tcPr>
          <w:p>
            <w:pPr>
              <w:pStyle w:val="TableNAm"/>
              <w:rPr>
                <w:snapToGrid w:val="0"/>
              </w:rPr>
            </w:pPr>
            <w:r>
              <w:rPr>
                <w:snapToGrid w:val="0"/>
              </w:rPr>
              <w:t>Award for Bravery</w:t>
            </w:r>
          </w:p>
        </w:tc>
        <w:tc>
          <w:tcPr>
            <w:tcW w:w="283" w:type="dxa"/>
            <w:vMerge w:val="restart"/>
          </w:tcPr>
          <w:p>
            <w:pPr>
              <w:pStyle w:val="TableNAm"/>
              <w:rPr>
                <w:snapToGrid w:val="0"/>
              </w:rPr>
            </w:pPr>
            <w:del w:id="624" w:author="Master Repository Process" w:date="2021-09-11T18:14:00Z">
              <w:r>
                <w:rPr>
                  <w:noProof/>
                  <w:lang w:eastAsia="en-AU"/>
                </w:rPr>
                <w:drawing>
                  <wp:inline distT="0" distB="0" distL="0" distR="0">
                    <wp:extent cx="114300" cy="94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942975"/>
                            </a:xfrm>
                            <a:prstGeom prst="rect">
                              <a:avLst/>
                            </a:prstGeom>
                            <a:noFill/>
                            <a:ln>
                              <a:noFill/>
                            </a:ln>
                          </pic:spPr>
                        </pic:pic>
                      </a:graphicData>
                    </a:graphic>
                  </wp:inline>
                </w:drawing>
              </w:r>
            </w:del>
            <w:ins w:id="625" w:author="Master Repository Process" w:date="2021-09-11T18:14:00Z">
              <w:r>
                <w:rPr>
                  <w:noProof/>
                  <w:lang w:eastAsia="en-AU"/>
                </w:rPr>
                <w:drawing>
                  <wp:inline distT="0" distB="0" distL="0" distR="0">
                    <wp:extent cx="112395" cy="11906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395" cy="1190625"/>
                            </a:xfrm>
                            <a:prstGeom prst="rect">
                              <a:avLst/>
                            </a:prstGeom>
                            <a:noFill/>
                            <a:ln>
                              <a:noFill/>
                            </a:ln>
                          </pic:spPr>
                        </pic:pic>
                      </a:graphicData>
                    </a:graphic>
                  </wp:inline>
                </w:drawing>
              </w:r>
            </w:ins>
          </w:p>
        </w:tc>
        <w:tc>
          <w:tcPr>
            <w:tcW w:w="3793" w:type="dxa"/>
            <w:vMerge w:val="restart"/>
          </w:tcPr>
          <w:p>
            <w:pPr>
              <w:pStyle w:val="TableNAm"/>
              <w:rPr>
                <w:snapToGrid w:val="0"/>
              </w:rPr>
            </w:pPr>
            <w:r>
              <w:rPr>
                <w:snapToGrid w:val="0"/>
              </w:rPr>
              <w:t>An award of a type and design approved by the Committee</w:t>
            </w:r>
          </w:p>
          <w:p>
            <w:pPr>
              <w:pStyle w:val="TableNAm"/>
              <w:rPr>
                <w:snapToGrid w:val="0"/>
              </w:rPr>
            </w:pPr>
            <w:r>
              <w:rPr>
                <w:snapToGrid w:val="0"/>
              </w:rPr>
              <w:tab/>
              <w:t>and</w:t>
            </w:r>
          </w:p>
          <w:p>
            <w:pPr>
              <w:pStyle w:val="TableNAm"/>
              <w:rPr>
                <w:snapToGrid w:val="0"/>
              </w:rPr>
            </w:pPr>
            <w:r>
              <w:rPr>
                <w:snapToGrid w:val="0"/>
              </w:rPr>
              <w:t>A citation from the Commissioner describing the conduct for which the award is granted</w:t>
            </w:r>
          </w:p>
        </w:tc>
      </w:tr>
      <w:tr>
        <w:trPr>
          <w:cantSplit/>
        </w:trPr>
        <w:tc>
          <w:tcPr>
            <w:tcW w:w="426" w:type="dxa"/>
          </w:tcPr>
          <w:p>
            <w:pPr>
              <w:pStyle w:val="TableNAm"/>
              <w:rPr>
                <w:snapToGrid w:val="0"/>
              </w:rPr>
            </w:pPr>
            <w:r>
              <w:rPr>
                <w:snapToGrid w:val="0"/>
              </w:rPr>
              <w:t>2</w:t>
            </w:r>
          </w:p>
        </w:tc>
        <w:tc>
          <w:tcPr>
            <w:tcW w:w="2126" w:type="dxa"/>
          </w:tcPr>
          <w:p>
            <w:pPr>
              <w:pStyle w:val="TableNAm"/>
              <w:rPr>
                <w:snapToGrid w:val="0"/>
              </w:rPr>
            </w:pPr>
            <w:r>
              <w:rPr>
                <w:snapToGrid w:val="0"/>
              </w:rPr>
              <w:t xml:space="preserve">Bar to the Award for Bravery </w:t>
            </w:r>
          </w:p>
        </w:tc>
        <w:tc>
          <w:tcPr>
            <w:tcW w:w="283" w:type="dxa"/>
            <w:vMerge/>
          </w:tcPr>
          <w:p>
            <w:pPr>
              <w:pStyle w:val="TableNAm"/>
              <w:rPr>
                <w:snapToGrid w:val="0"/>
              </w:rPr>
            </w:pPr>
          </w:p>
        </w:tc>
        <w:tc>
          <w:tcPr>
            <w:tcW w:w="3793" w:type="dxa"/>
            <w:vMerge/>
          </w:tcPr>
          <w:p>
            <w:pPr>
              <w:pStyle w:val="TableNAm"/>
              <w:rPr>
                <w:snapToGrid w:val="0"/>
              </w:rPr>
            </w:pPr>
          </w:p>
        </w:tc>
      </w:tr>
      <w:tr>
        <w:trPr>
          <w:cantSplit/>
        </w:trPr>
        <w:tc>
          <w:tcPr>
            <w:tcW w:w="426" w:type="dxa"/>
          </w:tcPr>
          <w:p>
            <w:pPr>
              <w:pStyle w:val="TableNAm"/>
              <w:rPr>
                <w:snapToGrid w:val="0"/>
              </w:rPr>
            </w:pPr>
            <w:r>
              <w:rPr>
                <w:snapToGrid w:val="0"/>
              </w:rPr>
              <w:t>3</w:t>
            </w:r>
          </w:p>
        </w:tc>
        <w:tc>
          <w:tcPr>
            <w:tcW w:w="2126" w:type="dxa"/>
          </w:tcPr>
          <w:p>
            <w:pPr>
              <w:pStyle w:val="TableNAm"/>
              <w:rPr>
                <w:snapToGrid w:val="0"/>
              </w:rPr>
            </w:pPr>
            <w:r>
              <w:rPr>
                <w:snapToGrid w:val="0"/>
              </w:rPr>
              <w:t>Certificate of Merit</w:t>
            </w:r>
          </w:p>
        </w:tc>
        <w:tc>
          <w:tcPr>
            <w:tcW w:w="283" w:type="dxa"/>
            <w:vMerge w:val="restart"/>
          </w:tcPr>
          <w:p>
            <w:pPr>
              <w:pStyle w:val="TableNAm"/>
              <w:rPr>
                <w:snapToGrid w:val="0"/>
              </w:rPr>
            </w:pPr>
            <w:del w:id="626" w:author="Master Repository Process" w:date="2021-09-11T18:14:00Z">
              <w:r>
                <w:rPr>
                  <w:noProof/>
                  <w:lang w:eastAsia="en-AU"/>
                </w:rPr>
                <w:drawing>
                  <wp:inline distT="0" distB="0" distL="0" distR="0">
                    <wp:extent cx="1333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628650"/>
                            </a:xfrm>
                            <a:prstGeom prst="rect">
                              <a:avLst/>
                            </a:prstGeom>
                            <a:noFill/>
                            <a:ln>
                              <a:noFill/>
                            </a:ln>
                          </pic:spPr>
                        </pic:pic>
                      </a:graphicData>
                    </a:graphic>
                  </wp:inline>
                </w:drawing>
              </w:r>
            </w:del>
            <w:ins w:id="627" w:author="Master Repository Process" w:date="2021-09-11T18:14:00Z">
              <w:r>
                <w:rPr>
                  <w:noProof/>
                  <w:lang w:eastAsia="en-AU"/>
                </w:rPr>
                <w:drawing>
                  <wp:inline distT="0" distB="0" distL="0" distR="0">
                    <wp:extent cx="137795" cy="8540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795" cy="854075"/>
                            </a:xfrm>
                            <a:prstGeom prst="rect">
                              <a:avLst/>
                            </a:prstGeom>
                            <a:noFill/>
                            <a:ln>
                              <a:noFill/>
                            </a:ln>
                          </pic:spPr>
                        </pic:pic>
                      </a:graphicData>
                    </a:graphic>
                  </wp:inline>
                </w:drawing>
              </w:r>
            </w:ins>
          </w:p>
        </w:tc>
        <w:tc>
          <w:tcPr>
            <w:tcW w:w="3793" w:type="dxa"/>
            <w:vMerge w:val="restart"/>
            <w:vAlign w:val="center"/>
          </w:tcPr>
          <w:p>
            <w:pPr>
              <w:pStyle w:val="TableNAm"/>
              <w:rPr>
                <w:snapToGrid w:val="0"/>
              </w:rPr>
            </w:pPr>
            <w:r>
              <w:rPr>
                <w:snapToGrid w:val="0"/>
              </w:rPr>
              <w:t>A certificate from the Commissioner describing the conduct for which the award is granted</w:t>
            </w:r>
          </w:p>
        </w:tc>
      </w:tr>
      <w:tr>
        <w:trPr>
          <w:cantSplit/>
        </w:trPr>
        <w:tc>
          <w:tcPr>
            <w:tcW w:w="426" w:type="dxa"/>
          </w:tcPr>
          <w:p>
            <w:pPr>
              <w:pStyle w:val="TableNAm"/>
              <w:rPr>
                <w:snapToGrid w:val="0"/>
              </w:rPr>
            </w:pPr>
            <w:r>
              <w:rPr>
                <w:snapToGrid w:val="0"/>
              </w:rPr>
              <w:t>4</w:t>
            </w:r>
          </w:p>
        </w:tc>
        <w:tc>
          <w:tcPr>
            <w:tcW w:w="2126" w:type="dxa"/>
          </w:tcPr>
          <w:p>
            <w:pPr>
              <w:pStyle w:val="TableNAm"/>
              <w:rPr>
                <w:snapToGrid w:val="0"/>
              </w:rPr>
            </w:pPr>
            <w:r>
              <w:rPr>
                <w:snapToGrid w:val="0"/>
              </w:rPr>
              <w:t>Special Commendation</w:t>
            </w:r>
          </w:p>
        </w:tc>
        <w:tc>
          <w:tcPr>
            <w:tcW w:w="283" w:type="dxa"/>
            <w:vMerge/>
          </w:tcPr>
          <w:p>
            <w:pPr>
              <w:pStyle w:val="TableNAm"/>
              <w:rPr>
                <w:snapToGrid w:val="0"/>
              </w:rPr>
            </w:pPr>
          </w:p>
        </w:tc>
        <w:tc>
          <w:tcPr>
            <w:tcW w:w="3793" w:type="dxa"/>
            <w:vMerge/>
          </w:tcPr>
          <w:p>
            <w:pPr>
              <w:pStyle w:val="TableNAm"/>
              <w:rPr>
                <w:snapToGrid w:val="0"/>
              </w:rPr>
            </w:pPr>
          </w:p>
        </w:tc>
      </w:tr>
      <w:tr>
        <w:trPr>
          <w:cantSplit/>
        </w:trPr>
        <w:tc>
          <w:tcPr>
            <w:tcW w:w="426" w:type="dxa"/>
          </w:tcPr>
          <w:p>
            <w:pPr>
              <w:pStyle w:val="TableNAm"/>
              <w:rPr>
                <w:snapToGrid w:val="0"/>
              </w:rPr>
            </w:pPr>
            <w:r>
              <w:rPr>
                <w:snapToGrid w:val="0"/>
              </w:rPr>
              <w:t>5</w:t>
            </w:r>
          </w:p>
        </w:tc>
        <w:tc>
          <w:tcPr>
            <w:tcW w:w="2126" w:type="dxa"/>
          </w:tcPr>
          <w:p>
            <w:pPr>
              <w:pStyle w:val="TableNAm"/>
              <w:rPr>
                <w:snapToGrid w:val="0"/>
              </w:rPr>
            </w:pPr>
            <w:r>
              <w:rPr>
                <w:snapToGrid w:val="0"/>
              </w:rPr>
              <w:t xml:space="preserve">Commendation </w:t>
            </w:r>
          </w:p>
        </w:tc>
        <w:tc>
          <w:tcPr>
            <w:tcW w:w="283" w:type="dxa"/>
            <w:vMerge/>
          </w:tcPr>
          <w:p>
            <w:pPr>
              <w:pStyle w:val="TableNAm"/>
              <w:rPr>
                <w:snapToGrid w:val="0"/>
              </w:rPr>
            </w:pPr>
          </w:p>
        </w:tc>
        <w:tc>
          <w:tcPr>
            <w:tcW w:w="3793" w:type="dxa"/>
            <w:vMerge/>
          </w:tcPr>
          <w:p>
            <w:pPr>
              <w:pStyle w:val="TableNAm"/>
              <w:rPr>
                <w:snapToGrid w:val="0"/>
              </w:rPr>
            </w:pPr>
          </w:p>
        </w:tc>
      </w:tr>
    </w:tbl>
    <w:p>
      <w:pPr>
        <w:pStyle w:val="Footnotesection"/>
      </w:pPr>
      <w:r>
        <w:tab/>
        <w:t xml:space="preserve">[Regulation 8A03 inserted in Gazette 2 Feb 1990 p. 789; amended in Gazette 15 Dec 2006 p. 5632.] </w:t>
      </w:r>
    </w:p>
    <w:p>
      <w:pPr>
        <w:pStyle w:val="Heading5"/>
        <w:rPr>
          <w:snapToGrid w:val="0"/>
        </w:rPr>
      </w:pPr>
      <w:bookmarkStart w:id="628" w:name="_Toc500034741"/>
      <w:bookmarkStart w:id="629" w:name="_Toc515769539"/>
      <w:bookmarkStart w:id="630" w:name="_Toc522083220"/>
      <w:bookmarkStart w:id="631" w:name="_Toc123622971"/>
      <w:bookmarkStart w:id="632" w:name="_Toc166925649"/>
      <w:bookmarkStart w:id="633" w:name="_Toc256088306"/>
      <w:bookmarkStart w:id="634" w:name="_Toc218399534"/>
      <w:r>
        <w:rPr>
          <w:rStyle w:val="CharSectno"/>
        </w:rPr>
        <w:t>8A04</w:t>
      </w:r>
      <w:r>
        <w:rPr>
          <w:snapToGrid w:val="0"/>
        </w:rPr>
        <w:t>.</w:t>
      </w:r>
      <w:r>
        <w:rPr>
          <w:snapToGrid w:val="0"/>
        </w:rPr>
        <w:tab/>
        <w:t>Nomination for an award</w:t>
      </w:r>
      <w:bookmarkEnd w:id="628"/>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A member of the Force may be nominated for an award by any person, including another member of the Force.</w:t>
      </w:r>
    </w:p>
    <w:p>
      <w:pPr>
        <w:pStyle w:val="Subsection"/>
        <w:rPr>
          <w:snapToGrid w:val="0"/>
        </w:rPr>
      </w:pPr>
      <w:r>
        <w:rPr>
          <w:snapToGrid w:val="0"/>
        </w:rPr>
        <w:tab/>
        <w:t>(2)</w:t>
      </w:r>
      <w:r>
        <w:rPr>
          <w:snapToGrid w:val="0"/>
        </w:rPr>
        <w:tab/>
        <w:t>A nomination</w:t>
      </w:r>
      <w:r>
        <w:t xml:space="preserve"> is to be made in writing to the Commissioner.</w:t>
      </w:r>
    </w:p>
    <w:p>
      <w:pPr>
        <w:pStyle w:val="Footnotesection"/>
      </w:pPr>
      <w:r>
        <w:tab/>
        <w:t xml:space="preserve">[Regulation 8A04 inserted in Gazette 2 Feb 1990 p. 789; amended in Gazette 15 Dec 2006 p. 5633.] </w:t>
      </w:r>
    </w:p>
    <w:p>
      <w:pPr>
        <w:pStyle w:val="Heading5"/>
      </w:pPr>
      <w:bookmarkStart w:id="635" w:name="_Toc166925650"/>
      <w:bookmarkStart w:id="636" w:name="_Toc256088307"/>
      <w:bookmarkStart w:id="637" w:name="_Toc218399535"/>
      <w:bookmarkStart w:id="638" w:name="_Toc500034743"/>
      <w:bookmarkStart w:id="639" w:name="_Toc515769541"/>
      <w:bookmarkStart w:id="640" w:name="_Toc522083222"/>
      <w:bookmarkStart w:id="641" w:name="_Toc123622973"/>
      <w:r>
        <w:rPr>
          <w:rStyle w:val="CharSectno"/>
        </w:rPr>
        <w:t>8A05</w:t>
      </w:r>
      <w:r>
        <w:t>.</w:t>
      </w:r>
      <w:r>
        <w:tab/>
      </w:r>
      <w:r>
        <w:rPr>
          <w:snapToGrid w:val="0"/>
        </w:rPr>
        <w:t>Determination of nominations</w:t>
      </w:r>
      <w:bookmarkEnd w:id="635"/>
      <w:bookmarkEnd w:id="636"/>
      <w:bookmarkEnd w:id="637"/>
    </w:p>
    <w:p>
      <w:pPr>
        <w:pStyle w:val="Subsection"/>
      </w:pPr>
      <w:r>
        <w:tab/>
        <w:t>(1)</w:t>
      </w:r>
      <w:r>
        <w:tab/>
        <w:t>On receipt of a nomination under regulation 8A04 the Commissioner is to refer the nomination to a commissioned officer (</w:t>
      </w:r>
      <w:r>
        <w:rPr>
          <w:rStyle w:val="CharDefText"/>
        </w:rPr>
        <w:t>inquiring officer</w:t>
      </w:r>
      <w:r>
        <w:t xml:space="preserve">) for inquiry. </w:t>
      </w:r>
    </w:p>
    <w:p>
      <w:pPr>
        <w:pStyle w:val="Subsection"/>
      </w:pPr>
      <w:r>
        <w:tab/>
        <w:t>(2)</w:t>
      </w:r>
      <w:r>
        <w:tab/>
        <w:t xml:space="preserve">An inquiring officer is to inquire into, and report to the Commissioner on, whether the nominee has satisfied the criteria set out in regulation 8A02 for the proposed award. </w:t>
      </w:r>
    </w:p>
    <w:p>
      <w:pPr>
        <w:pStyle w:val="Subsection"/>
      </w:pPr>
      <w:r>
        <w:tab/>
        <w:t>(3)</w:t>
      </w:r>
      <w:r>
        <w:tab/>
        <w:t xml:space="preserve">In carrying out an inquiry an inquiring officer — </w:t>
      </w:r>
    </w:p>
    <w:p>
      <w:pPr>
        <w:pStyle w:val="Indenta"/>
      </w:pPr>
      <w:r>
        <w:tab/>
        <w:t>(a)</w:t>
      </w:r>
      <w:r>
        <w:tab/>
        <w:t xml:space="preserve">is to have regard to any guidelines prescribed under regulation 8A10; and </w:t>
      </w:r>
    </w:p>
    <w:p>
      <w:pPr>
        <w:pStyle w:val="Indenta"/>
      </w:pPr>
      <w:r>
        <w:tab/>
        <w:t>(b)</w:t>
      </w:r>
      <w:r>
        <w:tab/>
        <w:t>may appoint another commissioned officer to conduct all or any part of the inquiry.</w:t>
      </w:r>
    </w:p>
    <w:p>
      <w:pPr>
        <w:pStyle w:val="Subsection"/>
      </w:pPr>
      <w:r>
        <w:tab/>
        <w:t>(4)</w:t>
      </w:r>
      <w:r>
        <w:tab/>
        <w:t xml:space="preserve">If an inquiring officer reports that a nominee for an Award for Bravery or Bar to the Award for Bravery has satisfied the criteria for that award, the Commissioner is to refer the nomination and inquiring officer’s report to the Committee. </w:t>
      </w:r>
    </w:p>
    <w:p>
      <w:pPr>
        <w:pStyle w:val="Subsection"/>
      </w:pPr>
      <w:r>
        <w:tab/>
        <w:t>(5)</w:t>
      </w:r>
      <w:r>
        <w:tab/>
        <w:t xml:space="preserve">The Committee is to inquire into, and recommend to the Commissioner on, whether the proposed award should be granted. </w:t>
      </w:r>
    </w:p>
    <w:p>
      <w:pPr>
        <w:pStyle w:val="Subsection"/>
      </w:pPr>
      <w:r>
        <w:tab/>
        <w:t>(6)</w:t>
      </w:r>
      <w:r>
        <w:tab/>
        <w:t>In carrying out an inquiry the Committee may make any enquiries it considers appropriate.</w:t>
      </w:r>
    </w:p>
    <w:p>
      <w:pPr>
        <w:pStyle w:val="Subsection"/>
      </w:pPr>
      <w:r>
        <w:tab/>
        <w:t>(7)</w:t>
      </w:r>
      <w:r>
        <w:tab/>
        <w:t xml:space="preserve">The Commissioner may grant a proposed award if — </w:t>
      </w:r>
    </w:p>
    <w:p>
      <w:pPr>
        <w:pStyle w:val="Indenta"/>
      </w:pPr>
      <w:r>
        <w:tab/>
        <w:t>(a)</w:t>
      </w:r>
      <w:r>
        <w:tab/>
        <w:t xml:space="preserve">in the case of an Award for Bravery or Bar to the Award for Bravery, the Committee recommends that the award be granted; or </w:t>
      </w:r>
    </w:p>
    <w:p>
      <w:pPr>
        <w:pStyle w:val="Indenta"/>
      </w:pPr>
      <w:r>
        <w:tab/>
        <w:t>(b)</w:t>
      </w:r>
      <w:r>
        <w:tab/>
        <w:t>in the case of any other award, the inquiring officer reports that the nominee has satisfied the criteria for the award.</w:t>
      </w:r>
    </w:p>
    <w:p>
      <w:pPr>
        <w:pStyle w:val="Footnotesection"/>
      </w:pPr>
      <w:r>
        <w:tab/>
        <w:t xml:space="preserve">[Regulation 8A05 inserted in Gazette 15 Dec 2006 p. 5633.] </w:t>
      </w:r>
    </w:p>
    <w:p>
      <w:pPr>
        <w:pStyle w:val="Heading5"/>
        <w:rPr>
          <w:snapToGrid w:val="0"/>
        </w:rPr>
      </w:pPr>
      <w:bookmarkStart w:id="642" w:name="_Toc166925651"/>
      <w:bookmarkStart w:id="643" w:name="_Toc256088308"/>
      <w:bookmarkStart w:id="644" w:name="_Toc218399536"/>
      <w:r>
        <w:rPr>
          <w:rStyle w:val="CharSectno"/>
        </w:rPr>
        <w:t>8A06</w:t>
      </w:r>
      <w:r>
        <w:rPr>
          <w:snapToGrid w:val="0"/>
        </w:rPr>
        <w:t>.</w:t>
      </w:r>
      <w:r>
        <w:rPr>
          <w:snapToGrid w:val="0"/>
        </w:rPr>
        <w:tab/>
        <w:t>Record of awards</w:t>
      </w:r>
      <w:bookmarkEnd w:id="638"/>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The Commissioner shall ensure that the following action is taken to record the grant of an award — </w:t>
      </w:r>
    </w:p>
    <w:p>
      <w:pPr>
        <w:pStyle w:val="Indenta"/>
        <w:rPr>
          <w:snapToGrid w:val="0"/>
        </w:rPr>
      </w:pPr>
      <w:r>
        <w:rPr>
          <w:snapToGrid w:val="0"/>
        </w:rPr>
        <w:tab/>
        <w:t>(a)</w:t>
      </w:r>
      <w:r>
        <w:rPr>
          <w:snapToGrid w:val="0"/>
        </w:rPr>
        <w:tab/>
        <w:t>making of a record in the personal file of the member of the Force concerned; and</w:t>
      </w:r>
    </w:p>
    <w:p>
      <w:pPr>
        <w:pStyle w:val="Indenta"/>
        <w:rPr>
          <w:snapToGrid w:val="0"/>
        </w:rPr>
      </w:pPr>
      <w:r>
        <w:rPr>
          <w:snapToGrid w:val="0"/>
        </w:rPr>
        <w:tab/>
        <w:t>(b)</w:t>
      </w:r>
      <w:r>
        <w:rPr>
          <w:snapToGrid w:val="0"/>
        </w:rPr>
        <w:tab/>
        <w:t xml:space="preserve">except in the case of a Commendation, publication of particulars of the award in the </w:t>
      </w:r>
      <w:r>
        <w:rPr>
          <w:i/>
          <w:snapToGrid w:val="0"/>
        </w:rPr>
        <w:t>Police Gazette</w:t>
      </w:r>
      <w:r>
        <w:rPr>
          <w:snapToGrid w:val="0"/>
        </w:rPr>
        <w:t>.</w:t>
      </w:r>
    </w:p>
    <w:p>
      <w:pPr>
        <w:pStyle w:val="Footnotesection"/>
      </w:pPr>
      <w:r>
        <w:tab/>
        <w:t xml:space="preserve">[Regulation 8A06 inserted in Gazette 2 Feb 1990 p. 789.] </w:t>
      </w:r>
    </w:p>
    <w:p>
      <w:pPr>
        <w:pStyle w:val="Heading5"/>
        <w:rPr>
          <w:snapToGrid w:val="0"/>
        </w:rPr>
      </w:pPr>
      <w:bookmarkStart w:id="645" w:name="_Toc500034744"/>
      <w:bookmarkStart w:id="646" w:name="_Toc515769542"/>
      <w:bookmarkStart w:id="647" w:name="_Toc522083223"/>
      <w:bookmarkStart w:id="648" w:name="_Toc123622974"/>
      <w:bookmarkStart w:id="649" w:name="_Toc166925652"/>
      <w:bookmarkStart w:id="650" w:name="_Toc256088309"/>
      <w:bookmarkStart w:id="651" w:name="_Toc218399537"/>
      <w:r>
        <w:rPr>
          <w:rStyle w:val="CharSectno"/>
        </w:rPr>
        <w:t>8A07</w:t>
      </w:r>
      <w:r>
        <w:rPr>
          <w:snapToGrid w:val="0"/>
        </w:rPr>
        <w:t>.</w:t>
      </w:r>
      <w:r>
        <w:rPr>
          <w:snapToGrid w:val="0"/>
        </w:rPr>
        <w:tab/>
        <w:t>Letters after name</w:t>
      </w:r>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A member of the Force who is granted the Award for Bravery is entitled to have the letters “Cr.B.” after his name in all official documents of the Force, and if he is later granted the Bar to the Award for Bravery, the letters are to be followed by an asterisk.</w:t>
      </w:r>
    </w:p>
    <w:p>
      <w:pPr>
        <w:pStyle w:val="Footnotesection"/>
      </w:pPr>
      <w:r>
        <w:tab/>
        <w:t xml:space="preserve">[Regulation 8A07 inserted in Gazette 2 Feb 1990 p. 790.] </w:t>
      </w:r>
    </w:p>
    <w:p>
      <w:pPr>
        <w:pStyle w:val="Ednotesection"/>
      </w:pPr>
      <w:bookmarkStart w:id="652" w:name="_Toc500034746"/>
      <w:bookmarkStart w:id="653" w:name="_Toc515769544"/>
      <w:bookmarkStart w:id="654" w:name="_Toc522083225"/>
      <w:bookmarkStart w:id="655" w:name="_Toc123622976"/>
      <w:r>
        <w:t>[</w:t>
      </w:r>
      <w:r>
        <w:rPr>
          <w:b/>
          <w:bCs/>
        </w:rPr>
        <w:t>8A08.</w:t>
      </w:r>
      <w:r>
        <w:tab/>
        <w:t>Deleted in Gazette 2 Feb 2007 p. 248.]</w:t>
      </w:r>
    </w:p>
    <w:p>
      <w:pPr>
        <w:pStyle w:val="Heading5"/>
        <w:rPr>
          <w:snapToGrid w:val="0"/>
        </w:rPr>
      </w:pPr>
      <w:bookmarkStart w:id="656" w:name="_Toc166925653"/>
      <w:bookmarkStart w:id="657" w:name="_Toc256088310"/>
      <w:bookmarkStart w:id="658" w:name="_Toc218399538"/>
      <w:r>
        <w:rPr>
          <w:rStyle w:val="CharSectno"/>
        </w:rPr>
        <w:t>8A09</w:t>
      </w:r>
      <w:r>
        <w:rPr>
          <w:snapToGrid w:val="0"/>
        </w:rPr>
        <w:t>.</w:t>
      </w:r>
      <w:r>
        <w:rPr>
          <w:snapToGrid w:val="0"/>
        </w:rPr>
        <w:tab/>
        <w:t>Posthumous awards</w:t>
      </w:r>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 xml:space="preserve">An award may be presented posthumously to the closest </w:t>
      </w:r>
      <w:r>
        <w:t xml:space="preserve">spouse or de facto partner, or other relative, </w:t>
      </w:r>
      <w:r>
        <w:rPr>
          <w:snapToGrid w:val="0"/>
        </w:rPr>
        <w:t>of a member of the Force who has earned an award, or to a person nominated by that</w:t>
      </w:r>
      <w:r>
        <w:t xml:space="preserve"> spouse or de facto partner, or other relative</w:t>
      </w:r>
      <w:r>
        <w:rPr>
          <w:snapToGrid w:val="0"/>
        </w:rPr>
        <w:t>.</w:t>
      </w:r>
    </w:p>
    <w:p>
      <w:pPr>
        <w:pStyle w:val="Footnotesection"/>
      </w:pPr>
      <w:r>
        <w:tab/>
        <w:t xml:space="preserve">[Regulation 8A09 inserted in Gazette 2 Feb 1990 p. 790; amended in Gazette 30 Jun 2003 p. 2623.] </w:t>
      </w:r>
    </w:p>
    <w:p>
      <w:pPr>
        <w:pStyle w:val="Heading5"/>
        <w:rPr>
          <w:snapToGrid w:val="0"/>
        </w:rPr>
      </w:pPr>
      <w:bookmarkStart w:id="659" w:name="_Toc500034747"/>
      <w:bookmarkStart w:id="660" w:name="_Toc515769545"/>
      <w:bookmarkStart w:id="661" w:name="_Toc522083226"/>
      <w:bookmarkStart w:id="662" w:name="_Toc123622977"/>
      <w:bookmarkStart w:id="663" w:name="_Toc166925654"/>
      <w:bookmarkStart w:id="664" w:name="_Toc256088311"/>
      <w:bookmarkStart w:id="665" w:name="_Toc218399539"/>
      <w:r>
        <w:rPr>
          <w:rStyle w:val="CharSectno"/>
        </w:rPr>
        <w:t>8A10</w:t>
      </w:r>
      <w:r>
        <w:rPr>
          <w:snapToGrid w:val="0"/>
        </w:rPr>
        <w:t>.</w:t>
      </w:r>
      <w:r>
        <w:rPr>
          <w:snapToGrid w:val="0"/>
        </w:rPr>
        <w:tab/>
        <w:t>Guidelines for consideration of nominations</w:t>
      </w:r>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The Commissioner shall prescribe guidelines for use by commissioned officers in considering whether the grant of an award to a member of the Force nominated for an award may be warranted.</w:t>
      </w:r>
    </w:p>
    <w:p>
      <w:pPr>
        <w:pStyle w:val="Footnotesection"/>
      </w:pPr>
      <w:r>
        <w:tab/>
        <w:t xml:space="preserve">[Regulation 8A10 inserted in Gazette 2 Feb 1990 p. 790.] </w:t>
      </w:r>
    </w:p>
    <w:p>
      <w:pPr>
        <w:pStyle w:val="Heading5"/>
        <w:rPr>
          <w:snapToGrid w:val="0"/>
        </w:rPr>
      </w:pPr>
      <w:bookmarkStart w:id="666" w:name="_Toc500034748"/>
      <w:bookmarkStart w:id="667" w:name="_Toc515769546"/>
      <w:bookmarkStart w:id="668" w:name="_Toc522083227"/>
      <w:bookmarkStart w:id="669" w:name="_Toc123622978"/>
      <w:bookmarkStart w:id="670" w:name="_Toc166925655"/>
      <w:bookmarkStart w:id="671" w:name="_Toc256088312"/>
      <w:bookmarkStart w:id="672" w:name="_Toc218399540"/>
      <w:r>
        <w:rPr>
          <w:rStyle w:val="CharSectno"/>
        </w:rPr>
        <w:t>8A11</w:t>
      </w:r>
      <w:r>
        <w:rPr>
          <w:snapToGrid w:val="0"/>
        </w:rPr>
        <w:t>.</w:t>
      </w:r>
      <w:r>
        <w:rPr>
          <w:snapToGrid w:val="0"/>
        </w:rPr>
        <w:tab/>
        <w:t>Police Honours and Awards Committee</w:t>
      </w:r>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For the purposes of this Part, there shall be a committee to be known as the Police Honours and Awards Committee.</w:t>
      </w:r>
    </w:p>
    <w:p>
      <w:pPr>
        <w:pStyle w:val="Subsection"/>
        <w:rPr>
          <w:snapToGrid w:val="0"/>
        </w:rPr>
      </w:pPr>
      <w:r>
        <w:rPr>
          <w:snapToGrid w:val="0"/>
        </w:rPr>
        <w:tab/>
        <w:t>(2)</w:t>
      </w:r>
      <w:r>
        <w:rPr>
          <w:snapToGrid w:val="0"/>
        </w:rPr>
        <w:tab/>
        <w:t>The Committee is to consist of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deputy</w:t>
      </w:r>
      <w:r>
        <w:t xml:space="preserve"> commissioners;</w:t>
      </w:r>
    </w:p>
    <w:p>
      <w:pPr>
        <w:pStyle w:val="Indenta"/>
        <w:rPr>
          <w:snapToGrid w:val="0"/>
        </w:rPr>
      </w:pPr>
      <w:r>
        <w:rPr>
          <w:snapToGrid w:val="0"/>
        </w:rPr>
        <w:tab/>
        <w:t>(c)</w:t>
      </w:r>
      <w:r>
        <w:rPr>
          <w:snapToGrid w:val="0"/>
        </w:rPr>
        <w:tab/>
        <w:t>the assistant commissioners;</w:t>
      </w:r>
    </w:p>
    <w:p>
      <w:pPr>
        <w:pStyle w:val="Indenta"/>
      </w:pPr>
      <w:r>
        <w:tab/>
        <w:t>(ca)</w:t>
      </w:r>
      <w:r>
        <w:tab/>
        <w:t>the officers of the Department holding the office of Director; and</w:t>
      </w:r>
    </w:p>
    <w:p>
      <w:pPr>
        <w:pStyle w:val="Indenta"/>
        <w:rPr>
          <w:snapToGrid w:val="0"/>
        </w:rPr>
      </w:pPr>
      <w:r>
        <w:rPr>
          <w:snapToGrid w:val="0"/>
        </w:rPr>
        <w:tab/>
        <w:t>(d)</w:t>
      </w:r>
      <w:r>
        <w:rPr>
          <w:snapToGrid w:val="0"/>
        </w:rPr>
        <w:tab/>
        <w:t>an officer of the Department appointed by the Commissioner.</w:t>
      </w:r>
    </w:p>
    <w:p>
      <w:pPr>
        <w:pStyle w:val="Subsection"/>
        <w:rPr>
          <w:snapToGrid w:val="0"/>
        </w:rPr>
      </w:pPr>
      <w:r>
        <w:rPr>
          <w:snapToGrid w:val="0"/>
        </w:rPr>
        <w:tab/>
        <w:t>(3)</w:t>
      </w:r>
      <w:r>
        <w:rPr>
          <w:snapToGrid w:val="0"/>
        </w:rPr>
        <w:tab/>
        <w:t xml:space="preserve">The Committee may determine its procedure and the provisions of the </w:t>
      </w:r>
      <w:r>
        <w:rPr>
          <w:i/>
          <w:snapToGrid w:val="0"/>
        </w:rPr>
        <w:t>Interpretation Act 1984</w:t>
      </w:r>
      <w:r>
        <w:rPr>
          <w:snapToGrid w:val="0"/>
        </w:rPr>
        <w:t xml:space="preserve"> which would otherwise apply in relation to the procedure of the Committee apply only to the extent to which they are not inconsistent with determinations made by the Committee.</w:t>
      </w:r>
    </w:p>
    <w:p>
      <w:pPr>
        <w:pStyle w:val="Footnotesection"/>
      </w:pPr>
      <w:r>
        <w:tab/>
        <w:t xml:space="preserve">[Regulation 8A11 inserted in Gazette 2 Feb 1990 p. 790; amended in Gazette 14 Jul 1992 p. 3370; 15 Dec 2006 p. 5634.] </w:t>
      </w:r>
    </w:p>
    <w:p>
      <w:pPr>
        <w:pStyle w:val="Heading2"/>
      </w:pPr>
      <w:bookmarkStart w:id="673" w:name="_Toc158523582"/>
      <w:bookmarkStart w:id="674" w:name="_Toc161039444"/>
      <w:bookmarkStart w:id="675" w:name="_Toc161039585"/>
      <w:bookmarkStart w:id="676" w:name="_Toc161130338"/>
      <w:bookmarkStart w:id="677" w:name="_Toc163021097"/>
      <w:bookmarkStart w:id="678" w:name="_Toc164760068"/>
      <w:bookmarkStart w:id="679" w:name="_Toc166925656"/>
      <w:bookmarkStart w:id="680" w:name="_Toc182896985"/>
      <w:bookmarkStart w:id="681" w:name="_Toc182897747"/>
      <w:bookmarkStart w:id="682" w:name="_Toc182901901"/>
      <w:bookmarkStart w:id="683" w:name="_Toc198028293"/>
      <w:bookmarkStart w:id="684" w:name="_Toc218399541"/>
      <w:bookmarkStart w:id="685" w:name="_Toc256088313"/>
      <w:bookmarkStart w:id="686" w:name="_Toc90976550"/>
      <w:bookmarkStart w:id="687" w:name="_Toc91044782"/>
      <w:bookmarkStart w:id="688" w:name="_Toc91044962"/>
      <w:bookmarkStart w:id="689" w:name="_Toc123621471"/>
      <w:bookmarkStart w:id="690" w:name="_Toc123623014"/>
      <w:r>
        <w:rPr>
          <w:rStyle w:val="CharPartNo"/>
        </w:rPr>
        <w:t>Part IX</w:t>
      </w:r>
      <w:r>
        <w:rPr>
          <w:rStyle w:val="CharDivNo"/>
        </w:rPr>
        <w:t> </w:t>
      </w:r>
      <w:r>
        <w:t>—</w:t>
      </w:r>
      <w:r>
        <w:rPr>
          <w:rStyle w:val="CharDivText"/>
        </w:rPr>
        <w:t> </w:t>
      </w:r>
      <w:r>
        <w:rPr>
          <w:rStyle w:val="CharPartText"/>
        </w:rPr>
        <w:t>General dress and appearance requirements</w:t>
      </w:r>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Footnoteheading"/>
      </w:pPr>
      <w:r>
        <w:tab/>
        <w:t>[Heading inserted in Gazette 2 Feb 2007 p. 248.]</w:t>
      </w:r>
    </w:p>
    <w:p>
      <w:pPr>
        <w:pStyle w:val="Heading5"/>
        <w:rPr>
          <w:ins w:id="691" w:author="Master Repository Process" w:date="2021-09-11T18:14:00Z"/>
        </w:rPr>
      </w:pPr>
      <w:bookmarkStart w:id="692" w:name="_Toc256088314"/>
      <w:bookmarkStart w:id="693" w:name="_Toc158523583"/>
      <w:bookmarkStart w:id="694" w:name="_Toc166925657"/>
      <w:ins w:id="695" w:author="Master Repository Process" w:date="2021-09-11T18:14:00Z">
        <w:r>
          <w:rPr>
            <w:rStyle w:val="CharSectno"/>
          </w:rPr>
          <w:t>901A</w:t>
        </w:r>
        <w:r>
          <w:t>.</w:t>
        </w:r>
        <w:r>
          <w:tab/>
          <w:t>Term used: Certificate of Authority</w:t>
        </w:r>
        <w:bookmarkEnd w:id="692"/>
      </w:ins>
    </w:p>
    <w:p>
      <w:pPr>
        <w:pStyle w:val="Subsection"/>
        <w:rPr>
          <w:ins w:id="696" w:author="Master Repository Process" w:date="2021-09-11T18:14:00Z"/>
        </w:rPr>
      </w:pPr>
      <w:ins w:id="697" w:author="Master Repository Process" w:date="2021-09-11T18:14:00Z">
        <w:r>
          <w:tab/>
        </w:r>
        <w:r>
          <w:tab/>
          <w:t>In this Part —</w:t>
        </w:r>
      </w:ins>
    </w:p>
    <w:p>
      <w:pPr>
        <w:pStyle w:val="Defstart"/>
        <w:rPr>
          <w:ins w:id="698" w:author="Master Repository Process" w:date="2021-09-11T18:14:00Z"/>
        </w:rPr>
      </w:pPr>
      <w:ins w:id="699" w:author="Master Repository Process" w:date="2021-09-11T18:14:00Z">
        <w:r>
          <w:tab/>
        </w:r>
        <w:r>
          <w:rPr>
            <w:rStyle w:val="CharDefText"/>
          </w:rPr>
          <w:t>Certificate of Authority</w:t>
        </w:r>
        <w:r>
          <w:t>, of a member or cadet, means a card that —</w:t>
        </w:r>
      </w:ins>
    </w:p>
    <w:p>
      <w:pPr>
        <w:pStyle w:val="Defpara"/>
        <w:rPr>
          <w:ins w:id="700" w:author="Master Repository Process" w:date="2021-09-11T18:14:00Z"/>
        </w:rPr>
      </w:pPr>
      <w:ins w:id="701" w:author="Master Repository Process" w:date="2021-09-11T18:14:00Z">
        <w:r>
          <w:tab/>
          <w:t>(a)</w:t>
        </w:r>
        <w:r>
          <w:tab/>
          <w:t>has on it —</w:t>
        </w:r>
      </w:ins>
    </w:p>
    <w:p>
      <w:pPr>
        <w:pStyle w:val="Defsubpara"/>
        <w:rPr>
          <w:ins w:id="702" w:author="Master Repository Process" w:date="2021-09-11T18:14:00Z"/>
        </w:rPr>
      </w:pPr>
      <w:ins w:id="703" w:author="Master Repository Process" w:date="2021-09-11T18:14:00Z">
        <w:r>
          <w:tab/>
          <w:t>(i)</w:t>
        </w:r>
        <w:r>
          <w:tab/>
          <w:t>the name and date of birth and a photograph of; and</w:t>
        </w:r>
      </w:ins>
    </w:p>
    <w:p>
      <w:pPr>
        <w:pStyle w:val="Defsubpara"/>
        <w:rPr>
          <w:ins w:id="704" w:author="Master Repository Process" w:date="2021-09-11T18:14:00Z"/>
        </w:rPr>
      </w:pPr>
      <w:ins w:id="705" w:author="Master Repository Process" w:date="2021-09-11T18:14:00Z">
        <w:r>
          <w:tab/>
          <w:t>(ii)</w:t>
        </w:r>
        <w:r>
          <w:tab/>
          <w:t>the registered number of, and the office or rank held by,</w:t>
        </w:r>
      </w:ins>
    </w:p>
    <w:p>
      <w:pPr>
        <w:pStyle w:val="Defpara"/>
        <w:rPr>
          <w:ins w:id="706" w:author="Master Repository Process" w:date="2021-09-11T18:14:00Z"/>
        </w:rPr>
      </w:pPr>
      <w:ins w:id="707" w:author="Master Repository Process" w:date="2021-09-11T18:14:00Z">
        <w:r>
          <w:tab/>
        </w:r>
        <w:r>
          <w:tab/>
          <w:t>the member or cadet; and</w:t>
        </w:r>
      </w:ins>
    </w:p>
    <w:p>
      <w:pPr>
        <w:pStyle w:val="Defpara"/>
        <w:rPr>
          <w:ins w:id="708" w:author="Master Repository Process" w:date="2021-09-11T18:14:00Z"/>
        </w:rPr>
      </w:pPr>
      <w:ins w:id="709" w:author="Master Repository Process" w:date="2021-09-11T18:14:00Z">
        <w:r>
          <w:tab/>
          <w:t>(b)</w:t>
        </w:r>
        <w:r>
          <w:tab/>
          <w:t>is issued to the member or cadet by or on behalf the Commissioner.</w:t>
        </w:r>
      </w:ins>
    </w:p>
    <w:p>
      <w:pPr>
        <w:pStyle w:val="Footnotesection"/>
        <w:rPr>
          <w:ins w:id="710" w:author="Master Repository Process" w:date="2021-09-11T18:14:00Z"/>
        </w:rPr>
      </w:pPr>
      <w:ins w:id="711" w:author="Master Repository Process" w:date="2021-09-11T18:14:00Z">
        <w:r>
          <w:tab/>
          <w:t>[Regulation 901A inserted in Gazette 12 Mar 2010 p. 955.]</w:t>
        </w:r>
      </w:ins>
    </w:p>
    <w:p>
      <w:pPr>
        <w:pStyle w:val="Heading5"/>
      </w:pPr>
      <w:bookmarkStart w:id="712" w:name="_Toc256088315"/>
      <w:bookmarkStart w:id="713" w:name="_Toc218399542"/>
      <w:r>
        <w:rPr>
          <w:rStyle w:val="CharSectno"/>
        </w:rPr>
        <w:t>901</w:t>
      </w:r>
      <w:r>
        <w:t>.</w:t>
      </w:r>
      <w:r>
        <w:tab/>
        <w:t>Uniform to be worn as ordered</w:t>
      </w:r>
      <w:bookmarkEnd w:id="693"/>
      <w:bookmarkEnd w:id="694"/>
      <w:bookmarkEnd w:id="712"/>
      <w:bookmarkEnd w:id="713"/>
    </w:p>
    <w:p>
      <w:pPr>
        <w:pStyle w:val="Subsection"/>
      </w:pPr>
      <w:r>
        <w:tab/>
        <w:t>(1)</w:t>
      </w:r>
      <w:r>
        <w:tab/>
        <w:t xml:space="preserve">A member or cadet, when required by the Commissioner’s uniform and appearance instruction to wear a uniform, shall —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 xml:space="preserve">A member or cadet, when not required to wear a uniform on duty, shall —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pPr>
      <w:r>
        <w:tab/>
        <w:t>[Regulation 901 inserted in Gazette 2 Feb 2007 p. 248.]</w:t>
      </w:r>
    </w:p>
    <w:p>
      <w:pPr>
        <w:pStyle w:val="Heading5"/>
      </w:pPr>
      <w:bookmarkStart w:id="714" w:name="_Toc158523584"/>
      <w:bookmarkStart w:id="715" w:name="_Toc166925658"/>
      <w:bookmarkStart w:id="716" w:name="_Toc256088316"/>
      <w:bookmarkStart w:id="717" w:name="_Toc218399543"/>
      <w:r>
        <w:rPr>
          <w:rStyle w:val="CharSectno"/>
        </w:rPr>
        <w:t>902</w:t>
      </w:r>
      <w:r>
        <w:t>.</w:t>
      </w:r>
      <w:r>
        <w:tab/>
        <w:t>Wearing of uniform while off duty</w:t>
      </w:r>
      <w:bookmarkEnd w:id="714"/>
      <w:bookmarkEnd w:id="715"/>
      <w:bookmarkEnd w:id="716"/>
      <w:bookmarkEnd w:id="717"/>
    </w:p>
    <w:p>
      <w:pPr>
        <w:pStyle w:val="Subsection"/>
        <w:rPr>
          <w:ins w:id="718" w:author="Master Repository Process" w:date="2021-09-11T18:14:00Z"/>
        </w:rPr>
      </w:pPr>
      <w:ins w:id="719" w:author="Master Repository Process" w:date="2021-09-11T18:14:00Z">
        <w:r>
          <w:tab/>
          <w:t>(1A)</w:t>
        </w:r>
        <w:r>
          <w:tab/>
          <w:t>Subregulations (1) and (2) do not apply to a police auxiliary officer.</w:t>
        </w:r>
      </w:ins>
    </w:p>
    <w:p>
      <w:pPr>
        <w:pStyle w:val="Subsection"/>
      </w:pPr>
      <w:r>
        <w:tab/>
        <w:t>(1)</w:t>
      </w:r>
      <w:r>
        <w:tab/>
        <w:t xml:space="preserve">A member or cadet shall not wear a uniform while off duty except — </w:t>
      </w:r>
    </w:p>
    <w:p>
      <w:pPr>
        <w:pStyle w:val="Indenta"/>
      </w:pPr>
      <w:r>
        <w:tab/>
        <w:t>(a)</w:t>
      </w:r>
      <w:r>
        <w:tab/>
        <w:t>while travelling to or from his place of duty; or</w:t>
      </w:r>
    </w:p>
    <w:p>
      <w:pPr>
        <w:pStyle w:val="Indenta"/>
      </w:pPr>
      <w:r>
        <w:tab/>
        <w:t>(b)</w:t>
      </w:r>
      <w:r>
        <w:tab/>
        <w:t xml:space="preserve">with the permission of his officer in charge or his immediate superior, as the case may be, as ceremonial dress where he is entering into marriage within the meaning of the </w:t>
      </w:r>
      <w:r>
        <w:rPr>
          <w:i/>
        </w:rPr>
        <w:t>Marriage Act 1961</w:t>
      </w:r>
      <w:r>
        <w:t xml:space="preserve"> of the Commonwealth; or</w:t>
      </w:r>
    </w:p>
    <w:p>
      <w:pPr>
        <w:pStyle w:val="Indenta"/>
      </w:pPr>
      <w:r>
        <w:tab/>
        <w:t>(c)</w:t>
      </w:r>
      <w:r>
        <w:tab/>
        <w:t>with the permission of his assistant commissioner or Director, at a special function or event.</w:t>
      </w:r>
    </w:p>
    <w:p>
      <w:pPr>
        <w:pStyle w:val="Subsection"/>
      </w:pPr>
      <w:r>
        <w:tab/>
        <w:t>(2)</w:t>
      </w:r>
      <w:r>
        <w:tab/>
        <w:t xml:space="preserve">A member or cadet cannot be authorised under subregulation (1)(b) or (c) to wear — </w:t>
      </w:r>
    </w:p>
    <w:p>
      <w:pPr>
        <w:pStyle w:val="Indenta"/>
      </w:pPr>
      <w:r>
        <w:tab/>
        <w:t>(a)</w:t>
      </w:r>
      <w:r>
        <w:tab/>
        <w:t>a firearm, handcuffs, a baton, equipment belt or associated accoutrements; or</w:t>
      </w:r>
    </w:p>
    <w:p>
      <w:pPr>
        <w:pStyle w:val="Indenta"/>
      </w:pPr>
      <w:r>
        <w:tab/>
        <w:t>(b)</w:t>
      </w:r>
      <w:r>
        <w:tab/>
        <w:t>a uniform at a place where alcohol is available for consumption.</w:t>
      </w:r>
    </w:p>
    <w:p>
      <w:pPr>
        <w:pStyle w:val="Subsection"/>
        <w:rPr>
          <w:ins w:id="720" w:author="Master Repository Process" w:date="2021-09-11T18:14:00Z"/>
        </w:rPr>
      </w:pPr>
      <w:ins w:id="721" w:author="Master Repository Process" w:date="2021-09-11T18:14:00Z">
        <w:r>
          <w:tab/>
          <w:t>(3)</w:t>
        </w:r>
        <w:r>
          <w:tab/>
          <w:t>A police auxiliary officer must not wear a uniform while off duty except at his or her place of work —</w:t>
        </w:r>
      </w:ins>
    </w:p>
    <w:p>
      <w:pPr>
        <w:pStyle w:val="Indenta"/>
        <w:rPr>
          <w:ins w:id="722" w:author="Master Repository Process" w:date="2021-09-11T18:14:00Z"/>
        </w:rPr>
      </w:pPr>
      <w:ins w:id="723" w:author="Master Repository Process" w:date="2021-09-11T18:14:00Z">
        <w:r>
          <w:tab/>
          <w:t>(a)</w:t>
        </w:r>
        <w:r>
          <w:tab/>
          <w:t>having changed into uniform at that place before going on duty; and</w:t>
        </w:r>
      </w:ins>
    </w:p>
    <w:p>
      <w:pPr>
        <w:pStyle w:val="Indenta"/>
        <w:rPr>
          <w:ins w:id="724" w:author="Master Repository Process" w:date="2021-09-11T18:14:00Z"/>
        </w:rPr>
      </w:pPr>
      <w:ins w:id="725" w:author="Master Repository Process" w:date="2021-09-11T18:14:00Z">
        <w:r>
          <w:tab/>
          <w:t>(b)</w:t>
        </w:r>
        <w:r>
          <w:tab/>
          <w:t>before changing out of uniform at that place after going off duty.</w:t>
        </w:r>
      </w:ins>
    </w:p>
    <w:p>
      <w:pPr>
        <w:pStyle w:val="Footnotesection"/>
      </w:pPr>
      <w:r>
        <w:tab/>
        <w:t>[Regulation 902 inserted in Gazette 2 Feb 2007 p. </w:t>
      </w:r>
      <w:del w:id="726" w:author="Master Repository Process" w:date="2021-09-11T18:14:00Z">
        <w:r>
          <w:delText>248</w:delText>
        </w:r>
      </w:del>
      <w:ins w:id="727" w:author="Master Repository Process" w:date="2021-09-11T18:14:00Z">
        <w:r>
          <w:t>248; amended in Gazette 12 Mar 2010 p. 955</w:t>
        </w:r>
      </w:ins>
      <w:r>
        <w:t>.]</w:t>
      </w:r>
    </w:p>
    <w:p>
      <w:pPr>
        <w:pStyle w:val="Heading5"/>
      </w:pPr>
      <w:bookmarkStart w:id="728" w:name="_Toc158523585"/>
      <w:bookmarkStart w:id="729" w:name="_Toc166925659"/>
      <w:bookmarkStart w:id="730" w:name="_Toc256088317"/>
      <w:bookmarkStart w:id="731" w:name="_Toc218399544"/>
      <w:r>
        <w:rPr>
          <w:rStyle w:val="CharSectno"/>
        </w:rPr>
        <w:t>903</w:t>
      </w:r>
      <w:r>
        <w:t>.</w:t>
      </w:r>
      <w:r>
        <w:tab/>
        <w:t>Uniform not to be altered</w:t>
      </w:r>
      <w:bookmarkEnd w:id="728"/>
      <w:bookmarkEnd w:id="729"/>
      <w:bookmarkEnd w:id="730"/>
      <w:bookmarkEnd w:id="731"/>
    </w:p>
    <w:p>
      <w:pPr>
        <w:pStyle w:val="Subsection"/>
      </w:pPr>
      <w:r>
        <w:tab/>
        <w:t>(1)</w:t>
      </w:r>
      <w:r>
        <w:tab/>
        <w:t>A member or cadet shall not wear any current issue uniform clothing on duty that has had its appearance altered or its shape interfered with.</w:t>
      </w:r>
    </w:p>
    <w:p>
      <w:pPr>
        <w:pStyle w:val="Subsection"/>
      </w:pPr>
      <w:r>
        <w:tab/>
        <w:t>(2)</w:t>
      </w:r>
      <w:r>
        <w:tab/>
        <w:t>A member or cadet shall not alter his current issue uniform clothing for use as private garments, or wear any of his current issue articles of uniform as a civilian garment.</w:t>
      </w:r>
    </w:p>
    <w:p>
      <w:pPr>
        <w:pStyle w:val="Footnotesection"/>
      </w:pPr>
      <w:r>
        <w:tab/>
        <w:t>[Regulation 903 inserted in Gazette 2 Feb 2007 p. 249.]</w:t>
      </w:r>
    </w:p>
    <w:p>
      <w:pPr>
        <w:pStyle w:val="Heading5"/>
      </w:pPr>
      <w:bookmarkStart w:id="732" w:name="_Toc158523586"/>
      <w:bookmarkStart w:id="733" w:name="_Toc166925660"/>
      <w:bookmarkStart w:id="734" w:name="_Toc256088318"/>
      <w:bookmarkStart w:id="735" w:name="_Toc218399545"/>
      <w:r>
        <w:rPr>
          <w:rStyle w:val="CharSectno"/>
        </w:rPr>
        <w:t>904</w:t>
      </w:r>
      <w:r>
        <w:t>.</w:t>
      </w:r>
      <w:r>
        <w:tab/>
        <w:t>Replacement and disposal of articles of uniform</w:t>
      </w:r>
      <w:bookmarkEnd w:id="732"/>
      <w:bookmarkEnd w:id="733"/>
      <w:bookmarkEnd w:id="734"/>
      <w:bookmarkEnd w:id="735"/>
    </w:p>
    <w:p>
      <w:pPr>
        <w:pStyle w:val="Subsection"/>
      </w:pPr>
      <w:r>
        <w:tab/>
      </w:r>
      <w:r>
        <w:tab/>
        <w:t>If an article of uniform or equipment is to be replaced, a member or cadet shall remove or destroy all components of the uniform or equipment being replaced that identify it as police issue, before disposal of the replaced article.</w:t>
      </w:r>
    </w:p>
    <w:p>
      <w:pPr>
        <w:pStyle w:val="Footnotesection"/>
      </w:pPr>
      <w:r>
        <w:tab/>
        <w:t>[Regulation 904 inserted in Gazette 2 Feb 2007 p. 249.]</w:t>
      </w:r>
    </w:p>
    <w:p>
      <w:pPr>
        <w:pStyle w:val="Heading5"/>
      </w:pPr>
      <w:bookmarkStart w:id="736" w:name="_Toc158523587"/>
      <w:bookmarkStart w:id="737" w:name="_Toc166925661"/>
      <w:bookmarkStart w:id="738" w:name="_Toc256088319"/>
      <w:bookmarkStart w:id="739" w:name="_Toc218399546"/>
      <w:r>
        <w:rPr>
          <w:rStyle w:val="CharSectno"/>
        </w:rPr>
        <w:t>905</w:t>
      </w:r>
      <w:r>
        <w:t>.</w:t>
      </w:r>
      <w:r>
        <w:tab/>
        <w:t>Wearing of headwear</w:t>
      </w:r>
      <w:bookmarkEnd w:id="736"/>
      <w:bookmarkEnd w:id="737"/>
      <w:bookmarkEnd w:id="738"/>
      <w:bookmarkEnd w:id="739"/>
    </w:p>
    <w:p>
      <w:pPr>
        <w:pStyle w:val="Subsection"/>
      </w:pPr>
      <w:r>
        <w:tab/>
        <w:t>(1)</w:t>
      </w:r>
      <w:r>
        <w:tab/>
        <w:t>Subject to subregulations (2), (3) and (4), when in uniform, a member or cadet shall wear the cap or hat forming part of that uniform whenever he is outside a building or a vehicle.</w:t>
      </w:r>
    </w:p>
    <w:p>
      <w:pPr>
        <w:pStyle w:val="Subsection"/>
      </w:pPr>
      <w:r>
        <w:tab/>
        <w:t>(2)</w:t>
      </w:r>
      <w:r>
        <w:tab/>
        <w:t>A motorcycle helmet or other protective form of headwear forming part of a uniform is to be worn when a member or cadet in uniform is on a motorcycle, or in circumstances requiring head protection, as the case requires.</w:t>
      </w:r>
    </w:p>
    <w:p>
      <w:pPr>
        <w:pStyle w:val="Subsection"/>
        <w:spacing w:before="120"/>
      </w:pPr>
      <w:r>
        <w:tab/>
        <w:t>(3)</w:t>
      </w:r>
      <w:r>
        <w:tab/>
        <w:t>A uniformed member or cadet shall remove a hat, cap, motorcycle helmet or other protective helmet when seated in the Supreme Court or the District Court.</w:t>
      </w:r>
    </w:p>
    <w:p>
      <w:pPr>
        <w:pStyle w:val="Subsection"/>
        <w:spacing w:before="120"/>
      </w:pPr>
      <w:r>
        <w:tab/>
        <w:t>(4)</w:t>
      </w:r>
      <w:r>
        <w:tab/>
        <w:t>A uniformed member or cadet may remove his cap or hat when within the confines of an enclosed area of land that forms the curtilage of police premises.</w:t>
      </w:r>
    </w:p>
    <w:p>
      <w:pPr>
        <w:pStyle w:val="Footnotesection"/>
      </w:pPr>
      <w:r>
        <w:tab/>
        <w:t>[Regulation 905 inserted in Gazette 2 Feb 2007 p. 249.]</w:t>
      </w:r>
    </w:p>
    <w:p>
      <w:pPr>
        <w:pStyle w:val="Heading5"/>
        <w:spacing w:before="180"/>
      </w:pPr>
      <w:bookmarkStart w:id="740" w:name="_Toc158523588"/>
      <w:bookmarkStart w:id="741" w:name="_Toc166925662"/>
      <w:bookmarkStart w:id="742" w:name="_Toc256088320"/>
      <w:bookmarkStart w:id="743" w:name="_Toc218399547"/>
      <w:r>
        <w:rPr>
          <w:rStyle w:val="CharSectno"/>
        </w:rPr>
        <w:t>906</w:t>
      </w:r>
      <w:r>
        <w:t>.</w:t>
      </w:r>
      <w:r>
        <w:tab/>
        <w:t>Care to be taken of issued property</w:t>
      </w:r>
      <w:bookmarkEnd w:id="740"/>
      <w:bookmarkEnd w:id="741"/>
      <w:bookmarkEnd w:id="742"/>
      <w:bookmarkEnd w:id="743"/>
    </w:p>
    <w:p>
      <w:pPr>
        <w:pStyle w:val="Subsection"/>
        <w:spacing w:before="120"/>
      </w:pPr>
      <w:r>
        <w:tab/>
        <w:t>(1)</w:t>
      </w:r>
      <w:r>
        <w:tab/>
        <w:t>A member or cadet shall take proper care of all articles of uniform, equipment, documents (including his Certificate of Authority), books and other items of property which have been issued to him.</w:t>
      </w:r>
    </w:p>
    <w:p>
      <w:pPr>
        <w:pStyle w:val="Subsection"/>
        <w:spacing w:before="120"/>
      </w:pPr>
      <w:r>
        <w:tab/>
        <w:t>(2)</w:t>
      </w:r>
      <w:r>
        <w:tab/>
        <w:t xml:space="preserve">A member or cadet shall not — </w:t>
      </w:r>
    </w:p>
    <w:p>
      <w:pPr>
        <w:pStyle w:val="Indenta"/>
      </w:pPr>
      <w:r>
        <w:tab/>
        <w:t>(a)</w:t>
      </w:r>
      <w:r>
        <w:tab/>
        <w:t>wilfully or carelessly cause any waste, loss or damage in respect of any article of uniform or equipment, or in respect of any book, document (including a Certificate of Authority) or other property issued to him, used by him or entrusted to his care; or</w:t>
      </w:r>
    </w:p>
    <w:p>
      <w:pPr>
        <w:pStyle w:val="Indenta"/>
      </w:pPr>
      <w:r>
        <w:tab/>
        <w:t>(b)</w:t>
      </w:r>
      <w:r>
        <w:tab/>
        <w:t>without lawful authority use any property issued to him or used by him or entrusted to his care other than in the performance of his duty.</w:t>
      </w:r>
    </w:p>
    <w:p>
      <w:pPr>
        <w:pStyle w:val="Subsection"/>
        <w:spacing w:before="120"/>
      </w:pPr>
      <w:r>
        <w:tab/>
        <w:t>(3)</w:t>
      </w:r>
      <w:r>
        <w:tab/>
        <w:t>A member or cadet shall promptly report any loss or damage, however caused, to any article supplied to him for the performance of his duties.</w:t>
      </w:r>
    </w:p>
    <w:p>
      <w:pPr>
        <w:pStyle w:val="Footnotesection"/>
      </w:pPr>
      <w:r>
        <w:tab/>
        <w:t>[Regulation 906 inserted in Gazette 2 Feb 2007 p. 249-50.]</w:t>
      </w:r>
    </w:p>
    <w:p>
      <w:pPr>
        <w:pStyle w:val="Heading5"/>
        <w:spacing w:before="180"/>
      </w:pPr>
      <w:bookmarkStart w:id="744" w:name="_Toc158523589"/>
      <w:bookmarkStart w:id="745" w:name="_Toc166925663"/>
      <w:bookmarkStart w:id="746" w:name="_Toc256088321"/>
      <w:bookmarkStart w:id="747" w:name="_Toc218399548"/>
      <w:r>
        <w:rPr>
          <w:rStyle w:val="CharSectno"/>
        </w:rPr>
        <w:t>907</w:t>
      </w:r>
      <w:r>
        <w:t>.</w:t>
      </w:r>
      <w:r>
        <w:tab/>
        <w:t>Certificate of Authority</w:t>
      </w:r>
      <w:bookmarkEnd w:id="744"/>
      <w:bookmarkEnd w:id="745"/>
      <w:bookmarkEnd w:id="746"/>
      <w:bookmarkEnd w:id="747"/>
    </w:p>
    <w:p>
      <w:pPr>
        <w:pStyle w:val="Subsection"/>
        <w:rPr>
          <w:ins w:id="748" w:author="Master Repository Process" w:date="2021-09-11T18:14:00Z"/>
        </w:rPr>
      </w:pPr>
      <w:ins w:id="749" w:author="Master Repository Process" w:date="2021-09-11T18:14:00Z">
        <w:r>
          <w:tab/>
          <w:t>(1A)</w:t>
        </w:r>
        <w:r>
          <w:tab/>
          <w:t>The rest of this regulation does not apply to a police auxiliary officer.</w:t>
        </w:r>
      </w:ins>
    </w:p>
    <w:p>
      <w:pPr>
        <w:pStyle w:val="Subsection"/>
        <w:spacing w:before="120"/>
      </w:pPr>
      <w:r>
        <w:tab/>
        <w:t>(1)</w:t>
      </w:r>
      <w:r>
        <w:tab/>
        <w:t xml:space="preserve">A member or cadet who is not in uniform shall have with him his Certificate of Authority, which he shall produce whenever requested to do so by a person in relation to whom he is about to exercise any power or duty as a member or cadet unless — </w:t>
      </w:r>
    </w:p>
    <w:p>
      <w:pPr>
        <w:pStyle w:val="Indenta"/>
      </w:pPr>
      <w:r>
        <w:tab/>
        <w:t>(a)</w:t>
      </w:r>
      <w:r>
        <w:tab/>
        <w:t xml:space="preserve">he has a reasonable cause to refuse to do so; or </w:t>
      </w:r>
    </w:p>
    <w:p>
      <w:pPr>
        <w:pStyle w:val="Indenta"/>
      </w:pPr>
      <w:r>
        <w:tab/>
        <w:t>(b)</w:t>
      </w:r>
      <w:r>
        <w:tab/>
        <w:t>it is not possible to do so.</w:t>
      </w:r>
    </w:p>
    <w:p>
      <w:pPr>
        <w:pStyle w:val="Subsection"/>
      </w:pPr>
      <w:r>
        <w:tab/>
        <w:t>(2)</w:t>
      </w:r>
      <w:r>
        <w:tab/>
        <w:t>A member or cadet who is not in uniform shall display his Certificate of Authority at all times while on police property or in police buildings, whether or not he is on duty at the time.</w:t>
      </w:r>
    </w:p>
    <w:p>
      <w:pPr>
        <w:pStyle w:val="Subsection"/>
      </w:pPr>
      <w:r>
        <w:tab/>
        <w:t>(3)</w:t>
      </w:r>
      <w:r>
        <w:tab/>
        <w:t>A member or cadet shall not transfer the Certificate of Authority issued to him to another member or cadet and shall not permit any person whether a member or not to use his Certificate of Authority.</w:t>
      </w:r>
    </w:p>
    <w:p>
      <w:pPr>
        <w:pStyle w:val="Footnotesection"/>
      </w:pPr>
      <w:r>
        <w:tab/>
        <w:t>[Regulation 907 inserted in Gazette 2 Feb 2007 p. </w:t>
      </w:r>
      <w:del w:id="750" w:author="Master Repository Process" w:date="2021-09-11T18:14:00Z">
        <w:r>
          <w:delText>250</w:delText>
        </w:r>
      </w:del>
      <w:ins w:id="751" w:author="Master Repository Process" w:date="2021-09-11T18:14:00Z">
        <w:r>
          <w:t>250; amended in Gazette 12 Mar 2010 p. 955</w:t>
        </w:r>
      </w:ins>
      <w:r>
        <w:t>.]</w:t>
      </w:r>
    </w:p>
    <w:p>
      <w:pPr>
        <w:pStyle w:val="Heading5"/>
        <w:rPr>
          <w:ins w:id="752" w:author="Master Repository Process" w:date="2021-09-11T18:14:00Z"/>
        </w:rPr>
      </w:pPr>
      <w:bookmarkStart w:id="753" w:name="_Toc256088322"/>
      <w:bookmarkStart w:id="754" w:name="_Toc158523590"/>
      <w:bookmarkStart w:id="755" w:name="_Toc166925664"/>
      <w:ins w:id="756" w:author="Master Repository Process" w:date="2021-09-11T18:14:00Z">
        <w:r>
          <w:rPr>
            <w:rStyle w:val="CharSectno"/>
          </w:rPr>
          <w:t>908A</w:t>
        </w:r>
        <w:r>
          <w:t>.</w:t>
        </w:r>
        <w:r>
          <w:tab/>
          <w:t>Certificates of Authority of police auxiliary officers</w:t>
        </w:r>
        <w:bookmarkEnd w:id="753"/>
      </w:ins>
    </w:p>
    <w:p>
      <w:pPr>
        <w:pStyle w:val="Subsection"/>
        <w:rPr>
          <w:ins w:id="757" w:author="Master Repository Process" w:date="2021-09-11T18:14:00Z"/>
        </w:rPr>
      </w:pPr>
      <w:ins w:id="758" w:author="Master Repository Process" w:date="2021-09-11T18:14:00Z">
        <w:r>
          <w:tab/>
          <w:t>(1)</w:t>
        </w:r>
        <w:r>
          <w:tab/>
          <w:t>A police auxiliary officer who is on duty, whether in uniform or not, must carry his or her Certificate of Authority.</w:t>
        </w:r>
      </w:ins>
    </w:p>
    <w:p>
      <w:pPr>
        <w:pStyle w:val="Subsection"/>
        <w:rPr>
          <w:ins w:id="759" w:author="Master Repository Process" w:date="2021-09-11T18:14:00Z"/>
        </w:rPr>
      </w:pPr>
      <w:ins w:id="760" w:author="Master Repository Process" w:date="2021-09-11T18:14:00Z">
        <w:r>
          <w:tab/>
          <w:t>(2)</w:t>
        </w:r>
        <w:r>
          <w:tab/>
          <w:t>A police auxiliary officer who is not in uniform must display his or her Certificate of Authority at all times while on police property or in police buildings, whether or not he or she is on duty at the time.</w:t>
        </w:r>
      </w:ins>
    </w:p>
    <w:p>
      <w:pPr>
        <w:pStyle w:val="Subsection"/>
        <w:rPr>
          <w:ins w:id="761" w:author="Master Repository Process" w:date="2021-09-11T18:14:00Z"/>
        </w:rPr>
      </w:pPr>
      <w:ins w:id="762" w:author="Master Repository Process" w:date="2021-09-11T18:14:00Z">
        <w:r>
          <w:tab/>
          <w:t>(3)</w:t>
        </w:r>
        <w:r>
          <w:tab/>
          <w:t>A police auxiliary officer must not transfer his or her Certificate of Authority to a member or cadet or another police auxiliary officer.</w:t>
        </w:r>
      </w:ins>
    </w:p>
    <w:p>
      <w:pPr>
        <w:pStyle w:val="Subsection"/>
        <w:rPr>
          <w:ins w:id="763" w:author="Master Repository Process" w:date="2021-09-11T18:14:00Z"/>
        </w:rPr>
      </w:pPr>
      <w:ins w:id="764" w:author="Master Repository Process" w:date="2021-09-11T18:14:00Z">
        <w:r>
          <w:tab/>
          <w:t>(4)</w:t>
        </w:r>
        <w:r>
          <w:tab/>
          <w:t>A police auxiliary officer must not permit any person, whether or not a member or police auxiliary officer, to use his or her Certificate of Authority.</w:t>
        </w:r>
      </w:ins>
    </w:p>
    <w:p>
      <w:pPr>
        <w:pStyle w:val="Subsection"/>
        <w:rPr>
          <w:ins w:id="765" w:author="Master Repository Process" w:date="2021-09-11T18:14:00Z"/>
        </w:rPr>
      </w:pPr>
      <w:ins w:id="766" w:author="Master Repository Process" w:date="2021-09-11T18:14:00Z">
        <w:r>
          <w:tab/>
          <w:t>(5)</w:t>
        </w:r>
        <w:r>
          <w:tab/>
          <w:t xml:space="preserve">In addition to the duties </w:t>
        </w:r>
        <w:r>
          <w:rPr>
            <w:iCs/>
          </w:rPr>
          <w:t>to identify himself or herself</w:t>
        </w:r>
        <w:r>
          <w:t xml:space="preserve"> in the </w:t>
        </w:r>
        <w:r>
          <w:rPr>
            <w:i/>
          </w:rPr>
          <w:t>Criminal Investigation Act 2006</w:t>
        </w:r>
        <w:r>
          <w:rPr>
            <w:iCs/>
          </w:rPr>
          <w:t xml:space="preserve">, </w:t>
        </w:r>
        <w:r>
          <w:t xml:space="preserve">a police auxiliary officer, whether in uniform or not, must produce his or her Certificate of Authority whenever requested to do so by a person in relation to whom he or she is about to exercise any power or duty as a police auxiliary officer unless — </w:t>
        </w:r>
      </w:ins>
    </w:p>
    <w:p>
      <w:pPr>
        <w:pStyle w:val="Indenta"/>
        <w:rPr>
          <w:ins w:id="767" w:author="Master Repository Process" w:date="2021-09-11T18:14:00Z"/>
        </w:rPr>
      </w:pPr>
      <w:ins w:id="768" w:author="Master Repository Process" w:date="2021-09-11T18:14:00Z">
        <w:r>
          <w:tab/>
          <w:t>(a)</w:t>
        </w:r>
        <w:r>
          <w:tab/>
          <w:t>he or she has a reasonable cause to refuse to do so; or</w:t>
        </w:r>
      </w:ins>
    </w:p>
    <w:p>
      <w:pPr>
        <w:pStyle w:val="Indenta"/>
        <w:rPr>
          <w:ins w:id="769" w:author="Master Repository Process" w:date="2021-09-11T18:14:00Z"/>
        </w:rPr>
      </w:pPr>
      <w:ins w:id="770" w:author="Master Repository Process" w:date="2021-09-11T18:14:00Z">
        <w:r>
          <w:tab/>
          <w:t>(b)</w:t>
        </w:r>
        <w:r>
          <w:tab/>
          <w:t>it is not possible to do so.</w:t>
        </w:r>
      </w:ins>
    </w:p>
    <w:p>
      <w:pPr>
        <w:pStyle w:val="Footnotesection"/>
        <w:rPr>
          <w:ins w:id="771" w:author="Master Repository Process" w:date="2021-09-11T18:14:00Z"/>
        </w:rPr>
      </w:pPr>
      <w:ins w:id="772" w:author="Master Repository Process" w:date="2021-09-11T18:14:00Z">
        <w:r>
          <w:tab/>
          <w:t>[Regulation 908A inserted in Gazette 12 Mar 2010 p. 956.]</w:t>
        </w:r>
      </w:ins>
    </w:p>
    <w:p>
      <w:pPr>
        <w:pStyle w:val="Heading5"/>
      </w:pPr>
      <w:bookmarkStart w:id="773" w:name="_Toc256088323"/>
      <w:bookmarkStart w:id="774" w:name="_Toc218399549"/>
      <w:r>
        <w:rPr>
          <w:rStyle w:val="CharSectno"/>
        </w:rPr>
        <w:t>908</w:t>
      </w:r>
      <w:r>
        <w:t>.</w:t>
      </w:r>
      <w:r>
        <w:tab/>
        <w:t>Name plate</w:t>
      </w:r>
      <w:bookmarkEnd w:id="754"/>
      <w:bookmarkEnd w:id="755"/>
      <w:bookmarkEnd w:id="773"/>
      <w:bookmarkEnd w:id="774"/>
    </w:p>
    <w:p>
      <w:pPr>
        <w:pStyle w:val="Subsection"/>
      </w:pPr>
      <w:r>
        <w:tab/>
        <w:t>(1)</w:t>
      </w:r>
      <w:r>
        <w:tab/>
        <w:t>A member or cadet shall wear his approved name plate on work or ceremonial dress in the circumstances, and in the manner, specified in the Commissioner’s uniform and appearance instruction.</w:t>
      </w:r>
    </w:p>
    <w:p>
      <w:pPr>
        <w:pStyle w:val="Subsection"/>
      </w:pPr>
      <w:r>
        <w:tab/>
        <w:t>(2)</w:t>
      </w:r>
      <w:r>
        <w:tab/>
        <w:t>A member or cadet shall not wear a name plate that does not conform to the specifications, and requirements, specified for a name plate in the Commissioner’s uniform and appearance instruction.</w:t>
      </w:r>
    </w:p>
    <w:p>
      <w:pPr>
        <w:pStyle w:val="Footnotesection"/>
      </w:pPr>
      <w:r>
        <w:tab/>
        <w:t>[Regulation 908 inserted in Gazette 2 Feb 2007 p. 250.]</w:t>
      </w:r>
    </w:p>
    <w:p>
      <w:pPr>
        <w:pStyle w:val="Heading5"/>
      </w:pPr>
      <w:bookmarkStart w:id="775" w:name="_Toc158523591"/>
      <w:bookmarkStart w:id="776" w:name="_Toc166925665"/>
      <w:bookmarkStart w:id="777" w:name="_Toc256088324"/>
      <w:bookmarkStart w:id="778" w:name="_Toc218399550"/>
      <w:r>
        <w:rPr>
          <w:rStyle w:val="CharSectno"/>
        </w:rPr>
        <w:t>909</w:t>
      </w:r>
      <w:r>
        <w:t>.</w:t>
      </w:r>
      <w:r>
        <w:tab/>
        <w:t>Appearance</w:t>
      </w:r>
      <w:bookmarkEnd w:id="775"/>
      <w:bookmarkEnd w:id="776"/>
      <w:bookmarkEnd w:id="777"/>
      <w:bookmarkEnd w:id="778"/>
    </w:p>
    <w:p>
      <w:pPr>
        <w:pStyle w:val="Subsection"/>
      </w:pPr>
      <w:r>
        <w:tab/>
        <w:t>(1)</w:t>
      </w:r>
      <w:r>
        <w:tab/>
        <w:t>A member or cadet shall be neat and clean in his clothing, appearance and person.</w:t>
      </w:r>
    </w:p>
    <w:p>
      <w:pPr>
        <w:pStyle w:val="Subsection"/>
      </w:pPr>
      <w:r>
        <w:tab/>
        <w:t>(2)</w:t>
      </w:r>
      <w:r>
        <w:tab/>
        <w:t>A member or cadet shall have the hair on his head neatly groomed and trimmed in the manner specified in the Commissioner’s uniform and appearance instruction, unless otherwise approved.</w:t>
      </w:r>
    </w:p>
    <w:p>
      <w:pPr>
        <w:pStyle w:val="Subsection"/>
      </w:pPr>
      <w:r>
        <w:tab/>
        <w:t>(3)</w:t>
      </w:r>
      <w:r>
        <w:tab/>
        <w:t>A male member or cadet shall have his face clean shaven with the exception of the upper lip and, where a moustache is worn, have it neat and trimmed, unless otherwise approved.</w:t>
      </w:r>
    </w:p>
    <w:p>
      <w:pPr>
        <w:pStyle w:val="Subsection"/>
      </w:pPr>
      <w:r>
        <w:tab/>
        <w:t>(4)</w:t>
      </w:r>
      <w:r>
        <w:tab/>
        <w:t>A member or cadet in uniform shall not wear sunglasses unless the sunglasses are of a type, and are worn in the manner, specified in the Commissioner’s uniform and appearance instruction.</w:t>
      </w:r>
    </w:p>
    <w:p>
      <w:pPr>
        <w:pStyle w:val="Subsection"/>
      </w:pPr>
      <w:r>
        <w:tab/>
        <w:t>(5)</w:t>
      </w:r>
      <w:r>
        <w:tab/>
        <w:t>A member or cadet in uniform shall not wear jewellery or other adornments, unless the particular type of adornment is approved.</w:t>
      </w:r>
    </w:p>
    <w:p>
      <w:pPr>
        <w:pStyle w:val="Footnotesection"/>
      </w:pPr>
      <w:r>
        <w:tab/>
        <w:t>[Regulation 909 inserted in Gazette 2 Feb 2007 p. 250-1.]</w:t>
      </w:r>
    </w:p>
    <w:p>
      <w:pPr>
        <w:pStyle w:val="Ednotesection"/>
      </w:pPr>
      <w:r>
        <w:t>[</w:t>
      </w:r>
      <w:r>
        <w:rPr>
          <w:b/>
          <w:bCs/>
        </w:rPr>
        <w:t>910-922.</w:t>
      </w:r>
      <w:r>
        <w:tab/>
        <w:t>Deleted in Gazette 2 Feb 2007 p. 248.]</w:t>
      </w:r>
    </w:p>
    <w:p>
      <w:pPr>
        <w:pStyle w:val="Ednotepart"/>
      </w:pPr>
      <w:r>
        <w:t>[Part X (r. 1001</w:t>
      </w:r>
      <w:r>
        <w:noBreakHyphen/>
        <w:t xml:space="preserve">1007) deleted in Gazette 15 Dec 2006 p. 5635.] </w:t>
      </w:r>
    </w:p>
    <w:p>
      <w:pPr>
        <w:pStyle w:val="Heading2"/>
      </w:pPr>
      <w:bookmarkStart w:id="779" w:name="_Toc153957388"/>
      <w:bookmarkStart w:id="780" w:name="_Toc153958721"/>
      <w:bookmarkStart w:id="781" w:name="_Toc154478791"/>
      <w:bookmarkStart w:id="782" w:name="_Toc161039454"/>
      <w:bookmarkStart w:id="783" w:name="_Toc161039595"/>
      <w:bookmarkStart w:id="784" w:name="_Toc161130348"/>
      <w:bookmarkStart w:id="785" w:name="_Toc163021107"/>
      <w:bookmarkStart w:id="786" w:name="_Toc164760078"/>
      <w:bookmarkStart w:id="787" w:name="_Toc166925666"/>
      <w:bookmarkStart w:id="788" w:name="_Toc182896995"/>
      <w:bookmarkStart w:id="789" w:name="_Toc182897757"/>
      <w:bookmarkStart w:id="790" w:name="_Toc182901911"/>
      <w:bookmarkStart w:id="791" w:name="_Toc198028303"/>
      <w:bookmarkStart w:id="792" w:name="_Toc218399551"/>
      <w:bookmarkStart w:id="793" w:name="_Toc256088325"/>
      <w:r>
        <w:rPr>
          <w:rStyle w:val="CharPartNo"/>
        </w:rPr>
        <w:t>Part XI</w:t>
      </w:r>
      <w:r>
        <w:rPr>
          <w:rStyle w:val="CharDivNo"/>
        </w:rPr>
        <w:t> </w:t>
      </w:r>
      <w:r>
        <w:t>—</w:t>
      </w:r>
      <w:r>
        <w:rPr>
          <w:rStyle w:val="CharDivText"/>
        </w:rPr>
        <w:t> </w:t>
      </w:r>
      <w:r>
        <w:rPr>
          <w:rStyle w:val="CharPartText"/>
        </w:rPr>
        <w:t>Leave</w:t>
      </w:r>
      <w:bookmarkEnd w:id="686"/>
      <w:bookmarkEnd w:id="687"/>
      <w:bookmarkEnd w:id="688"/>
      <w:bookmarkEnd w:id="689"/>
      <w:bookmarkEnd w:id="690"/>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Pr>
          <w:rStyle w:val="CharPartText"/>
        </w:rPr>
        <w:t xml:space="preserve"> </w:t>
      </w:r>
    </w:p>
    <w:p>
      <w:pPr>
        <w:pStyle w:val="Heading5"/>
        <w:rPr>
          <w:snapToGrid w:val="0"/>
        </w:rPr>
      </w:pPr>
      <w:bookmarkStart w:id="794" w:name="_Toc500034779"/>
      <w:bookmarkStart w:id="795" w:name="_Toc515769577"/>
      <w:bookmarkStart w:id="796" w:name="_Toc522083258"/>
      <w:bookmarkStart w:id="797" w:name="_Toc123623015"/>
      <w:bookmarkStart w:id="798" w:name="_Toc166925667"/>
      <w:bookmarkStart w:id="799" w:name="_Toc256088326"/>
      <w:bookmarkStart w:id="800" w:name="_Toc218399552"/>
      <w:r>
        <w:rPr>
          <w:rStyle w:val="CharSectno"/>
        </w:rPr>
        <w:t>1101</w:t>
      </w:r>
      <w:r>
        <w:rPr>
          <w:snapToGrid w:val="0"/>
        </w:rPr>
        <w:t>.</w:t>
      </w:r>
      <w:r>
        <w:rPr>
          <w:snapToGrid w:val="0"/>
        </w:rPr>
        <w:tab/>
        <w:t>Annual leave</w:t>
      </w:r>
      <w:bookmarkEnd w:id="794"/>
      <w:bookmarkEnd w:id="795"/>
      <w:bookmarkEnd w:id="796"/>
      <w:bookmarkEnd w:id="797"/>
      <w:bookmarkEnd w:id="798"/>
      <w:bookmarkEnd w:id="799"/>
      <w:bookmarkEnd w:id="800"/>
      <w:r>
        <w:rPr>
          <w:snapToGrid w:val="0"/>
        </w:rPr>
        <w:t xml:space="preserve"> </w:t>
      </w:r>
    </w:p>
    <w:p>
      <w:pPr>
        <w:pStyle w:val="Subsection"/>
      </w:pPr>
      <w:r>
        <w:rPr>
          <w:snapToGrid w:val="0"/>
        </w:rPr>
        <w:tab/>
      </w:r>
      <w:r>
        <w:rPr>
          <w:snapToGrid w:val="0"/>
        </w:rPr>
        <w:tab/>
        <w:t xml:space="preserve">A member or cadet is entitled to such annual leave as is prescribed by the </w:t>
      </w:r>
      <w:r>
        <w:t>relevant award.</w:t>
      </w:r>
    </w:p>
    <w:p>
      <w:pPr>
        <w:pStyle w:val="Footnotesection"/>
      </w:pPr>
      <w:r>
        <w:tab/>
        <w:t>[Regulation 1101 amended in Gazette 30 Dec 2008 p. 5646.]</w:t>
      </w:r>
    </w:p>
    <w:p>
      <w:pPr>
        <w:pStyle w:val="Heading5"/>
        <w:rPr>
          <w:snapToGrid w:val="0"/>
        </w:rPr>
      </w:pPr>
      <w:bookmarkStart w:id="801" w:name="_Toc500034780"/>
      <w:bookmarkStart w:id="802" w:name="_Toc515769578"/>
      <w:bookmarkStart w:id="803" w:name="_Toc522083259"/>
      <w:bookmarkStart w:id="804" w:name="_Toc123623016"/>
      <w:bookmarkStart w:id="805" w:name="_Toc166925668"/>
      <w:bookmarkStart w:id="806" w:name="_Toc256088327"/>
      <w:bookmarkStart w:id="807" w:name="_Toc218399553"/>
      <w:r>
        <w:rPr>
          <w:rStyle w:val="CharSectno"/>
        </w:rPr>
        <w:t>1102</w:t>
      </w:r>
      <w:r>
        <w:rPr>
          <w:snapToGrid w:val="0"/>
        </w:rPr>
        <w:t>.</w:t>
      </w:r>
      <w:r>
        <w:rPr>
          <w:snapToGrid w:val="0"/>
        </w:rPr>
        <w:tab/>
        <w:t>Notice of annual leave</w:t>
      </w:r>
      <w:bookmarkEnd w:id="801"/>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every member shall not later than 30 June each year give notice to the Commissioner of the dates that he prefers to commence and finish his annual leave in the year immediately following.</w:t>
      </w:r>
    </w:p>
    <w:p>
      <w:pPr>
        <w:pStyle w:val="Subsection"/>
        <w:rPr>
          <w:snapToGrid w:val="0"/>
        </w:rPr>
      </w:pPr>
      <w:r>
        <w:rPr>
          <w:snapToGrid w:val="0"/>
        </w:rPr>
        <w:tab/>
        <w:t>(2)</w:t>
      </w:r>
      <w:r>
        <w:rPr>
          <w:snapToGrid w:val="0"/>
        </w:rPr>
        <w:tab/>
        <w:t>The notice referred to in subregulation (1) shall —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in Gazette 30 Dec 2008 p. 5646.]</w:t>
      </w:r>
    </w:p>
    <w:p>
      <w:pPr>
        <w:pStyle w:val="Heading5"/>
        <w:rPr>
          <w:snapToGrid w:val="0"/>
        </w:rPr>
      </w:pPr>
      <w:bookmarkStart w:id="808" w:name="_Toc500034781"/>
      <w:bookmarkStart w:id="809" w:name="_Toc515769579"/>
      <w:bookmarkStart w:id="810" w:name="_Toc522083260"/>
      <w:bookmarkStart w:id="811" w:name="_Toc123623017"/>
      <w:bookmarkStart w:id="812" w:name="_Toc166925669"/>
      <w:bookmarkStart w:id="813" w:name="_Toc256088328"/>
      <w:bookmarkStart w:id="814" w:name="_Toc218399554"/>
      <w:r>
        <w:rPr>
          <w:rStyle w:val="CharSectno"/>
        </w:rPr>
        <w:t>1103</w:t>
      </w:r>
      <w:r>
        <w:rPr>
          <w:snapToGrid w:val="0"/>
        </w:rPr>
        <w:t>.</w:t>
      </w:r>
      <w:r>
        <w:rPr>
          <w:snapToGrid w:val="0"/>
        </w:rPr>
        <w:tab/>
        <w:t>Address for contact during leave</w:t>
      </w:r>
      <w:bookmarkEnd w:id="808"/>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In his application for leave a member or cadet shall state an address at which he can be contacted during his leave.</w:t>
      </w:r>
    </w:p>
    <w:p>
      <w:pPr>
        <w:pStyle w:val="Heading5"/>
        <w:rPr>
          <w:snapToGrid w:val="0"/>
        </w:rPr>
      </w:pPr>
      <w:bookmarkStart w:id="815" w:name="_Toc500034782"/>
      <w:bookmarkStart w:id="816" w:name="_Toc515769580"/>
      <w:bookmarkStart w:id="817" w:name="_Toc522083261"/>
      <w:bookmarkStart w:id="818" w:name="_Toc123623018"/>
      <w:bookmarkStart w:id="819" w:name="_Toc166925670"/>
      <w:bookmarkStart w:id="820" w:name="_Toc256088329"/>
      <w:bookmarkStart w:id="821" w:name="_Toc218399555"/>
      <w:r>
        <w:rPr>
          <w:rStyle w:val="CharSectno"/>
        </w:rPr>
        <w:t>1104</w:t>
      </w:r>
      <w:r>
        <w:rPr>
          <w:snapToGrid w:val="0"/>
        </w:rPr>
        <w:t>.</w:t>
      </w:r>
      <w:r>
        <w:rPr>
          <w:snapToGrid w:val="0"/>
        </w:rPr>
        <w:tab/>
        <w:t>Annual leave to be taken according to the roster</w:t>
      </w:r>
      <w:bookmarkEnd w:id="815"/>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Subject to these regulations, a member or cadet shall only take annual leave in accordance with the dates indicated in relation to him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 member, or cadet, or generally.</w:t>
      </w:r>
    </w:p>
    <w:p>
      <w:pPr>
        <w:pStyle w:val="Heading5"/>
        <w:rPr>
          <w:snapToGrid w:val="0"/>
        </w:rPr>
      </w:pPr>
      <w:bookmarkStart w:id="822" w:name="_Toc500034783"/>
      <w:bookmarkStart w:id="823" w:name="_Toc515769581"/>
      <w:bookmarkStart w:id="824" w:name="_Toc522083262"/>
      <w:bookmarkStart w:id="825" w:name="_Toc123623019"/>
      <w:bookmarkStart w:id="826" w:name="_Toc166925671"/>
      <w:bookmarkStart w:id="827" w:name="_Toc256088330"/>
      <w:bookmarkStart w:id="828" w:name="_Toc218399556"/>
      <w:r>
        <w:rPr>
          <w:rStyle w:val="CharSectno"/>
        </w:rPr>
        <w:t>1105</w:t>
      </w:r>
      <w:r>
        <w:rPr>
          <w:snapToGrid w:val="0"/>
        </w:rPr>
        <w:t>.</w:t>
      </w:r>
      <w:r>
        <w:rPr>
          <w:snapToGrid w:val="0"/>
        </w:rPr>
        <w:tab/>
        <w:t>Leave accumulated by written permission</w:t>
      </w:r>
      <w:bookmarkEnd w:id="822"/>
      <w:bookmarkEnd w:id="823"/>
      <w:bookmarkEnd w:id="824"/>
      <w:bookmarkEnd w:id="825"/>
      <w:bookmarkEnd w:id="826"/>
      <w:bookmarkEnd w:id="827"/>
      <w:bookmarkEnd w:id="828"/>
      <w:r>
        <w:rPr>
          <w:snapToGrid w:val="0"/>
        </w:rPr>
        <w:t xml:space="preserve"> </w:t>
      </w:r>
    </w:p>
    <w:p>
      <w:pPr>
        <w:pStyle w:val="Subsection"/>
        <w:spacing w:before="140"/>
        <w:rPr>
          <w:snapToGrid w:val="0"/>
        </w:rPr>
      </w:pPr>
      <w:r>
        <w:rPr>
          <w:snapToGrid w:val="0"/>
        </w:rPr>
        <w:tab/>
      </w:r>
      <w:r>
        <w:rPr>
          <w:snapToGrid w:val="0"/>
        </w:rPr>
        <w:tab/>
        <w:t>Subject to the relevant award, a member or cadet is not entitled to accumulate annual leave except with the written permission of the Commissioner.</w:t>
      </w:r>
    </w:p>
    <w:p>
      <w:pPr>
        <w:pStyle w:val="Footnotesection"/>
      </w:pPr>
      <w:r>
        <w:tab/>
        <w:t>[Regulation 1105 amended in Gazette 30 Dec 2008 p. 5646.]</w:t>
      </w:r>
    </w:p>
    <w:p>
      <w:pPr>
        <w:pStyle w:val="Heading5"/>
        <w:spacing w:before="200"/>
        <w:rPr>
          <w:snapToGrid w:val="0"/>
        </w:rPr>
      </w:pPr>
      <w:bookmarkStart w:id="829" w:name="_Toc500034784"/>
      <w:bookmarkStart w:id="830" w:name="_Toc515769582"/>
      <w:bookmarkStart w:id="831" w:name="_Toc522083263"/>
      <w:bookmarkStart w:id="832" w:name="_Toc123623020"/>
      <w:bookmarkStart w:id="833" w:name="_Toc166925672"/>
      <w:bookmarkStart w:id="834" w:name="_Toc256088331"/>
      <w:bookmarkStart w:id="835" w:name="_Toc218399557"/>
      <w:r>
        <w:rPr>
          <w:rStyle w:val="CharSectno"/>
        </w:rPr>
        <w:t>1106</w:t>
      </w:r>
      <w:r>
        <w:rPr>
          <w:snapToGrid w:val="0"/>
        </w:rPr>
        <w:t>.</w:t>
      </w:r>
      <w:r>
        <w:rPr>
          <w:snapToGrid w:val="0"/>
        </w:rPr>
        <w:tab/>
        <w:t>Additional leave may be granted</w:t>
      </w:r>
      <w:bookmarkEnd w:id="829"/>
      <w:bookmarkEnd w:id="830"/>
      <w:bookmarkEnd w:id="831"/>
      <w:bookmarkEnd w:id="832"/>
      <w:bookmarkEnd w:id="833"/>
      <w:bookmarkEnd w:id="834"/>
      <w:bookmarkEnd w:id="835"/>
      <w:r>
        <w:rPr>
          <w:snapToGrid w:val="0"/>
        </w:rPr>
        <w:t xml:space="preserve"> </w:t>
      </w:r>
    </w:p>
    <w:p>
      <w:pPr>
        <w:pStyle w:val="Subsection"/>
        <w:spacing w:before="140"/>
        <w:rPr>
          <w:snapToGrid w:val="0"/>
        </w:rPr>
      </w:pPr>
      <w:r>
        <w:rPr>
          <w:snapToGrid w:val="0"/>
        </w:rPr>
        <w:tab/>
      </w:r>
      <w:r>
        <w:rPr>
          <w:snapToGrid w:val="0"/>
        </w:rPr>
        <w:tab/>
        <w:t>Where the Commissioner is of the opinion that special circumstances exist in a particular case he may grant a member or cadet leave (not being annual leave) with or without payment during that period.</w:t>
      </w:r>
    </w:p>
    <w:p>
      <w:pPr>
        <w:pStyle w:val="Footnotesection"/>
        <w:spacing w:before="100"/>
        <w:ind w:left="890" w:hanging="890"/>
      </w:pPr>
      <w:r>
        <w:tab/>
        <w:t xml:space="preserve">[Regulation 1106 amended in Gazette 14 Jul 1992 p. 3370.] </w:t>
      </w:r>
    </w:p>
    <w:p>
      <w:pPr>
        <w:pStyle w:val="Heading5"/>
        <w:spacing w:before="200"/>
        <w:rPr>
          <w:snapToGrid w:val="0"/>
        </w:rPr>
      </w:pPr>
      <w:bookmarkStart w:id="836" w:name="_Toc500034785"/>
      <w:bookmarkStart w:id="837" w:name="_Toc515769583"/>
      <w:bookmarkStart w:id="838" w:name="_Toc522083264"/>
      <w:bookmarkStart w:id="839" w:name="_Toc123623021"/>
      <w:bookmarkStart w:id="840" w:name="_Toc166925673"/>
      <w:bookmarkStart w:id="841" w:name="_Toc256088332"/>
      <w:bookmarkStart w:id="842" w:name="_Toc218399558"/>
      <w:r>
        <w:rPr>
          <w:rStyle w:val="CharSectno"/>
        </w:rPr>
        <w:t>1107</w:t>
      </w:r>
      <w:r>
        <w:rPr>
          <w:snapToGrid w:val="0"/>
        </w:rPr>
        <w:t>.</w:t>
      </w:r>
      <w:r>
        <w:rPr>
          <w:snapToGrid w:val="0"/>
        </w:rPr>
        <w:tab/>
        <w:t>Travelling concession</w:t>
      </w:r>
      <w:bookmarkEnd w:id="836"/>
      <w:bookmarkEnd w:id="837"/>
      <w:bookmarkEnd w:id="838"/>
      <w:bookmarkEnd w:id="839"/>
      <w:bookmarkEnd w:id="840"/>
      <w:bookmarkEnd w:id="841"/>
      <w:bookmarkEnd w:id="842"/>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r>
      <w:r>
        <w:rPr>
          <w:rStyle w:val="CharDefText"/>
        </w:rPr>
        <w:t>distance rate</w:t>
      </w:r>
      <w:r>
        <w:t xml:space="preserve"> means the rate per kilometre applicable in the North West of the State that is prescribed by the relevant award as payment to an employee for the use by the employee of his vehicle for the performance of police duties;</w:t>
      </w:r>
    </w:p>
    <w:p>
      <w:pPr>
        <w:pStyle w:val="Defstart"/>
        <w:spacing w:before="70"/>
      </w:pPr>
      <w:r>
        <w:rPr>
          <w:b/>
        </w:rPr>
        <w:tab/>
      </w:r>
      <w:r>
        <w:rPr>
          <w:rStyle w:val="CharDefText"/>
        </w:rPr>
        <w:t>family</w:t>
      </w:r>
      <w:r>
        <w:t xml:space="preserve"> in relation to a member or cadet means the member or cadet, spouse or de facto partner and all dependant children attending school and to those dependant children living with the member who are unemployed;</w:t>
      </w:r>
    </w:p>
    <w:p>
      <w:pPr>
        <w:pStyle w:val="Defstart"/>
        <w:spacing w:before="70"/>
      </w:pPr>
      <w:r>
        <w:rPr>
          <w:b/>
        </w:rPr>
        <w:tab/>
      </w:r>
      <w:r>
        <w:rPr>
          <w:rStyle w:val="CharDefText"/>
        </w:rPr>
        <w:t>public transport</w:t>
      </w:r>
      <w:r>
        <w:t xml:space="preserve"> means any means of public transport approved of by the Commissioner;</w:t>
      </w:r>
    </w:p>
    <w:p>
      <w:pPr>
        <w:pStyle w:val="Defstart"/>
        <w:spacing w:before="70"/>
      </w:pPr>
      <w:r>
        <w:rPr>
          <w:b/>
        </w:rPr>
        <w:tab/>
      </w:r>
      <w:r>
        <w:rPr>
          <w:rStyle w:val="CharDefText"/>
        </w:rPr>
        <w:t>special area</w:t>
      </w:r>
      <w:r>
        <w:t xml:space="preserve"> means — </w:t>
      </w:r>
    </w:p>
    <w:p>
      <w:pPr>
        <w:pStyle w:val="Defpara"/>
        <w:spacing w:before="70"/>
      </w:pPr>
      <w:r>
        <w:tab/>
        <w:t>(a)</w:t>
      </w:r>
      <w:r>
        <w:tab/>
        <w:t>any portion of the State that is — </w:t>
      </w:r>
    </w:p>
    <w:p>
      <w:pPr>
        <w:pStyle w:val="Defsubpara"/>
        <w:spacing w:before="70"/>
        <w:rPr>
          <w:snapToGrid w:val="0"/>
        </w:rPr>
      </w:pPr>
      <w:r>
        <w:rPr>
          <w:snapToGrid w:val="0"/>
        </w:rPr>
        <w:tab/>
        <w:t>(i)</w:t>
      </w:r>
      <w:r>
        <w:rPr>
          <w:snapToGrid w:val="0"/>
        </w:rPr>
        <w:tab/>
        <w:t>east of longitude 119</w:t>
      </w:r>
      <w:r>
        <w:rPr>
          <w:snapToGrid w:val="0"/>
          <w:sz w:val="28"/>
        </w:rPr>
        <w:sym w:font="Symbol" w:char="F0B0"/>
      </w:r>
      <w:r>
        <w:rPr>
          <w:snapToGrid w:val="0"/>
        </w:rPr>
        <w:t xml:space="preserve"> east; or</w:t>
      </w:r>
    </w:p>
    <w:p>
      <w:pPr>
        <w:pStyle w:val="Defsubpara"/>
        <w:spacing w:before="70"/>
        <w:rPr>
          <w:snapToGrid w:val="0"/>
        </w:rPr>
      </w:pPr>
      <w:r>
        <w:rPr>
          <w:snapToGrid w:val="0"/>
        </w:rPr>
        <w:tab/>
        <w:t>(ii)</w:t>
      </w:r>
      <w:r>
        <w:rPr>
          <w:snapToGrid w:val="0"/>
        </w:rPr>
        <w:tab/>
        <w:t>north of 26</w:t>
      </w:r>
      <w:r>
        <w:rPr>
          <w:snapToGrid w:val="0"/>
          <w:sz w:val="28"/>
        </w:rPr>
        <w:sym w:font="Symbol" w:char="F0B0"/>
      </w:r>
      <w:r>
        <w:rPr>
          <w:snapToGrid w:val="0"/>
        </w:rPr>
        <w:t xml:space="preserve"> of south latitude;</w:t>
      </w:r>
    </w:p>
    <w:p>
      <w:pPr>
        <w:pStyle w:val="Defpara"/>
        <w:spacing w:before="70"/>
      </w:pPr>
      <w:r>
        <w:tab/>
        <w:t>(b)</w:t>
      </w:r>
      <w:r>
        <w:tab/>
        <w:t>Yalgoo, Mount Magnet, Cue and Meekatharra; and</w:t>
      </w:r>
    </w:p>
    <w:p>
      <w:pPr>
        <w:pStyle w:val="Defpara"/>
        <w:spacing w:before="70"/>
      </w:pPr>
      <w:r>
        <w:tab/>
        <w:t>(c)</w:t>
      </w:r>
      <w:r>
        <w:tab/>
        <w:t>any area outside the State designated a special area by the Minister.</w:t>
      </w:r>
    </w:p>
    <w:p>
      <w:pPr>
        <w:pStyle w:val="Subsection"/>
        <w:spacing w:before="120"/>
        <w:rPr>
          <w:snapToGrid w:val="0"/>
        </w:rPr>
      </w:pPr>
      <w:r>
        <w:rPr>
          <w:snapToGrid w:val="0"/>
        </w:rPr>
        <w:tab/>
        <w:t>(2)</w:t>
      </w:r>
      <w:r>
        <w:rPr>
          <w:snapToGrid w:val="0"/>
        </w:rPr>
        <w:tab/>
        <w:t>The following travelling concessions apply to and in relation to a member or cadet stationed in a special area who for his annual leave travels to Perth or other place outside his sub</w:t>
      </w:r>
      <w:r>
        <w:rPr>
          <w:snapToGrid w:val="0"/>
        </w:rPr>
        <w:noBreakHyphen/>
        <w:t>region which is approved of by the Commissioner — </w:t>
      </w:r>
    </w:p>
    <w:p>
      <w:pPr>
        <w:pStyle w:val="Indenta"/>
        <w:rPr>
          <w:snapToGrid w:val="0"/>
        </w:rPr>
      </w:pPr>
      <w:r>
        <w:rPr>
          <w:snapToGrid w:val="0"/>
        </w:rPr>
        <w:tab/>
        <w:t>(a)</w:t>
      </w:r>
      <w:r>
        <w:rPr>
          <w:snapToGrid w:val="0"/>
        </w:rPr>
        <w:tab/>
        <w:t>where public transport is used — free return passes to Perth or that other place on public transport for the member or cadet and his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rPr>
          <w:snapToGrid w:val="0"/>
        </w:rPr>
      </w:pPr>
      <w:r>
        <w:rPr>
          <w:snapToGrid w:val="0"/>
        </w:rPr>
        <w:tab/>
        <w:t>(3)</w:t>
      </w:r>
      <w:r>
        <w:rPr>
          <w:snapToGrid w:val="0"/>
        </w:rPr>
        <w:tab/>
        <w:t>The travelling concession payable under subregulation (2) — </w:t>
      </w:r>
    </w:p>
    <w:p>
      <w:pPr>
        <w:pStyle w:val="Indenta"/>
        <w:rPr>
          <w:snapToGrid w:val="0"/>
        </w:rPr>
      </w:pPr>
      <w:r>
        <w:rPr>
          <w:snapToGrid w:val="0"/>
        </w:rPr>
        <w:tab/>
        <w:t>(a)</w:t>
      </w:r>
      <w:r>
        <w:rPr>
          <w:snapToGrid w:val="0"/>
        </w:rPr>
        <w:tab/>
        <w:t>is payable only in respect of a member or cadet —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if the member or cadet has not completed 12 months’ service in the special area before he proceeds on annual leave, he does so on his return from annual leave before he again takes annual leave;</w:t>
      </w:r>
    </w:p>
    <w:p>
      <w:pPr>
        <w:pStyle w:val="Indenta"/>
        <w:rPr>
          <w:snapToGrid w:val="0"/>
        </w:rPr>
      </w:pPr>
      <w:r>
        <w:rPr>
          <w:snapToGrid w:val="0"/>
        </w:rPr>
        <w:tab/>
        <w:t>(b)</w:t>
      </w:r>
      <w:r>
        <w:rPr>
          <w:snapToGrid w:val="0"/>
        </w:rPr>
        <w:tab/>
        <w:t>shall be repaid to the Department by the member or cadet if the member or cadet fails to complete 12 months’ service in the special area unless the failure is due to causes beyond his control.</w:t>
      </w:r>
    </w:p>
    <w:p>
      <w:pPr>
        <w:pStyle w:val="Footnotesection"/>
      </w:pPr>
      <w:r>
        <w:tab/>
        <w:t xml:space="preserve">[Regulation 1107 amended in Gazette 7 Sep 1979 p. 2717; 24 Apr 1986 p. 1479; 30 Jun 2003 p. 2623; 30 Dec 2008 p. 5646.] </w:t>
      </w:r>
    </w:p>
    <w:p>
      <w:pPr>
        <w:pStyle w:val="Ednotesection"/>
      </w:pPr>
      <w:r>
        <w:t>[</w:t>
      </w:r>
      <w:r>
        <w:rPr>
          <w:b/>
        </w:rPr>
        <w:t>1108.</w:t>
      </w:r>
      <w:r>
        <w:tab/>
        <w:t xml:space="preserve">Deleted in Gazette 7 Sep 1979 p. 2717.] </w:t>
      </w:r>
    </w:p>
    <w:p>
      <w:pPr>
        <w:pStyle w:val="Ednotesection"/>
      </w:pPr>
      <w:r>
        <w:t>[</w:t>
      </w:r>
      <w:r>
        <w:rPr>
          <w:b/>
        </w:rPr>
        <w:t>1109.</w:t>
      </w:r>
      <w:r>
        <w:tab/>
        <w:t xml:space="preserve">Deleted in Gazette 6 Oct 1989 p. 3739.] </w:t>
      </w:r>
    </w:p>
    <w:p>
      <w:pPr>
        <w:pStyle w:val="Heading2"/>
      </w:pPr>
      <w:bookmarkStart w:id="843" w:name="_Toc90976558"/>
      <w:bookmarkStart w:id="844" w:name="_Toc91044790"/>
      <w:bookmarkStart w:id="845" w:name="_Toc91044970"/>
      <w:bookmarkStart w:id="846" w:name="_Toc123621479"/>
      <w:bookmarkStart w:id="847" w:name="_Toc123623022"/>
      <w:bookmarkStart w:id="848" w:name="_Toc153957396"/>
      <w:bookmarkStart w:id="849" w:name="_Toc153958729"/>
      <w:bookmarkStart w:id="850" w:name="_Toc154478799"/>
      <w:bookmarkStart w:id="851" w:name="_Toc161039462"/>
      <w:bookmarkStart w:id="852" w:name="_Toc161039603"/>
      <w:bookmarkStart w:id="853" w:name="_Toc161130356"/>
      <w:bookmarkStart w:id="854" w:name="_Toc163021115"/>
      <w:bookmarkStart w:id="855" w:name="_Toc164760086"/>
      <w:bookmarkStart w:id="856" w:name="_Toc166925674"/>
      <w:bookmarkStart w:id="857" w:name="_Toc182897003"/>
      <w:bookmarkStart w:id="858" w:name="_Toc182897765"/>
      <w:bookmarkStart w:id="859" w:name="_Toc182901919"/>
      <w:bookmarkStart w:id="860" w:name="_Toc198028311"/>
      <w:bookmarkStart w:id="861" w:name="_Toc218399559"/>
      <w:bookmarkStart w:id="862" w:name="_Toc256088333"/>
      <w:r>
        <w:rPr>
          <w:rStyle w:val="CharPartNo"/>
        </w:rPr>
        <w:t>Part XII</w:t>
      </w:r>
      <w:r>
        <w:rPr>
          <w:rStyle w:val="CharDivNo"/>
        </w:rPr>
        <w:t> </w:t>
      </w:r>
      <w:r>
        <w:t>—</w:t>
      </w:r>
      <w:r>
        <w:rPr>
          <w:rStyle w:val="CharDivText"/>
        </w:rPr>
        <w:t> </w:t>
      </w:r>
      <w:r>
        <w:rPr>
          <w:rStyle w:val="CharPartText"/>
        </w:rPr>
        <w:t>Removal on transfer, promotion or retirement</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Pr>
          <w:rStyle w:val="CharPartText"/>
        </w:rPr>
        <w:t xml:space="preserve"> </w:t>
      </w:r>
    </w:p>
    <w:p>
      <w:pPr>
        <w:pStyle w:val="Footnoteheading"/>
        <w:rPr>
          <w:snapToGrid w:val="0"/>
        </w:rPr>
      </w:pPr>
      <w:r>
        <w:rPr>
          <w:snapToGrid w:val="0"/>
        </w:rPr>
        <w:tab/>
        <w:t xml:space="preserve">[Heading amended in Gazette 31 Oct 1986 p. 4051.] </w:t>
      </w:r>
    </w:p>
    <w:p>
      <w:pPr>
        <w:pStyle w:val="Heading5"/>
        <w:rPr>
          <w:snapToGrid w:val="0"/>
        </w:rPr>
      </w:pPr>
      <w:bookmarkStart w:id="863" w:name="_Toc500034786"/>
      <w:bookmarkStart w:id="864" w:name="_Toc515769584"/>
      <w:bookmarkStart w:id="865" w:name="_Toc522083265"/>
      <w:bookmarkStart w:id="866" w:name="_Toc123623023"/>
      <w:bookmarkStart w:id="867" w:name="_Toc166925675"/>
      <w:bookmarkStart w:id="868" w:name="_Toc256088334"/>
      <w:bookmarkStart w:id="869" w:name="_Toc218399560"/>
      <w:r>
        <w:rPr>
          <w:rStyle w:val="CharSectno"/>
        </w:rPr>
        <w:t>1201</w:t>
      </w:r>
      <w:r>
        <w:rPr>
          <w:snapToGrid w:val="0"/>
        </w:rPr>
        <w:t>.</w:t>
      </w:r>
      <w:r>
        <w:rPr>
          <w:snapToGrid w:val="0"/>
        </w:rPr>
        <w:tab/>
        <w:t>This Part not in derogation of Award</w:t>
      </w:r>
      <w:bookmarkEnd w:id="863"/>
      <w:bookmarkEnd w:id="864"/>
      <w:bookmarkEnd w:id="865"/>
      <w:bookmarkEnd w:id="866"/>
      <w:bookmarkEnd w:id="867"/>
      <w:bookmarkEnd w:id="868"/>
      <w:bookmarkEnd w:id="869"/>
      <w:r>
        <w:rPr>
          <w:snapToGrid w:val="0"/>
        </w:rPr>
        <w:t xml:space="preserve"> </w:t>
      </w:r>
    </w:p>
    <w:p>
      <w:pPr>
        <w:pStyle w:val="Subsection"/>
        <w:spacing w:before="140"/>
      </w:pPr>
      <w:r>
        <w:rPr>
          <w:snapToGrid w:val="0"/>
        </w:rPr>
        <w:tab/>
      </w:r>
      <w:r>
        <w:rPr>
          <w:snapToGrid w:val="0"/>
        </w:rPr>
        <w:tab/>
        <w:t xml:space="preserve">The provisions of this Part, are in addition to and not in derogation of anything in </w:t>
      </w:r>
      <w:r>
        <w:t>a relevant award.</w:t>
      </w:r>
    </w:p>
    <w:p>
      <w:pPr>
        <w:pStyle w:val="Footnotesection"/>
      </w:pPr>
      <w:r>
        <w:tab/>
        <w:t>[Regulation 1201 amended in Gazette 30 Dec 2008 p. 5646.]</w:t>
      </w:r>
    </w:p>
    <w:p>
      <w:pPr>
        <w:pStyle w:val="Heading5"/>
        <w:rPr>
          <w:snapToGrid w:val="0"/>
        </w:rPr>
      </w:pPr>
      <w:bookmarkStart w:id="870" w:name="_Toc500034787"/>
      <w:bookmarkStart w:id="871" w:name="_Toc515769585"/>
      <w:bookmarkStart w:id="872" w:name="_Toc522083266"/>
      <w:bookmarkStart w:id="873" w:name="_Toc123623024"/>
      <w:bookmarkStart w:id="874" w:name="_Toc166925676"/>
      <w:bookmarkStart w:id="875" w:name="_Toc256088335"/>
      <w:bookmarkStart w:id="876" w:name="_Toc218399561"/>
      <w:r>
        <w:rPr>
          <w:rStyle w:val="CharSectno"/>
        </w:rPr>
        <w:t>1202</w:t>
      </w:r>
      <w:r>
        <w:rPr>
          <w:snapToGrid w:val="0"/>
        </w:rPr>
        <w:t>.</w:t>
      </w:r>
      <w:r>
        <w:rPr>
          <w:snapToGrid w:val="0"/>
        </w:rPr>
        <w:tab/>
        <w:t>Leave in respect of transfer</w:t>
      </w:r>
      <w:bookmarkEnd w:id="870"/>
      <w:bookmarkEnd w:id="871"/>
      <w:bookmarkEnd w:id="872"/>
      <w:bookmarkEnd w:id="873"/>
      <w:bookmarkEnd w:id="874"/>
      <w:bookmarkEnd w:id="875"/>
      <w:bookmarkEnd w:id="876"/>
      <w:r>
        <w:rPr>
          <w:snapToGrid w:val="0"/>
        </w:rPr>
        <w:t xml:space="preserve"> </w:t>
      </w:r>
    </w:p>
    <w:p>
      <w:pPr>
        <w:pStyle w:val="Subsection"/>
        <w:spacing w:before="140"/>
        <w:rPr>
          <w:snapToGrid w:val="0"/>
        </w:rPr>
      </w:pPr>
      <w:r>
        <w:rPr>
          <w:snapToGrid w:val="0"/>
        </w:rPr>
        <w:tab/>
        <w:t>(1)</w:t>
      </w:r>
      <w:r>
        <w:rPr>
          <w:snapToGrid w:val="0"/>
        </w:rPr>
        <w:tab/>
        <w:t>Subject to subregulation (2), where a member is appointed to a position, whether by transfer or promotion, necessitating a change of his residence he is allowed to take 2 days off duty — one day in respect of the packing and loading of his household goods and effects and one day in respect of their unpacking and unloading.</w:t>
      </w:r>
    </w:p>
    <w:p>
      <w:pPr>
        <w:pStyle w:val="Subsection"/>
        <w:spacing w:before="140"/>
        <w:rPr>
          <w:snapToGrid w:val="0"/>
        </w:rPr>
      </w:pPr>
      <w:r>
        <w:rPr>
          <w:snapToGrid w:val="0"/>
        </w:rPr>
        <w:tab/>
        <w:t>(2)</w:t>
      </w:r>
      <w:r>
        <w:rPr>
          <w:snapToGrid w:val="0"/>
        </w:rPr>
        <w:tab/>
        <w:t>A member is not allowed to take the leave granted under subregulation (1) on any day on which he is required to attend court or to any other pressing duty.</w:t>
      </w:r>
    </w:p>
    <w:p>
      <w:pPr>
        <w:pStyle w:val="Heading5"/>
        <w:rPr>
          <w:snapToGrid w:val="0"/>
        </w:rPr>
      </w:pPr>
      <w:bookmarkStart w:id="877" w:name="_Toc500034788"/>
      <w:bookmarkStart w:id="878" w:name="_Toc515769586"/>
      <w:bookmarkStart w:id="879" w:name="_Toc522083267"/>
      <w:bookmarkStart w:id="880" w:name="_Toc123623025"/>
      <w:bookmarkStart w:id="881" w:name="_Toc166925677"/>
      <w:bookmarkStart w:id="882" w:name="_Toc256088336"/>
      <w:bookmarkStart w:id="883" w:name="_Toc218399562"/>
      <w:r>
        <w:rPr>
          <w:rStyle w:val="CharSectno"/>
        </w:rPr>
        <w:t>1203</w:t>
      </w:r>
      <w:r>
        <w:rPr>
          <w:snapToGrid w:val="0"/>
        </w:rPr>
        <w:t>.</w:t>
      </w:r>
      <w:r>
        <w:rPr>
          <w:snapToGrid w:val="0"/>
        </w:rPr>
        <w:tab/>
        <w:t>Commissioner to be notified of transfer</w:t>
      </w:r>
      <w:bookmarkEnd w:id="877"/>
      <w:bookmarkEnd w:id="878"/>
      <w:bookmarkEnd w:id="879"/>
      <w:bookmarkEnd w:id="880"/>
      <w:bookmarkEnd w:id="881"/>
      <w:bookmarkEnd w:id="882"/>
      <w:bookmarkEnd w:id="883"/>
      <w:r>
        <w:rPr>
          <w:snapToGrid w:val="0"/>
        </w:rPr>
        <w:t xml:space="preserve"> </w:t>
      </w:r>
    </w:p>
    <w:p>
      <w:pPr>
        <w:pStyle w:val="Subsection"/>
        <w:spacing w:before="140"/>
        <w:rPr>
          <w:snapToGrid w:val="0"/>
        </w:rPr>
      </w:pPr>
      <w:r>
        <w:rPr>
          <w:snapToGrid w:val="0"/>
        </w:rPr>
        <w:tab/>
      </w:r>
      <w:r>
        <w:rPr>
          <w:snapToGrid w:val="0"/>
        </w:rPr>
        <w:tab/>
        <w:t>A member or cadet moving from one station or office to another for the purpose of taking up a position, whether by transfer or promotion, shall — </w:t>
      </w:r>
    </w:p>
    <w:p>
      <w:pPr>
        <w:pStyle w:val="Indenta"/>
        <w:rPr>
          <w:snapToGrid w:val="0"/>
        </w:rPr>
      </w:pPr>
      <w:r>
        <w:rPr>
          <w:snapToGrid w:val="0"/>
        </w:rPr>
        <w:tab/>
        <w:t>(a)</w:t>
      </w:r>
      <w:r>
        <w:rPr>
          <w:snapToGrid w:val="0"/>
        </w:rPr>
        <w:tab/>
        <w:t>notify the Commissioner through the regional officer of the region from which he is moving of the — </w:t>
      </w:r>
    </w:p>
    <w:p>
      <w:pPr>
        <w:pStyle w:val="Indenti"/>
        <w:rPr>
          <w:snapToGrid w:val="0"/>
        </w:rPr>
      </w:pPr>
      <w:r>
        <w:rPr>
          <w:snapToGrid w:val="0"/>
        </w:rPr>
        <w:tab/>
        <w:t>(i)</w:t>
      </w:r>
      <w:r>
        <w:rPr>
          <w:snapToGrid w:val="0"/>
        </w:rPr>
        <w:tab/>
        <w:t>date that he intends to cease duty at the station or office from which he is moving;</w:t>
      </w:r>
    </w:p>
    <w:p>
      <w:pPr>
        <w:pStyle w:val="Indenti"/>
        <w:rPr>
          <w:snapToGrid w:val="0"/>
        </w:rPr>
      </w:pPr>
      <w:r>
        <w:rPr>
          <w:snapToGrid w:val="0"/>
        </w:rPr>
        <w:tab/>
        <w:t>(ii)</w:t>
      </w:r>
      <w:r>
        <w:rPr>
          <w:snapToGrid w:val="0"/>
        </w:rPr>
        <w:tab/>
        <w:t>date of his intended departure for the station to which he is appointed;</w:t>
      </w:r>
    </w:p>
    <w:p>
      <w:pPr>
        <w:pStyle w:val="Indenti"/>
        <w:rPr>
          <w:snapToGrid w:val="0"/>
        </w:rPr>
      </w:pPr>
      <w:r>
        <w:rPr>
          <w:snapToGrid w:val="0"/>
        </w:rPr>
        <w:tab/>
        <w:t>(iii)</w:t>
      </w:r>
      <w:r>
        <w:rPr>
          <w:snapToGrid w:val="0"/>
        </w:rPr>
        <w:tab/>
        <w:t>time and date that his quarters, whether supplied by the Government or not, are to be vacated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soon as possible after his arrival at the region to which he is appointed notify the Commissioner through the regional officer of the region to which he is appointed of the — </w:t>
      </w:r>
    </w:p>
    <w:p>
      <w:pPr>
        <w:pStyle w:val="Indenti"/>
        <w:rPr>
          <w:snapToGrid w:val="0"/>
        </w:rPr>
      </w:pPr>
      <w:r>
        <w:rPr>
          <w:snapToGrid w:val="0"/>
        </w:rPr>
        <w:tab/>
        <w:t>(i)</w:t>
      </w:r>
      <w:r>
        <w:rPr>
          <w:snapToGrid w:val="0"/>
        </w:rPr>
        <w:tab/>
        <w:t>time and date of his arrival;</w:t>
      </w:r>
    </w:p>
    <w:p>
      <w:pPr>
        <w:pStyle w:val="Indenti"/>
        <w:rPr>
          <w:snapToGrid w:val="0"/>
        </w:rPr>
      </w:pPr>
      <w:r>
        <w:rPr>
          <w:snapToGrid w:val="0"/>
        </w:rPr>
        <w:tab/>
        <w:t>(ii)</w:t>
      </w:r>
      <w:r>
        <w:rPr>
          <w:snapToGrid w:val="0"/>
        </w:rPr>
        <w:tab/>
        <w:t>time and date that his quarters are occupied by him and indicating whether they are Government or private quarters; and</w:t>
      </w:r>
    </w:p>
    <w:p>
      <w:pPr>
        <w:pStyle w:val="Indenti"/>
        <w:rPr>
          <w:snapToGrid w:val="0"/>
        </w:rPr>
      </w:pPr>
      <w:r>
        <w:rPr>
          <w:snapToGrid w:val="0"/>
        </w:rPr>
        <w:tab/>
        <w:t>(iii)</w:t>
      </w:r>
      <w:r>
        <w:rPr>
          <w:snapToGrid w:val="0"/>
        </w:rPr>
        <w:tab/>
        <w:t>time and date that he intends to commence duty in relation to his appointment.</w:t>
      </w:r>
    </w:p>
    <w:p>
      <w:pPr>
        <w:pStyle w:val="Heading5"/>
      </w:pPr>
      <w:bookmarkStart w:id="884" w:name="_Toc158523604"/>
      <w:bookmarkStart w:id="885" w:name="_Toc166925678"/>
      <w:bookmarkStart w:id="886" w:name="_Toc256088337"/>
      <w:bookmarkStart w:id="887" w:name="_Toc218399563"/>
      <w:bookmarkStart w:id="888" w:name="_Toc500034789"/>
      <w:bookmarkStart w:id="889" w:name="_Toc515769587"/>
      <w:bookmarkStart w:id="890" w:name="_Toc522083268"/>
      <w:bookmarkStart w:id="891" w:name="_Toc123623026"/>
      <w:r>
        <w:rPr>
          <w:rStyle w:val="CharSectno"/>
        </w:rPr>
        <w:t>1203A</w:t>
      </w:r>
      <w:r>
        <w:t>.</w:t>
      </w:r>
      <w:r>
        <w:tab/>
        <w:t>Specialist equipment to be returned</w:t>
      </w:r>
      <w:bookmarkEnd w:id="884"/>
      <w:bookmarkEnd w:id="885"/>
      <w:bookmarkEnd w:id="886"/>
      <w:bookmarkEnd w:id="887"/>
    </w:p>
    <w:p>
      <w:pPr>
        <w:pStyle w:val="Subsection"/>
      </w:pPr>
      <w:r>
        <w:tab/>
      </w:r>
      <w:r>
        <w:tab/>
        <w:t>When a member or cadet is to be transferred from a specialist area, the member or cadet is to ensure that all items of specialist equipment issued to the member or cadet are returned to the officer in charge before the member or cadet actually leaves that specialist area.</w:t>
      </w:r>
    </w:p>
    <w:p>
      <w:pPr>
        <w:pStyle w:val="Footnotesection"/>
      </w:pPr>
      <w:r>
        <w:tab/>
        <w:t>[Regulation 1203A inserted in Gazette 2 Feb 2007 p. 251.]</w:t>
      </w:r>
    </w:p>
    <w:p>
      <w:pPr>
        <w:pStyle w:val="Heading5"/>
        <w:rPr>
          <w:snapToGrid w:val="0"/>
        </w:rPr>
      </w:pPr>
      <w:bookmarkStart w:id="892" w:name="_Toc166925679"/>
      <w:bookmarkStart w:id="893" w:name="_Toc256088338"/>
      <w:bookmarkStart w:id="894" w:name="_Toc218399564"/>
      <w:r>
        <w:rPr>
          <w:rStyle w:val="CharSectno"/>
        </w:rPr>
        <w:t>1204</w:t>
      </w:r>
      <w:r>
        <w:rPr>
          <w:snapToGrid w:val="0"/>
        </w:rPr>
        <w:t>.</w:t>
      </w:r>
      <w:r>
        <w:rPr>
          <w:snapToGrid w:val="0"/>
        </w:rPr>
        <w:tab/>
        <w:t>Removal allowance</w:t>
      </w:r>
      <w:bookmarkEnd w:id="888"/>
      <w:bookmarkEnd w:id="889"/>
      <w:bookmarkEnd w:id="890"/>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Subject to subregulation (2), a member or cadet who is moved from one position to another or is required by the Commissioner to vacate one house to occupy another — </w:t>
      </w:r>
    </w:p>
    <w:p>
      <w:pPr>
        <w:pStyle w:val="Indenta"/>
        <w:rPr>
          <w:snapToGrid w:val="0"/>
        </w:rPr>
      </w:pPr>
      <w:r>
        <w:rPr>
          <w:snapToGrid w:val="0"/>
        </w:rPr>
        <w:tab/>
        <w:t>(a)</w:t>
      </w:r>
      <w:r>
        <w:rPr>
          <w:snapToGrid w:val="0"/>
        </w:rPr>
        <w:tab/>
        <w:t>in the public interest;</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on account of illness due to causes over which he has no control,</w:t>
      </w:r>
    </w:p>
    <w:p>
      <w:pPr>
        <w:pStyle w:val="Subsection"/>
        <w:rPr>
          <w:snapToGrid w:val="0"/>
        </w:rPr>
      </w:pPr>
      <w:r>
        <w:rPr>
          <w:snapToGrid w:val="0"/>
        </w:rPr>
        <w:tab/>
      </w:r>
      <w:r>
        <w:rPr>
          <w:snapToGrid w:val="0"/>
        </w:rPr>
        <w:tab/>
        <w:t>shall be allowed — </w:t>
      </w:r>
    </w:p>
    <w:p>
      <w:pPr>
        <w:pStyle w:val="Indenta"/>
        <w:rPr>
          <w:snapToGrid w:val="0"/>
        </w:rPr>
      </w:pPr>
      <w:r>
        <w:rPr>
          <w:snapToGrid w:val="0"/>
        </w:rPr>
        <w:tab/>
        <w:t>(d)</w:t>
      </w:r>
      <w:r>
        <w:rPr>
          <w:snapToGrid w:val="0"/>
        </w:rPr>
        <w:tab/>
        <w:t xml:space="preserve">such costs and allowances as are prescribed by the </w:t>
      </w:r>
      <w:r>
        <w:t>relevant award;</w:t>
      </w:r>
    </w:p>
    <w:p>
      <w:pPr>
        <w:pStyle w:val="Indenta"/>
        <w:rPr>
          <w:snapToGrid w:val="0"/>
        </w:rPr>
      </w:pPr>
      <w:r>
        <w:rPr>
          <w:snapToGrid w:val="0"/>
        </w:rPr>
        <w:tab/>
        <w:t>(e)</w:t>
      </w:r>
      <w:r>
        <w:rPr>
          <w:snapToGrid w:val="0"/>
        </w:rPr>
        <w:tab/>
        <w:t>free transport by any means of transport approved of by the Commissioner for himself, his family and their household furniture, furnishings, domestic appliances, personal effects and one motor vehicle for which an allowance is not paid under paragraph (f);</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his motor vehicle;</w:t>
      </w:r>
    </w:p>
    <w:p>
      <w:pPr>
        <w:pStyle w:val="Indenta"/>
        <w:rPr>
          <w:snapToGrid w:val="0"/>
        </w:rPr>
      </w:pPr>
      <w:r>
        <w:rPr>
          <w:snapToGrid w:val="0"/>
        </w:rPr>
        <w:tab/>
        <w:t>(g)</w:t>
      </w:r>
      <w:r>
        <w:rPr>
          <w:snapToGrid w:val="0"/>
        </w:rPr>
        <w:tab/>
        <w:t>the costs of storage in a warehouse approved by the Commissioner of any of the member’s or cadet’s excess household furniture and for a period of 3 years (subject to any extension by the Commissioner) the cost of any insurance policy in relation thereto to a maximum insured value of $15,000;</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or cadet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 xml:space="preserve">[Regulation 1204 amended in Gazette 7 Sep 1979 p. 2717; 24 Apr 1986 p. 1479; 18 Nov 1988 p. 4532; 30 Dec 2008 p. 5646.] </w:t>
      </w:r>
    </w:p>
    <w:p>
      <w:pPr>
        <w:pStyle w:val="Heading5"/>
        <w:rPr>
          <w:snapToGrid w:val="0"/>
        </w:rPr>
      </w:pPr>
      <w:bookmarkStart w:id="895" w:name="_Toc500034790"/>
      <w:bookmarkStart w:id="896" w:name="_Toc515769588"/>
      <w:bookmarkStart w:id="897" w:name="_Toc522083269"/>
      <w:bookmarkStart w:id="898" w:name="_Toc123623027"/>
      <w:bookmarkStart w:id="899" w:name="_Toc166925680"/>
      <w:bookmarkStart w:id="900" w:name="_Toc256088339"/>
      <w:bookmarkStart w:id="901" w:name="_Toc218399565"/>
      <w:r>
        <w:rPr>
          <w:rStyle w:val="CharSectno"/>
        </w:rPr>
        <w:t>1204A</w:t>
      </w:r>
      <w:r>
        <w:rPr>
          <w:snapToGrid w:val="0"/>
        </w:rPr>
        <w:t xml:space="preserve">. </w:t>
      </w:r>
      <w:r>
        <w:rPr>
          <w:snapToGrid w:val="0"/>
        </w:rPr>
        <w:tab/>
        <w:t>Removal cost for retiring member</w:t>
      </w:r>
      <w:bookmarkEnd w:id="895"/>
      <w:bookmarkEnd w:id="896"/>
      <w:bookmarkEnd w:id="897"/>
      <w:bookmarkEnd w:id="898"/>
      <w:bookmarkEnd w:id="899"/>
      <w:bookmarkEnd w:id="900"/>
      <w:bookmarkEnd w:id="901"/>
      <w:r>
        <w:rPr>
          <w:snapToGrid w:val="0"/>
        </w:rPr>
        <w:t xml:space="preserve"> </w:t>
      </w:r>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 xml:space="preserve">[Regulation 1204A inserted in Gazette 31 Oct 1981 p. 4051.] </w:t>
      </w:r>
    </w:p>
    <w:p>
      <w:pPr>
        <w:pStyle w:val="Heading5"/>
        <w:rPr>
          <w:snapToGrid w:val="0"/>
        </w:rPr>
      </w:pPr>
      <w:bookmarkStart w:id="902" w:name="_Toc500034791"/>
      <w:bookmarkStart w:id="903" w:name="_Toc515769589"/>
      <w:bookmarkStart w:id="904" w:name="_Toc522083270"/>
      <w:bookmarkStart w:id="905" w:name="_Toc123623028"/>
      <w:bookmarkStart w:id="906" w:name="_Toc166925681"/>
      <w:bookmarkStart w:id="907" w:name="_Toc256088340"/>
      <w:bookmarkStart w:id="908" w:name="_Toc218399566"/>
      <w:r>
        <w:rPr>
          <w:rStyle w:val="CharSectno"/>
        </w:rPr>
        <w:t>1205</w:t>
      </w:r>
      <w:r>
        <w:rPr>
          <w:snapToGrid w:val="0"/>
        </w:rPr>
        <w:t>.</w:t>
      </w:r>
      <w:r>
        <w:rPr>
          <w:snapToGrid w:val="0"/>
        </w:rPr>
        <w:tab/>
        <w:t>When removal allowance not to be paid</w:t>
      </w:r>
      <w:bookmarkEnd w:id="902"/>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r>
      <w:r>
        <w:rPr>
          <w:snapToGrid w:val="0"/>
        </w:rPr>
        <w:tab/>
        <w:t>Except with the approval of the Commissioner the allowances payable under regulation 1204 are not payable in respect of a member, or cadet who is moved — </w:t>
      </w:r>
    </w:p>
    <w:p>
      <w:pPr>
        <w:pStyle w:val="Indenta"/>
        <w:rPr>
          <w:snapToGrid w:val="0"/>
        </w:rPr>
      </w:pPr>
      <w:r>
        <w:rPr>
          <w:snapToGrid w:val="0"/>
        </w:rPr>
        <w:tab/>
        <w:t>(a)</w:t>
      </w:r>
      <w:r>
        <w:rPr>
          <w:snapToGrid w:val="0"/>
        </w:rPr>
        <w:tab/>
        <w:t>at his own request; or</w:t>
      </w:r>
    </w:p>
    <w:p>
      <w:pPr>
        <w:pStyle w:val="Indenta"/>
        <w:rPr>
          <w:snapToGrid w:val="0"/>
        </w:rPr>
      </w:pPr>
      <w:r>
        <w:rPr>
          <w:snapToGrid w:val="0"/>
        </w:rPr>
        <w:tab/>
        <w:t>(b)</w:t>
      </w:r>
      <w:r>
        <w:rPr>
          <w:snapToGrid w:val="0"/>
        </w:rPr>
        <w:tab/>
        <w:t>because of his own misconduct.</w:t>
      </w:r>
    </w:p>
    <w:p>
      <w:pPr>
        <w:pStyle w:val="Heading2"/>
      </w:pPr>
      <w:bookmarkStart w:id="909" w:name="_Toc90976565"/>
      <w:bookmarkStart w:id="910" w:name="_Toc91044797"/>
      <w:bookmarkStart w:id="911" w:name="_Toc91044977"/>
      <w:bookmarkStart w:id="912" w:name="_Toc123621486"/>
      <w:bookmarkStart w:id="913" w:name="_Toc123623029"/>
      <w:bookmarkStart w:id="914" w:name="_Toc153957403"/>
      <w:bookmarkStart w:id="915" w:name="_Toc153958736"/>
      <w:bookmarkStart w:id="916" w:name="_Toc154478806"/>
      <w:bookmarkStart w:id="917" w:name="_Toc161039470"/>
      <w:bookmarkStart w:id="918" w:name="_Toc161039611"/>
      <w:bookmarkStart w:id="919" w:name="_Toc161130364"/>
      <w:bookmarkStart w:id="920" w:name="_Toc163021123"/>
      <w:bookmarkStart w:id="921" w:name="_Toc164760094"/>
      <w:bookmarkStart w:id="922" w:name="_Toc166925682"/>
      <w:bookmarkStart w:id="923" w:name="_Toc182897011"/>
      <w:bookmarkStart w:id="924" w:name="_Toc182897773"/>
      <w:bookmarkStart w:id="925" w:name="_Toc182901927"/>
      <w:bookmarkStart w:id="926" w:name="_Toc198028319"/>
      <w:bookmarkStart w:id="927" w:name="_Toc218399567"/>
      <w:bookmarkStart w:id="928" w:name="_Toc256088341"/>
      <w:r>
        <w:rPr>
          <w:rStyle w:val="CharPartNo"/>
        </w:rPr>
        <w:t>Part XIII</w:t>
      </w:r>
      <w:r>
        <w:rPr>
          <w:rStyle w:val="CharDivNo"/>
        </w:rPr>
        <w:t> </w:t>
      </w:r>
      <w:r>
        <w:t>—</w:t>
      </w:r>
      <w:r>
        <w:rPr>
          <w:rStyle w:val="CharDivText"/>
        </w:rPr>
        <w:t> </w:t>
      </w:r>
      <w:r>
        <w:rPr>
          <w:rStyle w:val="CharPartText"/>
        </w:rPr>
        <w:t>Illness and injury</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rPr>
          <w:rStyle w:val="CharPartText"/>
        </w:rPr>
        <w:t xml:space="preserve"> </w:t>
      </w:r>
    </w:p>
    <w:p>
      <w:pPr>
        <w:pStyle w:val="Footnoteheading"/>
        <w:rPr>
          <w:snapToGrid w:val="0"/>
        </w:rPr>
      </w:pPr>
      <w:r>
        <w:rPr>
          <w:snapToGrid w:val="0"/>
        </w:rPr>
        <w:tab/>
        <w:t xml:space="preserve">[Heading inserted in Gazette 17 Nov 1989 p. 4110.] </w:t>
      </w:r>
    </w:p>
    <w:p>
      <w:pPr>
        <w:pStyle w:val="Heading5"/>
        <w:rPr>
          <w:snapToGrid w:val="0"/>
        </w:rPr>
      </w:pPr>
      <w:bookmarkStart w:id="929" w:name="_Toc500034792"/>
      <w:bookmarkStart w:id="930" w:name="_Toc515769590"/>
      <w:bookmarkStart w:id="931" w:name="_Toc522083271"/>
      <w:bookmarkStart w:id="932" w:name="_Toc123623030"/>
      <w:bookmarkStart w:id="933" w:name="_Toc166925683"/>
      <w:bookmarkStart w:id="934" w:name="_Toc256088342"/>
      <w:bookmarkStart w:id="935" w:name="_Toc218399568"/>
      <w:r>
        <w:rPr>
          <w:rStyle w:val="CharSectno"/>
        </w:rPr>
        <w:t>1301</w:t>
      </w:r>
      <w:r>
        <w:rPr>
          <w:snapToGrid w:val="0"/>
        </w:rPr>
        <w:t>.</w:t>
      </w:r>
      <w:r>
        <w:rPr>
          <w:snapToGrid w:val="0"/>
        </w:rPr>
        <w:tab/>
      </w:r>
      <w:bookmarkEnd w:id="929"/>
      <w:bookmarkEnd w:id="930"/>
      <w:bookmarkEnd w:id="931"/>
      <w:bookmarkEnd w:id="932"/>
      <w:r>
        <w:rPr>
          <w:snapToGrid w:val="0"/>
        </w:rPr>
        <w:t>Terms used in this Part</w:t>
      </w:r>
      <w:bookmarkEnd w:id="933"/>
      <w:bookmarkEnd w:id="934"/>
      <w:bookmarkEnd w:id="93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dentist</w:t>
      </w:r>
      <w:r>
        <w:t xml:space="preserve"> has the same meaning as it has in the </w:t>
      </w:r>
      <w:r>
        <w:rPr>
          <w:i/>
        </w:rPr>
        <w:t>Dental Act 1939</w:t>
      </w:r>
      <w:r>
        <w:t>;</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rPr>
          <w:b/>
        </w:rPr>
        <w:tab/>
      </w:r>
      <w:r>
        <w:rPr>
          <w:rStyle w:val="CharDefText"/>
        </w:rPr>
        <w:t>medical practitioner</w:t>
      </w:r>
      <w:r>
        <w:t xml:space="preserve"> has the same meaning as it has in the </w:t>
      </w:r>
      <w:r>
        <w:rPr>
          <w:i/>
        </w:rPr>
        <w:t>Medical Act 1894</w:t>
      </w:r>
      <w:r>
        <w:t>;</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rPr>
          <w:b/>
        </w:rPr>
        <w:tab/>
      </w:r>
      <w:r>
        <w:rPr>
          <w:rStyle w:val="CharDefText"/>
        </w:rPr>
        <w:t>pharmaceutical chemist</w:t>
      </w:r>
      <w:r>
        <w:t xml:space="preserve"> has the same meaning as it has in the </w:t>
      </w:r>
      <w:r>
        <w:rPr>
          <w:i/>
        </w:rPr>
        <w:t>Pharmacy Act 1964</w:t>
      </w:r>
      <w:r>
        <w:t>;</w:t>
      </w:r>
    </w:p>
    <w:p>
      <w:pPr>
        <w:pStyle w:val="Defstart"/>
      </w:pPr>
      <w:r>
        <w:rPr>
          <w:b/>
        </w:rPr>
        <w:tab/>
      </w:r>
      <w:r>
        <w:rPr>
          <w:rStyle w:val="CharDefText"/>
        </w:rPr>
        <w:t>region</w:t>
      </w:r>
      <w:r>
        <w:t xml:space="preserve"> means region of the State within the meaning of section 39(2) of the Act. </w:t>
      </w:r>
    </w:p>
    <w:p>
      <w:pPr>
        <w:pStyle w:val="Footnotesection"/>
      </w:pPr>
      <w:r>
        <w:tab/>
        <w:t xml:space="preserve">[Regulation 1301 inserted in Gazette 17 Nov 1989 p. 4110; amended in Gazette 15 Dec 2006 p. 5635.] </w:t>
      </w:r>
    </w:p>
    <w:p>
      <w:pPr>
        <w:pStyle w:val="Heading5"/>
      </w:pPr>
      <w:bookmarkStart w:id="936" w:name="_Toc500034793"/>
      <w:bookmarkStart w:id="937" w:name="_Toc515769591"/>
      <w:bookmarkStart w:id="938" w:name="_Toc522083272"/>
      <w:bookmarkStart w:id="939" w:name="_Toc123623031"/>
      <w:bookmarkStart w:id="940" w:name="_Toc166925684"/>
      <w:bookmarkStart w:id="941" w:name="_Toc256088343"/>
      <w:bookmarkStart w:id="942" w:name="_Toc218399569"/>
      <w:r>
        <w:rPr>
          <w:rStyle w:val="CharSectno"/>
        </w:rPr>
        <w:t>1302</w:t>
      </w:r>
      <w:r>
        <w:t xml:space="preserve">. </w:t>
      </w:r>
      <w:r>
        <w:tab/>
        <w:t>Report of incapacity</w:t>
      </w:r>
      <w:bookmarkEnd w:id="936"/>
      <w:bookmarkEnd w:id="937"/>
      <w:bookmarkEnd w:id="938"/>
      <w:bookmarkEnd w:id="939"/>
      <w:bookmarkEnd w:id="940"/>
      <w:bookmarkEnd w:id="941"/>
      <w:bookmarkEnd w:id="942"/>
    </w:p>
    <w:p>
      <w:pPr>
        <w:pStyle w:val="Subsection"/>
      </w:pPr>
      <w:r>
        <w:tab/>
      </w:r>
      <w:r>
        <w:tab/>
        <w:t>A member or cadet who becomes incapacitated shall as soon as possible — </w:t>
      </w:r>
    </w:p>
    <w:p>
      <w:pPr>
        <w:pStyle w:val="Indenta"/>
      </w:pPr>
      <w:r>
        <w:tab/>
        <w:t>(a)</w:t>
      </w:r>
      <w:r>
        <w:tab/>
        <w:t>notify his officer in charge of that fact and of his whereabouts; and</w:t>
      </w:r>
    </w:p>
    <w:p>
      <w:pPr>
        <w:pStyle w:val="Indenta"/>
      </w:pPr>
      <w:r>
        <w:tab/>
        <w:t>(b)</w:t>
      </w:r>
      <w:r>
        <w:tab/>
        <w:t>notify the Manager of the nature of the illness or the nature and cause of the injury, as the case may be.</w:t>
      </w:r>
    </w:p>
    <w:p>
      <w:pPr>
        <w:pStyle w:val="Footnotesection"/>
      </w:pPr>
      <w:r>
        <w:tab/>
        <w:t xml:space="preserve">[Regulation 1302 inserted in Gazette 17 Nov 1989 p. 4110.] </w:t>
      </w:r>
    </w:p>
    <w:p>
      <w:pPr>
        <w:pStyle w:val="Heading5"/>
        <w:rPr>
          <w:snapToGrid w:val="0"/>
        </w:rPr>
      </w:pPr>
      <w:bookmarkStart w:id="943" w:name="_Toc500034794"/>
      <w:bookmarkStart w:id="944" w:name="_Toc515769592"/>
      <w:bookmarkStart w:id="945" w:name="_Toc522083273"/>
      <w:bookmarkStart w:id="946" w:name="_Toc123623032"/>
      <w:bookmarkStart w:id="947" w:name="_Toc166925685"/>
      <w:bookmarkStart w:id="948" w:name="_Toc256088344"/>
      <w:bookmarkStart w:id="949" w:name="_Toc218399570"/>
      <w:r>
        <w:rPr>
          <w:rStyle w:val="CharSectno"/>
        </w:rPr>
        <w:t>1303</w:t>
      </w:r>
      <w:r>
        <w:rPr>
          <w:snapToGrid w:val="0"/>
        </w:rPr>
        <w:t>.</w:t>
      </w:r>
      <w:r>
        <w:rPr>
          <w:snapToGrid w:val="0"/>
        </w:rPr>
        <w:tab/>
        <w:t>Application for leave</w:t>
      </w:r>
      <w:bookmarkEnd w:id="943"/>
      <w:bookmarkEnd w:id="944"/>
      <w:bookmarkEnd w:id="945"/>
      <w:bookmarkEnd w:id="946"/>
      <w:bookmarkEnd w:id="947"/>
      <w:bookmarkEnd w:id="948"/>
      <w:bookmarkEnd w:id="949"/>
      <w:r>
        <w:rPr>
          <w:snapToGrid w:val="0"/>
        </w:rPr>
        <w:t xml:space="preserve"> </w:t>
      </w:r>
    </w:p>
    <w:p>
      <w:pPr>
        <w:pStyle w:val="Subsection"/>
        <w:spacing w:before="12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20"/>
        <w:rPr>
          <w:snapToGrid w:val="0"/>
        </w:rPr>
      </w:pPr>
      <w:r>
        <w:rPr>
          <w:snapToGrid w:val="0"/>
        </w:rPr>
        <w:tab/>
        <w:t>(2)</w:t>
      </w:r>
      <w:r>
        <w:rPr>
          <w:snapToGrid w:val="0"/>
        </w:rPr>
        <w:tab/>
        <w:t>The application shall be — </w:t>
      </w:r>
    </w:p>
    <w:p>
      <w:pPr>
        <w:pStyle w:val="Indenta"/>
        <w:spacing w:before="60"/>
        <w:rPr>
          <w:snapToGrid w:val="0"/>
        </w:rPr>
      </w:pPr>
      <w:r>
        <w:rPr>
          <w:snapToGrid w:val="0"/>
        </w:rPr>
        <w:tab/>
        <w:t>(a)</w:t>
      </w:r>
      <w:r>
        <w:rPr>
          <w:snapToGrid w:val="0"/>
        </w:rPr>
        <w:tab/>
        <w:t>in a form approved by the Commissioner; and</w:t>
      </w:r>
    </w:p>
    <w:p>
      <w:pPr>
        <w:pStyle w:val="Indenta"/>
        <w:spacing w:before="60"/>
        <w:rPr>
          <w:snapToGrid w:val="0"/>
        </w:rPr>
      </w:pPr>
      <w:r>
        <w:rPr>
          <w:snapToGrid w:val="0"/>
        </w:rPr>
        <w:tab/>
        <w:t>(b)</w:t>
      </w:r>
      <w:r>
        <w:rPr>
          <w:snapToGrid w:val="0"/>
        </w:rPr>
        <w:tab/>
        <w:t>submitted to the Manager,</w:t>
      </w:r>
    </w:p>
    <w:p>
      <w:pPr>
        <w:pStyle w:val="Subsection"/>
        <w:spacing w:before="60"/>
        <w:rPr>
          <w:snapToGrid w:val="0"/>
        </w:rPr>
      </w:pPr>
      <w:r>
        <w:rPr>
          <w:snapToGrid w:val="0"/>
        </w:rPr>
        <w:tab/>
      </w:r>
      <w:r>
        <w:rPr>
          <w:snapToGrid w:val="0"/>
        </w:rPr>
        <w:tab/>
        <w:t>and the certificate in its support shall be — </w:t>
      </w:r>
    </w:p>
    <w:p>
      <w:pPr>
        <w:pStyle w:val="Indenta"/>
        <w:spacing w:before="60"/>
        <w:rPr>
          <w:snapToGrid w:val="0"/>
        </w:rPr>
      </w:pPr>
      <w:r>
        <w:rPr>
          <w:snapToGrid w:val="0"/>
        </w:rPr>
        <w:tab/>
        <w:t>(c)</w:t>
      </w:r>
      <w:r>
        <w:rPr>
          <w:snapToGrid w:val="0"/>
        </w:rPr>
        <w:tab/>
        <w:t>submitted to the Manager.</w:t>
      </w:r>
    </w:p>
    <w:p>
      <w:pPr>
        <w:pStyle w:val="Footnotesection"/>
        <w:spacing w:before="100"/>
        <w:ind w:left="890" w:hanging="890"/>
      </w:pPr>
      <w:r>
        <w:tab/>
        <w:t xml:space="preserve">[Regulation 1303 inserted in Gazette 17 Nov 1989 p. 4111.] </w:t>
      </w:r>
    </w:p>
    <w:p>
      <w:pPr>
        <w:pStyle w:val="Heading5"/>
        <w:rPr>
          <w:snapToGrid w:val="0"/>
        </w:rPr>
      </w:pPr>
      <w:bookmarkStart w:id="950" w:name="_Toc500034795"/>
      <w:bookmarkStart w:id="951" w:name="_Toc515769593"/>
      <w:bookmarkStart w:id="952" w:name="_Toc522083274"/>
      <w:bookmarkStart w:id="953" w:name="_Toc123623033"/>
      <w:bookmarkStart w:id="954" w:name="_Toc166925686"/>
      <w:bookmarkStart w:id="955" w:name="_Toc256088345"/>
      <w:bookmarkStart w:id="956" w:name="_Toc218399571"/>
      <w:r>
        <w:rPr>
          <w:rStyle w:val="CharSectno"/>
        </w:rPr>
        <w:t>1304</w:t>
      </w:r>
      <w:r>
        <w:rPr>
          <w:snapToGrid w:val="0"/>
        </w:rPr>
        <w:t>.</w:t>
      </w:r>
      <w:r>
        <w:rPr>
          <w:snapToGrid w:val="0"/>
        </w:rPr>
        <w:tab/>
        <w:t>Entitlement to leave and allowances</w:t>
      </w:r>
      <w:bookmarkEnd w:id="950"/>
      <w:bookmarkEnd w:id="951"/>
      <w:bookmarkEnd w:id="952"/>
      <w:bookmarkEnd w:id="953"/>
      <w:bookmarkEnd w:id="954"/>
      <w:bookmarkEnd w:id="955"/>
      <w:bookmarkEnd w:id="956"/>
      <w:r>
        <w:rPr>
          <w:snapToGrid w:val="0"/>
        </w:rPr>
        <w:t xml:space="preserve"> </w:t>
      </w:r>
    </w:p>
    <w:p>
      <w:pPr>
        <w:pStyle w:val="Subsection"/>
        <w:spacing w:before="120"/>
        <w:rPr>
          <w:snapToGrid w:val="0"/>
        </w:rPr>
      </w:pPr>
      <w:r>
        <w:rPr>
          <w:snapToGrid w:val="0"/>
        </w:rPr>
        <w:tab/>
        <w:t>(1)</w:t>
      </w:r>
      <w:r>
        <w:rPr>
          <w:snapToGrid w:val="0"/>
        </w:rPr>
        <w:tab/>
        <w:t>Subject to regulations 1308(1) and 1309 and to compliance by the member with regulation 1303, the Commissioner may grant to a member in respect of his incapacity leave of absence with pay — </w:t>
      </w:r>
    </w:p>
    <w:p>
      <w:pPr>
        <w:pStyle w:val="Indenta"/>
        <w:spacing w:before="60"/>
        <w:rPr>
          <w:snapToGrid w:val="0"/>
        </w:rPr>
      </w:pPr>
      <w:r>
        <w:rPr>
          <w:snapToGrid w:val="0"/>
        </w:rPr>
        <w:tab/>
        <w:t>(a)</w:t>
      </w:r>
      <w:r>
        <w:rPr>
          <w:snapToGrid w:val="0"/>
        </w:rPr>
        <w:tab/>
        <w:t>for up to 168 days in a calendar year; and</w:t>
      </w:r>
    </w:p>
    <w:p>
      <w:pPr>
        <w:pStyle w:val="Indenta"/>
        <w:spacing w:before="6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20"/>
        <w:rPr>
          <w:snapToGrid w:val="0"/>
        </w:rPr>
      </w:pPr>
      <w:r>
        <w:rPr>
          <w:snapToGrid w:val="0"/>
        </w:rPr>
        <w:tab/>
        <w:t>(2)</w:t>
      </w:r>
      <w:r>
        <w:rPr>
          <w:snapToGrid w:val="0"/>
        </w:rPr>
        <w:tab/>
        <w:t xml:space="preserve">Except where he is incapacitated through his fault or misconduct, a member is entitled to receive in respect of a period of leave of absence approved under subregulation (1), and subject to any terms or conditions imposed under subregulation (1)(b), any special allowances which he would have received under the </w:t>
      </w:r>
      <w:r>
        <w:t>relevant award</w:t>
      </w:r>
      <w:r>
        <w:rPr>
          <w:snapToGrid w:val="0"/>
        </w:rPr>
        <w:t xml:space="preserve"> if he had not been incapacitated.</w:t>
      </w:r>
    </w:p>
    <w:p>
      <w:pPr>
        <w:pStyle w:val="Subsection"/>
        <w:spacing w:before="120"/>
        <w:rPr>
          <w:snapToGrid w:val="0"/>
        </w:rPr>
      </w:pPr>
      <w:r>
        <w:rPr>
          <w:snapToGrid w:val="0"/>
        </w:rPr>
        <w:tab/>
        <w:t>(3)</w:t>
      </w:r>
      <w:r>
        <w:rPr>
          <w:snapToGrid w:val="0"/>
        </w:rPr>
        <w:tab/>
        <w:t xml:space="preserve">The district allowance prescribed by the </w:t>
      </w:r>
      <w:r>
        <w:t>relevant award</w:t>
      </w:r>
      <w:r>
        <w:rPr>
          <w:snapToGrid w:val="0"/>
        </w:rPr>
        <w:t xml:space="preserve"> ceases to be payable — </w:t>
      </w:r>
    </w:p>
    <w:p>
      <w:pPr>
        <w:pStyle w:val="Indenta"/>
        <w:spacing w:before="60"/>
        <w:rPr>
          <w:snapToGrid w:val="0"/>
        </w:rPr>
      </w:pPr>
      <w:r>
        <w:rPr>
          <w:snapToGrid w:val="0"/>
        </w:rPr>
        <w:tab/>
        <w:t>(a)</w:t>
      </w:r>
      <w:r>
        <w:rPr>
          <w:snapToGrid w:val="0"/>
        </w:rPr>
        <w:tab/>
        <w:t>after an incapacitated member or cadet and the family of that member or cadet have been absent from his region for a continuous period exceeding 6 weeks; and</w:t>
      </w:r>
    </w:p>
    <w:p>
      <w:pPr>
        <w:pStyle w:val="Indenta"/>
        <w:rPr>
          <w:snapToGrid w:val="0"/>
        </w:rPr>
      </w:pPr>
      <w:r>
        <w:rPr>
          <w:snapToGrid w:val="0"/>
        </w:rPr>
        <w:tab/>
        <w:t>(b)</w:t>
      </w:r>
      <w:r>
        <w:rPr>
          <w:snapToGrid w:val="0"/>
        </w:rPr>
        <w:tab/>
        <w:t>for so long thereafter as that absence continues.</w:t>
      </w:r>
    </w:p>
    <w:p>
      <w:pPr>
        <w:pStyle w:val="Subsection"/>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or cadet residing with him.</w:t>
      </w:r>
    </w:p>
    <w:p>
      <w:pPr>
        <w:pStyle w:val="Footnotesection"/>
      </w:pPr>
      <w:r>
        <w:tab/>
        <w:t xml:space="preserve">[Regulation 1304 inserted in Gazette 17 Nov 1989 p. 4111; amended in Gazette 30 Jun 2003 p. 2623; 30 Dec 2008 p. 5647.] </w:t>
      </w:r>
    </w:p>
    <w:p>
      <w:pPr>
        <w:pStyle w:val="Heading5"/>
        <w:rPr>
          <w:snapToGrid w:val="0"/>
        </w:rPr>
      </w:pPr>
      <w:bookmarkStart w:id="957" w:name="_Toc500034796"/>
      <w:bookmarkStart w:id="958" w:name="_Toc515769594"/>
      <w:bookmarkStart w:id="959" w:name="_Toc522083275"/>
      <w:bookmarkStart w:id="960" w:name="_Toc123623034"/>
      <w:bookmarkStart w:id="961" w:name="_Toc166925687"/>
      <w:bookmarkStart w:id="962" w:name="_Toc256088346"/>
      <w:bookmarkStart w:id="963" w:name="_Toc218399572"/>
      <w:r>
        <w:rPr>
          <w:rStyle w:val="CharSectno"/>
        </w:rPr>
        <w:t>1305</w:t>
      </w:r>
      <w:r>
        <w:rPr>
          <w:snapToGrid w:val="0"/>
        </w:rPr>
        <w:t>.</w:t>
      </w:r>
      <w:r>
        <w:rPr>
          <w:snapToGrid w:val="0"/>
        </w:rPr>
        <w:tab/>
        <w:t>Other work prohibited</w:t>
      </w:r>
      <w:bookmarkEnd w:id="957"/>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An incapacitated member or cadet shall not during his absence from duty engage for reward in any other occupation or activity.</w:t>
      </w:r>
    </w:p>
    <w:p>
      <w:pPr>
        <w:pStyle w:val="Footnotesection"/>
      </w:pPr>
      <w:r>
        <w:tab/>
        <w:t xml:space="preserve">[Regulation 1305 inserted in Gazette 17 Nov 1989 p. 4111.] </w:t>
      </w:r>
    </w:p>
    <w:p>
      <w:pPr>
        <w:pStyle w:val="Heading5"/>
        <w:rPr>
          <w:snapToGrid w:val="0"/>
        </w:rPr>
      </w:pPr>
      <w:bookmarkStart w:id="964" w:name="_Toc500034797"/>
      <w:bookmarkStart w:id="965" w:name="_Toc515769595"/>
      <w:bookmarkStart w:id="966" w:name="_Toc522083276"/>
      <w:bookmarkStart w:id="967" w:name="_Toc123623035"/>
      <w:bookmarkStart w:id="968" w:name="_Toc166925688"/>
      <w:bookmarkStart w:id="969" w:name="_Toc256088347"/>
      <w:bookmarkStart w:id="970" w:name="_Toc218399573"/>
      <w:r>
        <w:rPr>
          <w:rStyle w:val="CharSectno"/>
        </w:rPr>
        <w:t>1306</w:t>
      </w:r>
      <w:r>
        <w:rPr>
          <w:snapToGrid w:val="0"/>
        </w:rPr>
        <w:t>.</w:t>
      </w:r>
      <w:r>
        <w:rPr>
          <w:snapToGrid w:val="0"/>
        </w:rPr>
        <w:tab/>
        <w:t>Medical and hospital expenses where member’s illness results from duties</w:t>
      </w:r>
      <w:bookmarkEnd w:id="964"/>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r>
      <w:r>
        <w:rPr>
          <w:snapToGrid w:val="0"/>
        </w:rPr>
        <w:tab/>
        <w:t>Subject to regulation 1308(2), the Commissioner shall pay the reasonable medical and hospital expenses incurred by a member as a result of illness or injury arising out of or in the course of his duties or suffered by him in the course of travel to or from a place of duty.</w:t>
      </w:r>
    </w:p>
    <w:p>
      <w:pPr>
        <w:pStyle w:val="Footnotesection"/>
      </w:pPr>
      <w:r>
        <w:tab/>
        <w:t xml:space="preserve">[Regulation 1306 inserted in Gazette 17 Nov 1989 p. 4111.] </w:t>
      </w:r>
    </w:p>
    <w:p>
      <w:pPr>
        <w:pStyle w:val="Ednotesection"/>
      </w:pPr>
      <w:r>
        <w:t>[</w:t>
      </w:r>
      <w:r>
        <w:rPr>
          <w:b/>
        </w:rPr>
        <w:t>1307.</w:t>
      </w:r>
      <w:r>
        <w:tab/>
        <w:t xml:space="preserve">Deleted in Gazette 18 Nov 1994 p. 5867.] </w:t>
      </w:r>
    </w:p>
    <w:p>
      <w:pPr>
        <w:pStyle w:val="Heading5"/>
        <w:rPr>
          <w:snapToGrid w:val="0"/>
        </w:rPr>
      </w:pPr>
      <w:bookmarkStart w:id="971" w:name="_Toc500034798"/>
      <w:bookmarkStart w:id="972" w:name="_Toc515769596"/>
      <w:bookmarkStart w:id="973" w:name="_Toc522083277"/>
      <w:bookmarkStart w:id="974" w:name="_Toc123623036"/>
      <w:bookmarkStart w:id="975" w:name="_Toc166925689"/>
      <w:bookmarkStart w:id="976" w:name="_Toc256088348"/>
      <w:bookmarkStart w:id="977" w:name="_Toc218399574"/>
      <w:r>
        <w:rPr>
          <w:rStyle w:val="CharSectno"/>
        </w:rPr>
        <w:t>1308</w:t>
      </w:r>
      <w:r>
        <w:rPr>
          <w:snapToGrid w:val="0"/>
        </w:rPr>
        <w:t>.</w:t>
      </w:r>
      <w:r>
        <w:rPr>
          <w:snapToGrid w:val="0"/>
        </w:rPr>
        <w:tab/>
        <w:t>Ineligibility for benefits where incapacity own fault</w:t>
      </w:r>
      <w:bookmarkEnd w:id="971"/>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t>(1)</w:t>
      </w:r>
      <w:r>
        <w:rPr>
          <w:snapToGrid w:val="0"/>
        </w:rPr>
        <w:tab/>
        <w:t>A member who suffers illness or injury through his fault or misconduct is not entitled to paid leave in respect of absence from duty resulting from that illness or injury.</w:t>
      </w:r>
    </w:p>
    <w:p>
      <w:pPr>
        <w:pStyle w:val="Subsection"/>
        <w:rPr>
          <w:snapToGrid w:val="0"/>
        </w:rPr>
      </w:pPr>
      <w:r>
        <w:rPr>
          <w:snapToGrid w:val="0"/>
        </w:rPr>
        <w:tab/>
        <w:t>(2)</w:t>
      </w:r>
      <w:r>
        <w:rPr>
          <w:snapToGrid w:val="0"/>
        </w:rPr>
        <w:tab/>
        <w:t>A member who suffers illness or injury through his fault or misconduct is not entitled in respect of that illness or injury to receive the benefits provided for by regulation 1306.</w:t>
      </w:r>
    </w:p>
    <w:p>
      <w:pPr>
        <w:pStyle w:val="Footnotesection"/>
      </w:pPr>
      <w:r>
        <w:tab/>
        <w:t>[Regulation 1308 inserted in Gazette 17 Nov 1989 p. 4111</w:t>
      </w:r>
      <w:r>
        <w:noBreakHyphen/>
        <w:t xml:space="preserve">2; amended in Gazette 18 Nov 1994 p. 5867.] </w:t>
      </w:r>
    </w:p>
    <w:p>
      <w:pPr>
        <w:pStyle w:val="Heading5"/>
        <w:rPr>
          <w:snapToGrid w:val="0"/>
        </w:rPr>
      </w:pPr>
      <w:bookmarkStart w:id="978" w:name="_Toc500034799"/>
      <w:bookmarkStart w:id="979" w:name="_Toc515769597"/>
      <w:bookmarkStart w:id="980" w:name="_Toc522083278"/>
      <w:bookmarkStart w:id="981" w:name="_Toc123623037"/>
      <w:bookmarkStart w:id="982" w:name="_Toc166925690"/>
      <w:bookmarkStart w:id="983" w:name="_Toc256088349"/>
      <w:bookmarkStart w:id="984" w:name="_Toc218399575"/>
      <w:r>
        <w:rPr>
          <w:rStyle w:val="CharSectno"/>
        </w:rPr>
        <w:t>1309</w:t>
      </w:r>
      <w:r>
        <w:rPr>
          <w:snapToGrid w:val="0"/>
        </w:rPr>
        <w:t>.</w:t>
      </w:r>
      <w:r>
        <w:rPr>
          <w:snapToGrid w:val="0"/>
        </w:rPr>
        <w:tab/>
        <w:t>Incapacity resulting from another occupation</w:t>
      </w:r>
      <w:bookmarkEnd w:id="978"/>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r>
      <w:r>
        <w:rPr>
          <w:snapToGrid w:val="0"/>
        </w:rPr>
        <w:tab/>
        <w:t>Subject to regulation 1308(1), where the incapacity of a member or cadet results from the carrying on by him of an occupation for which he received or expected to receive remuneration, outside of his duties as a member or cadet, the Commissioner may grant or refuse to grant paid leave to the member or cadet in respect of the incapacity or may grant him leave at a reduced rate of pay.</w:t>
      </w:r>
    </w:p>
    <w:p>
      <w:pPr>
        <w:pStyle w:val="Footnotesection"/>
      </w:pPr>
      <w:r>
        <w:tab/>
        <w:t xml:space="preserve">[Regulation 1309 inserted in Gazette 17 Nov 1989 p. 4112.] </w:t>
      </w:r>
    </w:p>
    <w:p>
      <w:pPr>
        <w:pStyle w:val="Heading5"/>
        <w:spacing w:before="240"/>
        <w:rPr>
          <w:snapToGrid w:val="0"/>
        </w:rPr>
      </w:pPr>
      <w:bookmarkStart w:id="985" w:name="_Toc500034800"/>
      <w:bookmarkStart w:id="986" w:name="_Toc515769598"/>
      <w:bookmarkStart w:id="987" w:name="_Toc522083279"/>
      <w:bookmarkStart w:id="988" w:name="_Toc123623038"/>
      <w:bookmarkStart w:id="989" w:name="_Toc166925691"/>
      <w:bookmarkStart w:id="990" w:name="_Toc256088350"/>
      <w:bookmarkStart w:id="991" w:name="_Toc218399576"/>
      <w:r>
        <w:rPr>
          <w:rStyle w:val="CharSectno"/>
        </w:rPr>
        <w:t>1310</w:t>
      </w:r>
      <w:r>
        <w:rPr>
          <w:snapToGrid w:val="0"/>
        </w:rPr>
        <w:t>.</w:t>
      </w:r>
      <w:r>
        <w:rPr>
          <w:snapToGrid w:val="0"/>
        </w:rPr>
        <w:tab/>
        <w:t>Entitlements of cadets</w:t>
      </w:r>
      <w:bookmarkEnd w:id="985"/>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r>
      <w:r>
        <w:rPr>
          <w:snapToGrid w:val="0"/>
        </w:rPr>
        <w:tab/>
        <w:t xml:space="preserve">The provisions of this Part, other than regulation 1309, are supplemental to and not in derogation of the provisions of the </w:t>
      </w:r>
      <w:r>
        <w:t>relevant award</w:t>
      </w:r>
      <w:r>
        <w:rPr>
          <w:snapToGrid w:val="0"/>
        </w:rPr>
        <w:t xml:space="preserve"> as to entitlements of cadets in respect of illness or injury.</w:t>
      </w:r>
    </w:p>
    <w:p>
      <w:pPr>
        <w:pStyle w:val="Footnotesection"/>
      </w:pPr>
      <w:r>
        <w:tab/>
        <w:t xml:space="preserve">[Regulation 1310 inserted in Gazette 17 Nov 1989 p. 4112; amended in Gazette 30 Dec 2008 p. 5647.] </w:t>
      </w:r>
    </w:p>
    <w:p>
      <w:pPr>
        <w:pStyle w:val="Heading5"/>
        <w:spacing w:before="240"/>
        <w:rPr>
          <w:snapToGrid w:val="0"/>
        </w:rPr>
      </w:pPr>
      <w:bookmarkStart w:id="992" w:name="_Toc500034801"/>
      <w:bookmarkStart w:id="993" w:name="_Toc515769599"/>
      <w:bookmarkStart w:id="994" w:name="_Toc522083280"/>
      <w:bookmarkStart w:id="995" w:name="_Toc123623039"/>
      <w:bookmarkStart w:id="996" w:name="_Toc166925692"/>
      <w:bookmarkStart w:id="997" w:name="_Toc256088351"/>
      <w:bookmarkStart w:id="998" w:name="_Toc218399577"/>
      <w:r>
        <w:rPr>
          <w:rStyle w:val="CharSectno"/>
        </w:rPr>
        <w:t>1311</w:t>
      </w:r>
      <w:r>
        <w:rPr>
          <w:snapToGrid w:val="0"/>
        </w:rPr>
        <w:t>.</w:t>
      </w:r>
      <w:r>
        <w:rPr>
          <w:snapToGrid w:val="0"/>
        </w:rPr>
        <w:tab/>
        <w:t>Evidence of fitness after long incapacity</w:t>
      </w:r>
      <w:bookmarkEnd w:id="992"/>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t>A member or cadet who has been absent from duty because of incapacity for longer than 4 weeks shall, before returning to duty, submit to the Manager evidence of his medical fitness to return to duty.</w:t>
      </w:r>
    </w:p>
    <w:p>
      <w:pPr>
        <w:pStyle w:val="Footnotesection"/>
      </w:pPr>
      <w:r>
        <w:tab/>
        <w:t xml:space="preserve">[Regulation 1311 inserted in Gazette 17 Nov 1989 p. 4112.] </w:t>
      </w:r>
    </w:p>
    <w:p>
      <w:pPr>
        <w:pStyle w:val="Heading5"/>
        <w:spacing w:before="240"/>
        <w:rPr>
          <w:snapToGrid w:val="0"/>
        </w:rPr>
      </w:pPr>
      <w:bookmarkStart w:id="999" w:name="_Toc500034802"/>
      <w:bookmarkStart w:id="1000" w:name="_Toc515769600"/>
      <w:bookmarkStart w:id="1001" w:name="_Toc522083281"/>
      <w:bookmarkStart w:id="1002" w:name="_Toc123623040"/>
      <w:bookmarkStart w:id="1003" w:name="_Toc166925693"/>
      <w:bookmarkStart w:id="1004" w:name="_Toc256088352"/>
      <w:bookmarkStart w:id="1005" w:name="_Toc218399578"/>
      <w:r>
        <w:rPr>
          <w:rStyle w:val="CharSectno"/>
        </w:rPr>
        <w:t>1312</w:t>
      </w:r>
      <w:r>
        <w:rPr>
          <w:snapToGrid w:val="0"/>
        </w:rPr>
        <w:t>.</w:t>
      </w:r>
      <w:r>
        <w:rPr>
          <w:snapToGrid w:val="0"/>
        </w:rPr>
        <w:tab/>
        <w:t>Examination arranged by Commissioner</w:t>
      </w:r>
      <w:bookmarkEnd w:id="999"/>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The Commissioner may direct a member or cadet to submit to examination, at the expense of the Commissioner, by one or more medical practitioners nominated in each instance by the Commissioner and the member or cadet shall obey such a direction.</w:t>
      </w:r>
    </w:p>
    <w:p>
      <w:pPr>
        <w:pStyle w:val="Subsection"/>
        <w:rPr>
          <w:snapToGrid w:val="0"/>
        </w:rPr>
      </w:pPr>
      <w:r>
        <w:rPr>
          <w:snapToGrid w:val="0"/>
        </w:rPr>
        <w:tab/>
        <w:t>(2)</w:t>
      </w:r>
      <w:r>
        <w:rPr>
          <w:snapToGrid w:val="0"/>
        </w:rPr>
        <w:tab/>
        <w:t>Where a member or cadet has been examined under subregulation (1) and the examining medical practitioner expresses the opinion in writing to the Commissioner that the member or cadet is unfit for duty because of illness or injury, the Commissioner may direct the member or cadet to apply for leave on that ground and the member or cadet shall obey such a direction.</w:t>
      </w:r>
    </w:p>
    <w:p>
      <w:pPr>
        <w:pStyle w:val="Footnotesection"/>
      </w:pPr>
      <w:r>
        <w:tab/>
        <w:t xml:space="preserve">[Regulation 1312 inserted in Gazette 17 Nov 1989 p. 4112.] </w:t>
      </w:r>
    </w:p>
    <w:p>
      <w:pPr>
        <w:pStyle w:val="Heading2"/>
      </w:pPr>
      <w:bookmarkStart w:id="1006" w:name="_Toc90976577"/>
      <w:bookmarkStart w:id="1007" w:name="_Toc91044809"/>
      <w:bookmarkStart w:id="1008" w:name="_Toc91044989"/>
      <w:bookmarkStart w:id="1009" w:name="_Toc123621498"/>
      <w:bookmarkStart w:id="1010" w:name="_Toc123623041"/>
      <w:bookmarkStart w:id="1011" w:name="_Toc153957415"/>
      <w:bookmarkStart w:id="1012" w:name="_Toc153958748"/>
      <w:bookmarkStart w:id="1013" w:name="_Toc154478818"/>
      <w:bookmarkStart w:id="1014" w:name="_Toc161039482"/>
      <w:bookmarkStart w:id="1015" w:name="_Toc161039623"/>
      <w:bookmarkStart w:id="1016" w:name="_Toc161130376"/>
      <w:bookmarkStart w:id="1017" w:name="_Toc163021135"/>
      <w:bookmarkStart w:id="1018" w:name="_Toc164760106"/>
      <w:bookmarkStart w:id="1019" w:name="_Toc166925694"/>
      <w:bookmarkStart w:id="1020" w:name="_Toc182897023"/>
      <w:bookmarkStart w:id="1021" w:name="_Toc182897785"/>
      <w:bookmarkStart w:id="1022" w:name="_Toc182901939"/>
      <w:bookmarkStart w:id="1023" w:name="_Toc198028331"/>
      <w:bookmarkStart w:id="1024" w:name="_Toc218399579"/>
      <w:bookmarkStart w:id="1025" w:name="_Toc256088353"/>
      <w:r>
        <w:rPr>
          <w:rStyle w:val="CharPartNo"/>
        </w:rPr>
        <w:t>Part XIV</w:t>
      </w:r>
      <w:r>
        <w:rPr>
          <w:rStyle w:val="CharDivNo"/>
        </w:rPr>
        <w:t> </w:t>
      </w:r>
      <w:r>
        <w:t>—</w:t>
      </w:r>
      <w:r>
        <w:rPr>
          <w:rStyle w:val="CharDivText"/>
        </w:rPr>
        <w:t> </w:t>
      </w:r>
      <w:r>
        <w:rPr>
          <w:rStyle w:val="CharPartText"/>
        </w:rPr>
        <w:t>Retirement, resignation, removal or death of a member</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Pr>
          <w:rStyle w:val="CharPartText"/>
        </w:rPr>
        <w:t xml:space="preserve"> </w:t>
      </w:r>
    </w:p>
    <w:p>
      <w:pPr>
        <w:pStyle w:val="Heading5"/>
        <w:rPr>
          <w:snapToGrid w:val="0"/>
        </w:rPr>
      </w:pPr>
      <w:bookmarkStart w:id="1026" w:name="_Toc500034803"/>
      <w:bookmarkStart w:id="1027" w:name="_Toc515769601"/>
      <w:bookmarkStart w:id="1028" w:name="_Toc522083282"/>
      <w:bookmarkStart w:id="1029" w:name="_Toc123623042"/>
      <w:bookmarkStart w:id="1030" w:name="_Toc166925695"/>
      <w:bookmarkStart w:id="1031" w:name="_Toc256088354"/>
      <w:bookmarkStart w:id="1032" w:name="_Toc218399580"/>
      <w:r>
        <w:rPr>
          <w:rStyle w:val="CharSectno"/>
        </w:rPr>
        <w:t>1401</w:t>
      </w:r>
      <w:r>
        <w:rPr>
          <w:snapToGrid w:val="0"/>
        </w:rPr>
        <w:t>.</w:t>
      </w:r>
      <w:r>
        <w:rPr>
          <w:snapToGrid w:val="0"/>
        </w:rPr>
        <w:tab/>
        <w:t>Retirement</w:t>
      </w:r>
      <w:bookmarkEnd w:id="1026"/>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in Gazette 29 Jul 1988 p. 2540; amended in Gazette </w:t>
      </w:r>
      <w:r>
        <w:rPr>
          <w:rStyle w:val="CharSectno"/>
        </w:rPr>
        <w:t>13 Nov 1998 p. </w:t>
      </w:r>
      <w:r>
        <w:t xml:space="preserve">6232.] </w:t>
      </w:r>
    </w:p>
    <w:p>
      <w:pPr>
        <w:pStyle w:val="Heading5"/>
        <w:rPr>
          <w:snapToGrid w:val="0"/>
        </w:rPr>
      </w:pPr>
      <w:bookmarkStart w:id="1033" w:name="_Toc500034804"/>
      <w:bookmarkStart w:id="1034" w:name="_Toc515769602"/>
      <w:bookmarkStart w:id="1035" w:name="_Toc522083283"/>
      <w:bookmarkStart w:id="1036" w:name="_Toc123623043"/>
      <w:bookmarkStart w:id="1037" w:name="_Toc166925696"/>
      <w:bookmarkStart w:id="1038" w:name="_Toc256088355"/>
      <w:bookmarkStart w:id="1039" w:name="_Toc218399581"/>
      <w:r>
        <w:rPr>
          <w:rStyle w:val="CharSectno"/>
        </w:rPr>
        <w:t>1402</w:t>
      </w:r>
      <w:r>
        <w:rPr>
          <w:snapToGrid w:val="0"/>
        </w:rPr>
        <w:t>.</w:t>
      </w:r>
      <w:r>
        <w:rPr>
          <w:snapToGrid w:val="0"/>
        </w:rPr>
        <w:tab/>
        <w:t>Examination by medical board</w:t>
      </w:r>
      <w:bookmarkEnd w:id="1033"/>
      <w:bookmarkEnd w:id="1034"/>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Where the Commissioner is of the opinion that a member is not fit for further service, he may direct the member to submit himself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vertAlign w:val="superscript"/>
        </w:rPr>
        <w:t xml:space="preserve"> 4</w:t>
      </w:r>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Subject to the Act, where the medical board referred to in this regulation reports to the Commissioner that the member in question is unfit for further active service the Commissioner shall advise the member of the date he will cease duty.</w:t>
      </w:r>
    </w:p>
    <w:p>
      <w:pPr>
        <w:pStyle w:val="Heading5"/>
        <w:rPr>
          <w:snapToGrid w:val="0"/>
        </w:rPr>
      </w:pPr>
      <w:bookmarkStart w:id="1040" w:name="_Toc500034805"/>
      <w:bookmarkStart w:id="1041" w:name="_Toc515769603"/>
      <w:bookmarkStart w:id="1042" w:name="_Toc522083284"/>
      <w:bookmarkStart w:id="1043" w:name="_Toc123623044"/>
      <w:bookmarkStart w:id="1044" w:name="_Toc166925697"/>
      <w:bookmarkStart w:id="1045" w:name="_Toc256088356"/>
      <w:bookmarkStart w:id="1046" w:name="_Toc218399582"/>
      <w:r>
        <w:rPr>
          <w:rStyle w:val="CharSectno"/>
        </w:rPr>
        <w:t>1403</w:t>
      </w:r>
      <w:r>
        <w:rPr>
          <w:snapToGrid w:val="0"/>
        </w:rPr>
        <w:t>.</w:t>
      </w:r>
      <w:r>
        <w:rPr>
          <w:snapToGrid w:val="0"/>
        </w:rPr>
        <w:tab/>
        <w:t>Allowances paid on death of member</w:t>
      </w:r>
      <w:bookmarkEnd w:id="1040"/>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 xml:space="preserve">Where a member or cadet dies the widow of the member or </w:t>
      </w:r>
      <w:r>
        <w:t>cadet, or a person who was the de facto partner of the member or cadet immediately before the death of the member or cadet and</w:t>
      </w:r>
      <w:r>
        <w:rPr>
          <w:snapToGrid w:val="0"/>
        </w:rPr>
        <w:t xml:space="preserve"> such of the children of the member or cadet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w:t>
      </w:r>
    </w:p>
    <w:p>
      <w:pPr>
        <w:pStyle w:val="Heading5"/>
        <w:rPr>
          <w:snapToGrid w:val="0"/>
        </w:rPr>
      </w:pPr>
      <w:bookmarkStart w:id="1047" w:name="_Toc500034806"/>
      <w:bookmarkStart w:id="1048" w:name="_Toc515769604"/>
      <w:bookmarkStart w:id="1049" w:name="_Toc522083285"/>
      <w:bookmarkStart w:id="1050" w:name="_Toc123623045"/>
      <w:bookmarkStart w:id="1051" w:name="_Toc166925698"/>
      <w:bookmarkStart w:id="1052" w:name="_Toc256088357"/>
      <w:bookmarkStart w:id="1053" w:name="_Toc218399583"/>
      <w:r>
        <w:rPr>
          <w:rStyle w:val="CharSectno"/>
        </w:rPr>
        <w:t>1404</w:t>
      </w:r>
      <w:r>
        <w:rPr>
          <w:snapToGrid w:val="0"/>
        </w:rPr>
        <w:t>.</w:t>
      </w:r>
      <w:r>
        <w:rPr>
          <w:snapToGrid w:val="0"/>
        </w:rPr>
        <w:tab/>
        <w:t>Leave entitlement to be paid out</w:t>
      </w:r>
      <w:bookmarkEnd w:id="1047"/>
      <w:bookmarkEnd w:id="1048"/>
      <w:bookmarkEnd w:id="1049"/>
      <w:bookmarkEnd w:id="1050"/>
      <w:bookmarkEnd w:id="1051"/>
      <w:bookmarkEnd w:id="1052"/>
      <w:bookmarkEnd w:id="1053"/>
      <w:r>
        <w:rPr>
          <w:snapToGrid w:val="0"/>
        </w:rPr>
        <w:t xml:space="preserve"> </w:t>
      </w:r>
    </w:p>
    <w:p>
      <w:pPr>
        <w:pStyle w:val="Subsection"/>
        <w:rPr>
          <w:snapToGrid w:val="0"/>
        </w:rPr>
      </w:pPr>
      <w:r>
        <w:rPr>
          <w:snapToGrid w:val="0"/>
        </w:rPr>
        <w:tab/>
      </w:r>
      <w:r>
        <w:rPr>
          <w:snapToGrid w:val="0"/>
        </w:rPr>
        <w:tab/>
        <w:t xml:space="preserve">On the death of a member or cadet, the Minister may, on the recommendation of the Commissioner grant to </w:t>
      </w:r>
      <w:r>
        <w:t>the spouse or de facto partner and other relatives</w:t>
      </w:r>
      <w:r>
        <w:rPr>
          <w:snapToGrid w:val="0"/>
        </w:rPr>
        <w:t xml:space="preserve"> of the member or cadet who were dependent on him at the date of his death the monetary equivalent, computed to the date of death, of — </w:t>
      </w:r>
    </w:p>
    <w:p>
      <w:pPr>
        <w:pStyle w:val="Indenta"/>
        <w:rPr>
          <w:snapToGrid w:val="0"/>
        </w:rPr>
      </w:pPr>
      <w:r>
        <w:rPr>
          <w:snapToGrid w:val="0"/>
        </w:rPr>
        <w:tab/>
        <w:t>(a)</w:t>
      </w:r>
      <w:r>
        <w:rPr>
          <w:snapToGrid w:val="0"/>
        </w:rPr>
        <w:tab/>
        <w:t>annual leave accrued and owing to the member or cadet;</w:t>
      </w:r>
    </w:p>
    <w:p>
      <w:pPr>
        <w:pStyle w:val="Indenta"/>
        <w:rPr>
          <w:snapToGrid w:val="0"/>
        </w:rPr>
      </w:pPr>
      <w:r>
        <w:rPr>
          <w:snapToGrid w:val="0"/>
        </w:rPr>
        <w:tab/>
        <w:t>(b)</w:t>
      </w:r>
      <w:r>
        <w:rPr>
          <w:snapToGrid w:val="0"/>
        </w:rPr>
        <w:tab/>
        <w:t>long service leave accrued and owing to the member or cadet;</w:t>
      </w:r>
    </w:p>
    <w:p>
      <w:pPr>
        <w:pStyle w:val="Indenta"/>
        <w:rPr>
          <w:snapToGrid w:val="0"/>
        </w:rPr>
      </w:pPr>
      <w:r>
        <w:rPr>
          <w:snapToGrid w:val="0"/>
        </w:rPr>
        <w:tab/>
        <w:t>(c)</w:t>
      </w:r>
      <w:r>
        <w:rPr>
          <w:snapToGrid w:val="0"/>
        </w:rPr>
        <w:tab/>
        <w:t>pro rata leave for each completed month of service of the member or cadet in the current year.</w:t>
      </w:r>
    </w:p>
    <w:p>
      <w:pPr>
        <w:pStyle w:val="Footnotesection"/>
      </w:pPr>
      <w:r>
        <w:tab/>
        <w:t>[Regulation 1404 amended in Gazette 30 Jun 2003 p. 2624.]</w:t>
      </w:r>
    </w:p>
    <w:p>
      <w:pPr>
        <w:pStyle w:val="Heading2"/>
      </w:pPr>
      <w:bookmarkStart w:id="1054" w:name="_Toc90976582"/>
      <w:bookmarkStart w:id="1055" w:name="_Toc91044814"/>
      <w:bookmarkStart w:id="1056" w:name="_Toc91044994"/>
      <w:bookmarkStart w:id="1057" w:name="_Toc123621503"/>
      <w:bookmarkStart w:id="1058" w:name="_Toc123623046"/>
      <w:bookmarkStart w:id="1059" w:name="_Toc153957420"/>
      <w:bookmarkStart w:id="1060" w:name="_Toc153958753"/>
      <w:bookmarkStart w:id="1061" w:name="_Toc154478823"/>
      <w:bookmarkStart w:id="1062" w:name="_Toc161039487"/>
      <w:bookmarkStart w:id="1063" w:name="_Toc161039628"/>
      <w:bookmarkStart w:id="1064" w:name="_Toc161130381"/>
      <w:bookmarkStart w:id="1065" w:name="_Toc163021140"/>
      <w:bookmarkStart w:id="1066" w:name="_Toc164760111"/>
      <w:bookmarkStart w:id="1067" w:name="_Toc166925699"/>
      <w:bookmarkStart w:id="1068" w:name="_Toc182897028"/>
      <w:bookmarkStart w:id="1069" w:name="_Toc182897790"/>
      <w:bookmarkStart w:id="1070" w:name="_Toc182901944"/>
      <w:bookmarkStart w:id="1071" w:name="_Toc198028336"/>
      <w:bookmarkStart w:id="1072" w:name="_Toc218399584"/>
      <w:bookmarkStart w:id="1073" w:name="_Toc256088358"/>
      <w:r>
        <w:rPr>
          <w:rStyle w:val="CharPartNo"/>
        </w:rPr>
        <w:t>Part XV</w:t>
      </w:r>
      <w:r>
        <w:rPr>
          <w:rStyle w:val="CharDivNo"/>
        </w:rPr>
        <w:t> </w:t>
      </w:r>
      <w:r>
        <w:t>—</w:t>
      </w:r>
      <w:r>
        <w:rPr>
          <w:rStyle w:val="CharDivText"/>
        </w:rPr>
        <w:t> </w:t>
      </w:r>
      <w:r>
        <w:rPr>
          <w:rStyle w:val="CharPartText"/>
        </w:rPr>
        <w:t>Quarters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Pr>
          <w:rStyle w:val="CharPartText"/>
        </w:rPr>
        <w:t xml:space="preserve"> </w:t>
      </w:r>
    </w:p>
    <w:p>
      <w:pPr>
        <w:pStyle w:val="Heading5"/>
        <w:rPr>
          <w:snapToGrid w:val="0"/>
        </w:rPr>
      </w:pPr>
      <w:bookmarkStart w:id="1074" w:name="_Toc500034807"/>
      <w:bookmarkStart w:id="1075" w:name="_Toc515769605"/>
      <w:bookmarkStart w:id="1076" w:name="_Toc522083286"/>
      <w:bookmarkStart w:id="1077" w:name="_Toc123623047"/>
      <w:bookmarkStart w:id="1078" w:name="_Toc166925700"/>
      <w:bookmarkStart w:id="1079" w:name="_Toc256088359"/>
      <w:bookmarkStart w:id="1080" w:name="_Toc218399585"/>
      <w:r>
        <w:rPr>
          <w:rStyle w:val="CharSectno"/>
        </w:rPr>
        <w:t>1501</w:t>
      </w:r>
      <w:r>
        <w:rPr>
          <w:snapToGrid w:val="0"/>
        </w:rPr>
        <w:t>.</w:t>
      </w:r>
      <w:r>
        <w:rPr>
          <w:snapToGrid w:val="0"/>
        </w:rPr>
        <w:tab/>
        <w:t>This Part not in derogation of Award</w:t>
      </w:r>
      <w:bookmarkEnd w:id="1074"/>
      <w:bookmarkEnd w:id="1075"/>
      <w:bookmarkEnd w:id="1076"/>
      <w:bookmarkEnd w:id="1077"/>
      <w:bookmarkEnd w:id="1078"/>
      <w:bookmarkEnd w:id="1079"/>
      <w:bookmarkEnd w:id="1080"/>
      <w:r>
        <w:rPr>
          <w:snapToGrid w:val="0"/>
        </w:rPr>
        <w:t xml:space="preserve"> </w:t>
      </w:r>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in Gazette 30 Dec 2008 p. 5647.]</w:t>
      </w:r>
    </w:p>
    <w:p>
      <w:pPr>
        <w:pStyle w:val="Heading5"/>
        <w:rPr>
          <w:snapToGrid w:val="0"/>
        </w:rPr>
      </w:pPr>
      <w:bookmarkStart w:id="1081" w:name="_Toc500034808"/>
      <w:bookmarkStart w:id="1082" w:name="_Toc515769606"/>
      <w:bookmarkStart w:id="1083" w:name="_Toc522083287"/>
      <w:bookmarkStart w:id="1084" w:name="_Toc123623048"/>
      <w:bookmarkStart w:id="1085" w:name="_Toc166925701"/>
      <w:bookmarkStart w:id="1086" w:name="_Toc256088360"/>
      <w:bookmarkStart w:id="1087" w:name="_Toc218399586"/>
      <w:r>
        <w:rPr>
          <w:rStyle w:val="CharSectno"/>
        </w:rPr>
        <w:t>1502</w:t>
      </w:r>
      <w:r>
        <w:rPr>
          <w:snapToGrid w:val="0"/>
        </w:rPr>
        <w:t>.</w:t>
      </w:r>
      <w:r>
        <w:rPr>
          <w:snapToGrid w:val="0"/>
        </w:rPr>
        <w:tab/>
        <w:t>Maintenance of quarters</w:t>
      </w:r>
      <w:bookmarkEnd w:id="1081"/>
      <w:bookmarkEnd w:id="1082"/>
      <w:bookmarkEnd w:id="1083"/>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A member or cadet who occupies quarters provided by the State shall —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or cadet occupying quarters is responsible for the cost of maintaining any chimneys in those quarters in a clean condition.</w:t>
      </w:r>
    </w:p>
    <w:p>
      <w:pPr>
        <w:pStyle w:val="Footnotesection"/>
      </w:pPr>
      <w:r>
        <w:tab/>
        <w:t>[Regulation 1502 amended in Gazette 30 Dec 2008 p. 5647.]</w:t>
      </w:r>
    </w:p>
    <w:p>
      <w:pPr>
        <w:pStyle w:val="Heading5"/>
        <w:rPr>
          <w:snapToGrid w:val="0"/>
        </w:rPr>
      </w:pPr>
      <w:bookmarkStart w:id="1088" w:name="_Toc500034809"/>
      <w:bookmarkStart w:id="1089" w:name="_Toc515769607"/>
      <w:bookmarkStart w:id="1090" w:name="_Toc522083288"/>
      <w:bookmarkStart w:id="1091" w:name="_Toc123623049"/>
      <w:bookmarkStart w:id="1092" w:name="_Toc166925702"/>
      <w:bookmarkStart w:id="1093" w:name="_Toc256088361"/>
      <w:bookmarkStart w:id="1094" w:name="_Toc218399587"/>
      <w:r>
        <w:rPr>
          <w:rStyle w:val="CharSectno"/>
        </w:rPr>
        <w:t>1503</w:t>
      </w:r>
      <w:r>
        <w:rPr>
          <w:snapToGrid w:val="0"/>
        </w:rPr>
        <w:t>.</w:t>
      </w:r>
      <w:r>
        <w:rPr>
          <w:snapToGrid w:val="0"/>
        </w:rPr>
        <w:tab/>
        <w:t>Expenditure not to be incurred without authority of Commissioner</w:t>
      </w:r>
      <w:bookmarkEnd w:id="1088"/>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A member or cadet who occupies quarters shall not incur any expenditure on those quarters whether on his own behalf or on behalf of the Commissioner without the authority of the Commissioner.</w:t>
      </w:r>
    </w:p>
    <w:p>
      <w:pPr>
        <w:pStyle w:val="Subsection"/>
        <w:rPr>
          <w:snapToGrid w:val="0"/>
        </w:rPr>
      </w:pPr>
      <w:r>
        <w:rPr>
          <w:snapToGrid w:val="0"/>
        </w:rPr>
        <w:tab/>
        <w:t>(2)</w:t>
      </w:r>
      <w:r>
        <w:rPr>
          <w:snapToGrid w:val="0"/>
        </w:rPr>
        <w:tab/>
        <w:t>A member or cadet shall not construct or alter any building or structure on quarters occupied by him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or cadet the cost thereof shall be borne by the member or cadet concerned but the property in the construction or alteration as the case may be, belongs to the State.</w:t>
      </w:r>
    </w:p>
    <w:p>
      <w:pPr>
        <w:pStyle w:val="Heading5"/>
        <w:rPr>
          <w:snapToGrid w:val="0"/>
        </w:rPr>
      </w:pPr>
      <w:bookmarkStart w:id="1095" w:name="_Toc500034810"/>
      <w:bookmarkStart w:id="1096" w:name="_Toc515769608"/>
      <w:bookmarkStart w:id="1097" w:name="_Toc522083289"/>
      <w:bookmarkStart w:id="1098" w:name="_Toc123623050"/>
      <w:bookmarkStart w:id="1099" w:name="_Toc166925703"/>
      <w:bookmarkStart w:id="1100" w:name="_Toc256088362"/>
      <w:bookmarkStart w:id="1101" w:name="_Toc218399588"/>
      <w:r>
        <w:rPr>
          <w:rStyle w:val="CharSectno"/>
        </w:rPr>
        <w:t>1504</w:t>
      </w:r>
      <w:r>
        <w:rPr>
          <w:snapToGrid w:val="0"/>
        </w:rPr>
        <w:t>.</w:t>
      </w:r>
      <w:r>
        <w:rPr>
          <w:snapToGrid w:val="0"/>
        </w:rPr>
        <w:tab/>
        <w:t>Inspection of quarters</w:t>
      </w:r>
      <w:bookmarkEnd w:id="1095"/>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Any member authorised by the Commissioner in that behalf may after giving a member or cadet who occupies quarters reasonable notice enter the quarters occupied by the member or cadet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or cadet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or cadet who has been served with a notice pursuant to subregulation (2) refuses to comply with the direction the Commissioner may direct —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or cadet, </w:t>
      </w:r>
      <w:r>
        <w:t>the member’s or cadet’s spouse or de facto partner</w:t>
      </w:r>
      <w:r>
        <w:rPr>
          <w:snapToGrid w:val="0"/>
        </w:rPr>
        <w:t>, children and other dependants vacate those quarters.</w:t>
      </w:r>
    </w:p>
    <w:p>
      <w:pPr>
        <w:pStyle w:val="Footnotesection"/>
      </w:pPr>
      <w:r>
        <w:tab/>
        <w:t>[Regulation 1504 amended in Gazette 30 Jun 2003 p. 2624.]</w:t>
      </w:r>
    </w:p>
    <w:p>
      <w:pPr>
        <w:pStyle w:val="Heading5"/>
        <w:rPr>
          <w:snapToGrid w:val="0"/>
        </w:rPr>
      </w:pPr>
      <w:bookmarkStart w:id="1102" w:name="_Toc500034811"/>
      <w:bookmarkStart w:id="1103" w:name="_Toc515769609"/>
      <w:bookmarkStart w:id="1104" w:name="_Toc522083290"/>
      <w:bookmarkStart w:id="1105" w:name="_Toc123623051"/>
      <w:bookmarkStart w:id="1106" w:name="_Toc166925704"/>
      <w:bookmarkStart w:id="1107" w:name="_Toc256088363"/>
      <w:bookmarkStart w:id="1108" w:name="_Toc218399589"/>
      <w:r>
        <w:rPr>
          <w:rStyle w:val="CharSectno"/>
        </w:rPr>
        <w:t>1505</w:t>
      </w:r>
      <w:r>
        <w:rPr>
          <w:snapToGrid w:val="0"/>
        </w:rPr>
        <w:t>.</w:t>
      </w:r>
      <w:r>
        <w:rPr>
          <w:snapToGrid w:val="0"/>
        </w:rPr>
        <w:tab/>
        <w:t>Occupation and vacation of premises</w:t>
      </w:r>
      <w:bookmarkEnd w:id="1102"/>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Except with the prior written permission of the Commissioner a member or cadet who occupies quarters provided by the State shall not allow any person other than the member’s, or cadet’s</w:t>
      </w:r>
      <w:r>
        <w:t xml:space="preserve">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or cadet occupying quarters provided by the State ceases to hold office, the quarters shall be vacated by the member, or cadet, </w:t>
      </w:r>
      <w:r>
        <w:t>the member’s or cadet’s spouse or de facto partner</w:t>
      </w:r>
      <w:r>
        <w:rPr>
          <w:snapToGrid w:val="0"/>
        </w:rPr>
        <w:t>, children and other dependants, upon ceasing to hold such office.</w:t>
      </w:r>
    </w:p>
    <w:p>
      <w:pPr>
        <w:pStyle w:val="Footnotesection"/>
      </w:pPr>
      <w:r>
        <w:tab/>
        <w:t>[Regulation 1505 amended in Gazette 30 Jun 2003 p. 2624.]</w:t>
      </w:r>
    </w:p>
    <w:p>
      <w:pPr>
        <w:pStyle w:val="Heading5"/>
        <w:rPr>
          <w:snapToGrid w:val="0"/>
        </w:rPr>
      </w:pPr>
      <w:bookmarkStart w:id="1109" w:name="_Toc500034812"/>
      <w:bookmarkStart w:id="1110" w:name="_Toc515769610"/>
      <w:bookmarkStart w:id="1111" w:name="_Toc522083291"/>
      <w:bookmarkStart w:id="1112" w:name="_Toc123623052"/>
      <w:bookmarkStart w:id="1113" w:name="_Toc166925705"/>
      <w:bookmarkStart w:id="1114" w:name="_Toc256088364"/>
      <w:bookmarkStart w:id="1115" w:name="_Toc218399590"/>
      <w:r>
        <w:rPr>
          <w:rStyle w:val="CharSectno"/>
        </w:rPr>
        <w:t>1506</w:t>
      </w:r>
      <w:r>
        <w:rPr>
          <w:snapToGrid w:val="0"/>
        </w:rPr>
        <w:t>.</w:t>
      </w:r>
      <w:r>
        <w:rPr>
          <w:snapToGrid w:val="0"/>
        </w:rPr>
        <w:tab/>
        <w:t>Notice of occupation and vacating to be given</w:t>
      </w:r>
      <w:bookmarkEnd w:id="1109"/>
      <w:bookmarkEnd w:id="1110"/>
      <w:bookmarkEnd w:id="1111"/>
      <w:bookmarkEnd w:id="1112"/>
      <w:bookmarkEnd w:id="1113"/>
      <w:bookmarkEnd w:id="1114"/>
      <w:bookmarkEnd w:id="1115"/>
      <w:r>
        <w:rPr>
          <w:snapToGrid w:val="0"/>
        </w:rPr>
        <w:t xml:space="preserve"> </w:t>
      </w:r>
    </w:p>
    <w:p>
      <w:pPr>
        <w:pStyle w:val="Subsection"/>
        <w:rPr>
          <w:snapToGrid w:val="0"/>
        </w:rPr>
      </w:pPr>
      <w:r>
        <w:rPr>
          <w:snapToGrid w:val="0"/>
        </w:rPr>
        <w:tab/>
      </w:r>
      <w:r>
        <w:rPr>
          <w:snapToGrid w:val="0"/>
        </w:rPr>
        <w:tab/>
        <w:t xml:space="preserve">A member or cadet who is allocated quarters provided under the </w:t>
      </w:r>
      <w:r>
        <w:rPr>
          <w:i/>
          <w:snapToGrid w:val="0"/>
        </w:rPr>
        <w:t>Government Employees’ Housing Act 1964</w:t>
      </w:r>
      <w:r>
        <w:rPr>
          <w:snapToGrid w:val="0"/>
        </w:rPr>
        <w:t>, shall notify the Commissioner as soon as practicable of the date that he first occupies those quarters and when he vacates the quarters of the date that he vacates them.</w:t>
      </w:r>
    </w:p>
    <w:p>
      <w:pPr>
        <w:pStyle w:val="Heading2"/>
      </w:pPr>
      <w:bookmarkStart w:id="1116" w:name="_Toc90976589"/>
      <w:bookmarkStart w:id="1117" w:name="_Toc91044821"/>
      <w:bookmarkStart w:id="1118" w:name="_Toc91045001"/>
      <w:bookmarkStart w:id="1119" w:name="_Toc123621510"/>
      <w:bookmarkStart w:id="1120" w:name="_Toc123623053"/>
      <w:bookmarkStart w:id="1121" w:name="_Toc153957427"/>
      <w:bookmarkStart w:id="1122" w:name="_Toc153958760"/>
      <w:bookmarkStart w:id="1123" w:name="_Toc154478830"/>
      <w:bookmarkStart w:id="1124" w:name="_Toc161039494"/>
      <w:bookmarkStart w:id="1125" w:name="_Toc161039635"/>
      <w:bookmarkStart w:id="1126" w:name="_Toc161130388"/>
      <w:bookmarkStart w:id="1127" w:name="_Toc163021147"/>
      <w:bookmarkStart w:id="1128" w:name="_Toc164760118"/>
      <w:bookmarkStart w:id="1129" w:name="_Toc166925706"/>
      <w:bookmarkStart w:id="1130" w:name="_Toc182897035"/>
      <w:bookmarkStart w:id="1131" w:name="_Toc182897797"/>
      <w:bookmarkStart w:id="1132" w:name="_Toc182901951"/>
      <w:bookmarkStart w:id="1133" w:name="_Toc198028343"/>
      <w:bookmarkStart w:id="1134" w:name="_Toc218399591"/>
      <w:bookmarkStart w:id="1135" w:name="_Toc256088365"/>
      <w:r>
        <w:rPr>
          <w:rStyle w:val="CharPartNo"/>
        </w:rPr>
        <w:t>Part XVI</w:t>
      </w:r>
      <w:r>
        <w:rPr>
          <w:rStyle w:val="CharDivNo"/>
        </w:rPr>
        <w:t> </w:t>
      </w:r>
      <w:r>
        <w:t>—</w:t>
      </w:r>
      <w:r>
        <w:rPr>
          <w:rStyle w:val="CharDivText"/>
        </w:rPr>
        <w:t> </w:t>
      </w:r>
      <w:r>
        <w:rPr>
          <w:rStyle w:val="CharPartText"/>
        </w:rPr>
        <w:t>General</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rPr>
          <w:rStyle w:val="CharPartText"/>
        </w:rPr>
        <w:t xml:space="preserve"> </w:t>
      </w:r>
    </w:p>
    <w:p>
      <w:pPr>
        <w:pStyle w:val="Heading5"/>
        <w:rPr>
          <w:snapToGrid w:val="0"/>
        </w:rPr>
      </w:pPr>
      <w:bookmarkStart w:id="1136" w:name="_Toc500034813"/>
      <w:bookmarkStart w:id="1137" w:name="_Toc515769611"/>
      <w:bookmarkStart w:id="1138" w:name="_Toc522083292"/>
      <w:bookmarkStart w:id="1139" w:name="_Toc123623054"/>
      <w:bookmarkStart w:id="1140" w:name="_Toc166925707"/>
      <w:bookmarkStart w:id="1141" w:name="_Toc256088366"/>
      <w:bookmarkStart w:id="1142" w:name="_Toc218399592"/>
      <w:r>
        <w:rPr>
          <w:rStyle w:val="CharSectno"/>
        </w:rPr>
        <w:t>1601</w:t>
      </w:r>
      <w:r>
        <w:rPr>
          <w:snapToGrid w:val="0"/>
        </w:rPr>
        <w:t>.</w:t>
      </w:r>
      <w:r>
        <w:rPr>
          <w:snapToGrid w:val="0"/>
        </w:rPr>
        <w:tab/>
        <w:t>Offences generally</w:t>
      </w:r>
      <w:bookmarkEnd w:id="1136"/>
      <w:bookmarkEnd w:id="1137"/>
      <w:bookmarkEnd w:id="1138"/>
      <w:bookmarkEnd w:id="1139"/>
      <w:bookmarkEnd w:id="1140"/>
      <w:bookmarkEnd w:id="1141"/>
      <w:bookmarkEnd w:id="1142"/>
      <w:r>
        <w:rPr>
          <w:snapToGrid w:val="0"/>
        </w:rPr>
        <w:t xml:space="preserve"> </w:t>
      </w:r>
    </w:p>
    <w:p>
      <w:pPr>
        <w:pStyle w:val="Subsection"/>
        <w:rPr>
          <w:snapToGrid w:val="0"/>
        </w:rPr>
      </w:pPr>
      <w:r>
        <w:rPr>
          <w:snapToGrid w:val="0"/>
        </w:rPr>
        <w:tab/>
      </w:r>
      <w:r>
        <w:rPr>
          <w:snapToGrid w:val="0"/>
        </w:rPr>
        <w:tab/>
        <w:t>A member or cadet who fails to comply with or who contravenes any of the provisions of these regulations commits an offence against the discipline of the Force.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143" w:name="_Toc153957430"/>
      <w:bookmarkStart w:id="1144" w:name="_Toc153958762"/>
      <w:bookmarkStart w:id="1145" w:name="_Toc154478832"/>
      <w:bookmarkStart w:id="1146" w:name="_Toc161039496"/>
      <w:bookmarkStart w:id="1147" w:name="_Toc161039637"/>
      <w:bookmarkStart w:id="1148" w:name="_Toc161130390"/>
      <w:bookmarkStart w:id="1149" w:name="_Toc163021149"/>
      <w:bookmarkStart w:id="1150" w:name="_Toc164760120"/>
      <w:bookmarkStart w:id="1151" w:name="_Toc166925708"/>
      <w:bookmarkStart w:id="1152" w:name="_Toc182897037"/>
      <w:bookmarkStart w:id="1153" w:name="_Toc182897799"/>
      <w:bookmarkStart w:id="1154" w:name="_Toc182901953"/>
      <w:bookmarkStart w:id="1155" w:name="_Toc198028345"/>
      <w:bookmarkStart w:id="1156" w:name="_Toc218399593"/>
      <w:bookmarkStart w:id="1157" w:name="_Toc256088367"/>
      <w:bookmarkStart w:id="1158" w:name="_Toc522083294"/>
      <w:bookmarkStart w:id="1159" w:name="_Toc123621513"/>
      <w:bookmarkStart w:id="1160" w:name="_Toc123623056"/>
      <w:r>
        <w:rPr>
          <w:rStyle w:val="CharSchNo"/>
          <w:rFonts w:eastAsia="MS Mincho"/>
        </w:rPr>
        <w:t>First Schedule</w:t>
      </w:r>
      <w:r>
        <w:rPr>
          <w:rFonts w:eastAsia="MS Mincho"/>
        </w:rPr>
        <w:t> — </w:t>
      </w:r>
      <w:r>
        <w:rPr>
          <w:rStyle w:val="CharSchText"/>
          <w:rFonts w:eastAsia="MS Mincho"/>
        </w:rPr>
        <w:t>Disciplinary charge sheet</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yShoulderClause"/>
        <w:spacing w:after="60"/>
        <w:rPr>
          <w:rFonts w:eastAsia="MS Mincho"/>
        </w:rPr>
      </w:pPr>
      <w:r>
        <w:rPr>
          <w:rFonts w:eastAsia="MS Mincho"/>
        </w:rPr>
        <w:t>[r. 625]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6"/>
        <w:gridCol w:w="2642"/>
        <w:gridCol w:w="851"/>
        <w:gridCol w:w="2035"/>
      </w:tblGrid>
      <w:tr>
        <w:trPr>
          <w:cantSplit/>
        </w:trPr>
        <w:tc>
          <w:tcPr>
            <w:tcW w:w="6804"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Police Force of Western Australia</w:t>
            </w:r>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3918"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886"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035" w:type="dxa"/>
            <w:tcBorders>
              <w:right w:val="single" w:sz="4" w:space="0" w:color="auto"/>
            </w:tcBorders>
          </w:tcPr>
          <w:p>
            <w:pPr>
              <w:pStyle w:val="yTable"/>
              <w:rPr>
                <w:rFonts w:ascii="Arial" w:eastAsia="MS Mincho" w:hAnsi="Arial" w:cs="Arial"/>
                <w:sz w:val="20"/>
              </w:rPr>
            </w:pPr>
            <w:r>
              <w:rPr>
                <w:rFonts w:ascii="Arial" w:eastAsia="MS Mincho" w:hAnsi="Arial" w:cs="Arial"/>
                <w:sz w:val="20"/>
              </w:rPr>
              <w:t>No. 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5528"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528"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528"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w:t>
            </w:r>
            <w:r>
              <w:rPr>
                <w:rFonts w:ascii="Arial" w:eastAsia="MS Mincho" w:hAnsi="Arial" w:cs="Arial"/>
              </w:rPr>
              <w:t>_</w:t>
            </w:r>
            <w:r>
              <w:rPr>
                <w:rFonts w:ascii="Arial" w:eastAsia="MS Mincho" w:hAnsi="Arial" w:cs="Arial"/>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69"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w:t>
            </w:r>
          </w:p>
        </w:tc>
        <w:tc>
          <w:tcPr>
            <w:tcW w:w="2035" w:type="dxa"/>
            <w:tcBorders>
              <w:right w:val="single" w:sz="4" w:space="0" w:color="auto"/>
            </w:tcBorders>
          </w:tcPr>
          <w:p>
            <w:pPr>
              <w:pStyle w:val="yTable"/>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 xml:space="preserve">[First Schedule inserted in Gazette 15 Dec 2006 p. 5635.] </w:t>
      </w:r>
    </w:p>
    <w:p>
      <w:pPr>
        <w:pStyle w:val="yEdnoteschedule"/>
      </w:pPr>
      <w:bookmarkStart w:id="1161" w:name="_Toc522083295"/>
      <w:bookmarkStart w:id="1162" w:name="_Toc123621514"/>
      <w:bookmarkStart w:id="1163" w:name="_Toc123623057"/>
      <w:bookmarkStart w:id="1164" w:name="_Toc153957432"/>
      <w:bookmarkStart w:id="1165" w:name="_Toc153958764"/>
      <w:bookmarkStart w:id="1166" w:name="_Toc154478834"/>
      <w:bookmarkEnd w:id="1158"/>
      <w:bookmarkEnd w:id="1159"/>
      <w:bookmarkEnd w:id="1160"/>
      <w:r>
        <w:t>[Second Schedule deleted in Gazette 2 Feb 2007 p. 251.]</w:t>
      </w:r>
    </w:p>
    <w:p>
      <w:pPr>
        <w:pStyle w:val="yScheduleHeading"/>
      </w:pPr>
      <w:bookmarkStart w:id="1167" w:name="_Toc161039497"/>
      <w:bookmarkStart w:id="1168" w:name="_Toc161039638"/>
      <w:bookmarkStart w:id="1169" w:name="_Toc161130391"/>
      <w:bookmarkStart w:id="1170" w:name="_Toc163021150"/>
      <w:bookmarkStart w:id="1171" w:name="_Toc164760121"/>
      <w:bookmarkStart w:id="1172" w:name="_Toc166925709"/>
      <w:bookmarkStart w:id="1173" w:name="_Toc182897038"/>
      <w:bookmarkStart w:id="1174" w:name="_Toc182897800"/>
      <w:bookmarkStart w:id="1175" w:name="_Toc182901954"/>
      <w:bookmarkStart w:id="1176" w:name="_Toc198028346"/>
      <w:bookmarkStart w:id="1177" w:name="_Toc218399594"/>
      <w:bookmarkStart w:id="1178" w:name="_Toc256088368"/>
      <w:r>
        <w:rPr>
          <w:rStyle w:val="CharSchNo"/>
        </w:rPr>
        <w:t>Third Schedule</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yTable"/>
        <w:jc w:val="center"/>
        <w:rPr>
          <w:b/>
          <w:snapToGrid w:val="0"/>
        </w:rPr>
      </w:pPr>
      <w:r>
        <w:rPr>
          <w:b/>
          <w:snapToGrid w:val="0"/>
        </w:rPr>
        <w:t>FORM 1</w:t>
      </w:r>
    </w:p>
    <w:p>
      <w:pPr>
        <w:pStyle w:val="yTable"/>
        <w:jc w:val="right"/>
        <w:rPr>
          <w:snapToGrid w:val="0"/>
        </w:rPr>
      </w:pPr>
      <w:r>
        <w:rPr>
          <w:snapToGrid w:val="0"/>
        </w:rPr>
        <w:t>[reg. 501]</w:t>
      </w:r>
    </w:p>
    <w:p>
      <w:pPr>
        <w:pStyle w:val="yTable"/>
        <w:rPr>
          <w:snapToGrid w:val="0"/>
        </w:rPr>
      </w:pPr>
      <w:r>
        <w:rPr>
          <w:snapToGrid w:val="0"/>
        </w:rPr>
        <w:t>TO the Commissioner of Police</w:t>
      </w:r>
    </w:p>
    <w:p>
      <w:pPr>
        <w:pStyle w:val="yTable"/>
        <w:rPr>
          <w:snapToGrid w:val="0"/>
        </w:rPr>
      </w:pPr>
      <w:r>
        <w:rPr>
          <w:snapToGrid w:val="0"/>
        </w:rPr>
        <w:t>I am of the opinion that ..........................................................................................</w:t>
      </w:r>
    </w:p>
    <w:p>
      <w:pPr>
        <w:pStyle w:val="yTable"/>
        <w:spacing w:before="0"/>
        <w:ind w:left="2040"/>
        <w:jc w:val="center"/>
        <w:rPr>
          <w:snapToGrid w:val="0"/>
        </w:rPr>
      </w:pPr>
      <w:r>
        <w:rPr>
          <w:snapToGrid w:val="0"/>
        </w:rPr>
        <w:t>Name and address</w:t>
      </w:r>
    </w:p>
    <w:p>
      <w:pPr>
        <w:pStyle w:val="yTable"/>
        <w:rPr>
          <w:snapToGrid w:val="0"/>
        </w:rPr>
      </w:pPr>
      <w:r>
        <w:rPr>
          <w:snapToGrid w:val="0"/>
        </w:rPr>
        <w:t>is physically capable, (given sufficient time for recovery and an intelligent application of the test) of undertaking a physical performance evaluation that simulates job related activities involving running, climbing, jumping, operating a mechanical “strength test simulator”, dragging a 75 kilogram dummy over a reasonable distance and swimming and treading water.</w:t>
      </w:r>
    </w:p>
    <w:p>
      <w:pPr>
        <w:pStyle w:val="yTable"/>
        <w:rPr>
          <w:snapToGrid w:val="0"/>
        </w:rPr>
      </w:pPr>
      <w:r>
        <w:rPr>
          <w:snapToGrid w:val="0"/>
        </w:rPr>
        <w:t>________________________________</w:t>
      </w:r>
    </w:p>
    <w:p>
      <w:pPr>
        <w:pStyle w:val="yTable"/>
        <w:rPr>
          <w:snapToGrid w:val="0"/>
        </w:rPr>
      </w:pPr>
      <w:r>
        <w:rPr>
          <w:snapToGrid w:val="0"/>
        </w:rPr>
        <w:t>Name</w:t>
      </w:r>
    </w:p>
    <w:p>
      <w:pPr>
        <w:pStyle w:val="yTable"/>
        <w:rPr>
          <w:snapToGrid w:val="0"/>
        </w:rPr>
      </w:pPr>
      <w:r>
        <w:rPr>
          <w:snapToGrid w:val="0"/>
        </w:rPr>
        <w:t>Medical Practitioner</w:t>
      </w:r>
    </w:p>
    <w:p>
      <w:pPr>
        <w:pStyle w:val="yFootnotesection"/>
      </w:pPr>
      <w:r>
        <w:tab/>
        <w:t xml:space="preserve">[Third Schedule inserted in Gazette 22 Jan 1988 p. 128.] </w:t>
      </w:r>
    </w:p>
    <w:p>
      <w:pPr>
        <w:pStyle w:val="yEdnoteschedule"/>
      </w:pPr>
      <w:r>
        <w:t xml:space="preserve">[Fourth Schedule deleted in Gazette 15 Dec 2006 p. 5636.] </w:t>
      </w:r>
    </w:p>
    <w:p>
      <w:pPr>
        <w:pStyle w:val="yEdnoteschedule"/>
      </w:pPr>
      <w:r>
        <w:t>[Fifth Schedule deleted in Gazette 17 Mar 1995 p. 1055.]</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179" w:name="_Toc90976595"/>
      <w:bookmarkStart w:id="1180" w:name="_Toc91044827"/>
      <w:bookmarkStart w:id="1181" w:name="_Toc91045007"/>
      <w:bookmarkStart w:id="1182" w:name="_Toc123621516"/>
      <w:bookmarkStart w:id="1183" w:name="_Toc123623059"/>
      <w:bookmarkStart w:id="1184" w:name="_Toc153957434"/>
      <w:bookmarkStart w:id="1185" w:name="_Toc153958765"/>
      <w:bookmarkStart w:id="1186" w:name="_Toc154478835"/>
      <w:bookmarkStart w:id="1187" w:name="_Toc161039498"/>
      <w:bookmarkStart w:id="1188" w:name="_Toc161039639"/>
      <w:bookmarkStart w:id="1189" w:name="_Toc161130392"/>
      <w:bookmarkStart w:id="1190" w:name="_Toc163021151"/>
      <w:bookmarkStart w:id="1191" w:name="_Toc164760122"/>
      <w:bookmarkStart w:id="1192" w:name="_Toc166925710"/>
      <w:bookmarkStart w:id="1193" w:name="_Toc182897039"/>
      <w:bookmarkStart w:id="1194" w:name="_Toc182897801"/>
      <w:bookmarkStart w:id="1195" w:name="_Toc182901955"/>
      <w:bookmarkStart w:id="1196" w:name="_Toc198028347"/>
      <w:bookmarkStart w:id="1197" w:name="_Toc218399595"/>
      <w:bookmarkStart w:id="1198" w:name="_Toc256088369"/>
      <w:r>
        <w:t>Notes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nSubsection"/>
        <w:rPr>
          <w:snapToGrid w:val="0"/>
        </w:rPr>
      </w:pPr>
      <w:r>
        <w:rPr>
          <w:snapToGrid w:val="0"/>
          <w:vertAlign w:val="superscript"/>
        </w:rPr>
        <w:t>1</w:t>
      </w:r>
      <w:r>
        <w:rPr>
          <w:snapToGrid w:val="0"/>
        </w:rPr>
        <w:tab/>
        <w:t xml:space="preserve">This is a compilation of the </w:t>
      </w:r>
      <w:r>
        <w:rPr>
          <w:i/>
          <w:noProof/>
          <w:snapToGrid w:val="0"/>
        </w:rPr>
        <w:t>Police Force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99" w:name="_Toc166925711"/>
      <w:bookmarkStart w:id="1200" w:name="_Toc256088370"/>
      <w:bookmarkStart w:id="1201" w:name="_Toc218399596"/>
      <w:r>
        <w:rPr>
          <w:snapToGrid w:val="0"/>
        </w:rPr>
        <w:t>Compilation table</w:t>
      </w:r>
      <w:bookmarkEnd w:id="1199"/>
      <w:bookmarkEnd w:id="1200"/>
      <w:bookmarkEnd w:id="120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vertAlign w:val="superscript"/>
              </w:rPr>
            </w:pPr>
            <w:r>
              <w:rPr>
                <w:i/>
                <w:sz w:val="19"/>
              </w:rPr>
              <w:t xml:space="preserve">Police Regulations 1979 </w:t>
            </w:r>
            <w:r>
              <w:rPr>
                <w:sz w:val="19"/>
                <w:vertAlign w:val="superscript"/>
              </w:rPr>
              <w:t>5</w:t>
            </w:r>
          </w:p>
        </w:tc>
        <w:tc>
          <w:tcPr>
            <w:tcW w:w="1276" w:type="dxa"/>
          </w:tcPr>
          <w:p>
            <w:pPr>
              <w:pStyle w:val="nTable"/>
              <w:spacing w:after="40"/>
              <w:rPr>
                <w:sz w:val="19"/>
              </w:rPr>
            </w:pPr>
            <w:r>
              <w:rPr>
                <w:sz w:val="19"/>
              </w:rPr>
              <w:t>20 Dec 1978 p. 4731</w:t>
            </w:r>
            <w:r>
              <w:rPr>
                <w:sz w:val="19"/>
              </w:rPr>
              <w:noBreakHyphen/>
              <w:t>62</w:t>
            </w:r>
          </w:p>
        </w:tc>
        <w:tc>
          <w:tcPr>
            <w:tcW w:w="2693" w:type="dxa"/>
          </w:tcPr>
          <w:p>
            <w:pPr>
              <w:pStyle w:val="nTable"/>
              <w:tabs>
                <w:tab w:val="left" w:pos="-28"/>
                <w:tab w:val="left" w:pos="0"/>
              </w:tabs>
              <w:spacing w:after="40"/>
              <w:rPr>
                <w:sz w:val="19"/>
              </w:rPr>
            </w:pPr>
            <w:r>
              <w:rPr>
                <w:sz w:val="19"/>
              </w:rPr>
              <w:t>1 Jan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425</w:t>
            </w:r>
          </w:p>
        </w:tc>
        <w:tc>
          <w:tcPr>
            <w:tcW w:w="2693" w:type="dxa"/>
          </w:tcPr>
          <w:p>
            <w:pPr>
              <w:pStyle w:val="nTable"/>
              <w:spacing w:after="40"/>
              <w:rPr>
                <w:sz w:val="19"/>
              </w:rPr>
            </w:pPr>
            <w:r>
              <w:rPr>
                <w:sz w:val="19"/>
              </w:rPr>
              <w:t>16 Feb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1979 p. 2716</w:t>
            </w:r>
            <w:r>
              <w:rPr>
                <w:sz w:val="19"/>
              </w:rPr>
              <w:noBreakHyphen/>
              <w:t>19</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3033</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ind w:right="113"/>
              <w:rPr>
                <w:i/>
                <w:sz w:val="19"/>
              </w:rPr>
            </w:pPr>
            <w:r>
              <w:rPr>
                <w:i/>
                <w:sz w:val="19"/>
              </w:rPr>
              <w:t>Police Amendment Regulations 1981</w:t>
            </w:r>
          </w:p>
        </w:tc>
        <w:tc>
          <w:tcPr>
            <w:tcW w:w="1276" w:type="dxa"/>
          </w:tcPr>
          <w:p>
            <w:pPr>
              <w:pStyle w:val="nTable"/>
              <w:spacing w:after="40"/>
              <w:rPr>
                <w:sz w:val="19"/>
              </w:rPr>
            </w:pPr>
            <w:r>
              <w:rPr>
                <w:sz w:val="19"/>
              </w:rPr>
              <w:t>31 Jul 1981 p. 3158</w:t>
            </w:r>
          </w:p>
        </w:tc>
        <w:tc>
          <w:tcPr>
            <w:tcW w:w="2693" w:type="dxa"/>
          </w:tcPr>
          <w:p>
            <w:pPr>
              <w:pStyle w:val="nTable"/>
              <w:spacing w:after="40"/>
              <w:rPr>
                <w:sz w:val="19"/>
              </w:rPr>
            </w:pPr>
            <w:r>
              <w:rPr>
                <w:sz w:val="19"/>
              </w:rPr>
              <w:t>31 Jul 1981</w:t>
            </w:r>
          </w:p>
        </w:tc>
      </w:tr>
      <w:tr>
        <w:trPr>
          <w:cantSplit/>
        </w:trPr>
        <w:tc>
          <w:tcPr>
            <w:tcW w:w="3118" w:type="dxa"/>
          </w:tcPr>
          <w:p>
            <w:pPr>
              <w:pStyle w:val="nTable"/>
              <w:spacing w:after="40"/>
              <w:ind w:right="113"/>
              <w:rPr>
                <w:sz w:val="19"/>
              </w:rPr>
            </w:pPr>
            <w:r>
              <w:rPr>
                <w:i/>
                <w:sz w:val="19"/>
              </w:rPr>
              <w:t>Police Amendment Regulations (No. 2) 1981</w:t>
            </w:r>
          </w:p>
        </w:tc>
        <w:tc>
          <w:tcPr>
            <w:tcW w:w="1276" w:type="dxa"/>
          </w:tcPr>
          <w:p>
            <w:pPr>
              <w:pStyle w:val="nTable"/>
              <w:spacing w:after="40"/>
              <w:rPr>
                <w:sz w:val="19"/>
              </w:rPr>
            </w:pPr>
            <w:r>
              <w:rPr>
                <w:sz w:val="19"/>
              </w:rPr>
              <w:t>15 Jan 1982 p. 55</w:t>
            </w:r>
            <w:r>
              <w:rPr>
                <w:sz w:val="19"/>
              </w:rPr>
              <w:noBreakHyphen/>
              <w:t>6</w:t>
            </w:r>
          </w:p>
        </w:tc>
        <w:tc>
          <w:tcPr>
            <w:tcW w:w="2693" w:type="dxa"/>
          </w:tcPr>
          <w:p>
            <w:pPr>
              <w:pStyle w:val="nTable"/>
              <w:spacing w:after="40"/>
              <w:rPr>
                <w:sz w:val="19"/>
              </w:rPr>
            </w:pPr>
            <w:r>
              <w:rPr>
                <w:sz w:val="19"/>
              </w:rPr>
              <w:t>15 Jan 1982</w:t>
            </w:r>
          </w:p>
        </w:tc>
      </w:tr>
      <w:tr>
        <w:trPr>
          <w:cantSplit/>
        </w:trPr>
        <w:tc>
          <w:tcPr>
            <w:tcW w:w="3118" w:type="dxa"/>
          </w:tcPr>
          <w:p>
            <w:pPr>
              <w:pStyle w:val="nTable"/>
              <w:spacing w:after="40"/>
              <w:ind w:right="113"/>
              <w:rPr>
                <w:sz w:val="19"/>
              </w:rPr>
            </w:pPr>
            <w:r>
              <w:rPr>
                <w:i/>
                <w:sz w:val="19"/>
              </w:rPr>
              <w:t>Police Amendment Regulations 1983</w:t>
            </w:r>
          </w:p>
        </w:tc>
        <w:tc>
          <w:tcPr>
            <w:tcW w:w="1276" w:type="dxa"/>
          </w:tcPr>
          <w:p>
            <w:pPr>
              <w:pStyle w:val="nTable"/>
              <w:spacing w:after="40"/>
              <w:rPr>
                <w:sz w:val="19"/>
              </w:rPr>
            </w:pPr>
            <w:r>
              <w:rPr>
                <w:sz w:val="19"/>
              </w:rPr>
              <w:t>29 Apr 1983 p. 1299</w:t>
            </w:r>
          </w:p>
        </w:tc>
        <w:tc>
          <w:tcPr>
            <w:tcW w:w="2693" w:type="dxa"/>
          </w:tcPr>
          <w:p>
            <w:pPr>
              <w:pStyle w:val="nTable"/>
              <w:spacing w:after="40"/>
              <w:rPr>
                <w:sz w:val="19"/>
              </w:rPr>
            </w:pPr>
            <w:r>
              <w:rPr>
                <w:sz w:val="19"/>
              </w:rPr>
              <w:t>29 Apr 1983</w:t>
            </w:r>
          </w:p>
        </w:tc>
      </w:tr>
      <w:tr>
        <w:trPr>
          <w:cantSplit/>
        </w:trPr>
        <w:tc>
          <w:tcPr>
            <w:tcW w:w="3118" w:type="dxa"/>
          </w:tcPr>
          <w:p>
            <w:pPr>
              <w:pStyle w:val="nTable"/>
              <w:spacing w:after="40"/>
              <w:ind w:right="113"/>
              <w:rPr>
                <w:sz w:val="19"/>
              </w:rPr>
            </w:pPr>
            <w:r>
              <w:rPr>
                <w:i/>
                <w:sz w:val="19"/>
              </w:rPr>
              <w:t>Police Amendment Regulations 1984</w:t>
            </w:r>
          </w:p>
        </w:tc>
        <w:tc>
          <w:tcPr>
            <w:tcW w:w="1276" w:type="dxa"/>
          </w:tcPr>
          <w:p>
            <w:pPr>
              <w:pStyle w:val="nTable"/>
              <w:spacing w:after="40"/>
              <w:rPr>
                <w:sz w:val="19"/>
              </w:rPr>
            </w:pPr>
            <w:r>
              <w:rPr>
                <w:sz w:val="19"/>
              </w:rPr>
              <w:t>23 Mar 1984 p. 745</w:t>
            </w:r>
            <w:r>
              <w:rPr>
                <w:sz w:val="19"/>
              </w:rPr>
              <w:noBreakHyphen/>
              <w:t>6</w:t>
            </w:r>
          </w:p>
        </w:tc>
        <w:tc>
          <w:tcPr>
            <w:tcW w:w="2693" w:type="dxa"/>
          </w:tcPr>
          <w:p>
            <w:pPr>
              <w:pStyle w:val="nTable"/>
              <w:spacing w:after="40"/>
              <w:rPr>
                <w:sz w:val="19"/>
              </w:rPr>
            </w:pPr>
            <w:r>
              <w:rPr>
                <w:sz w:val="19"/>
              </w:rPr>
              <w:t>23 Mar 1984</w:t>
            </w:r>
          </w:p>
        </w:tc>
      </w:tr>
      <w:tr>
        <w:trPr>
          <w:cantSplit/>
        </w:trPr>
        <w:tc>
          <w:tcPr>
            <w:tcW w:w="3118" w:type="dxa"/>
          </w:tcPr>
          <w:p>
            <w:pPr>
              <w:pStyle w:val="nTable"/>
              <w:spacing w:after="40"/>
              <w:ind w:right="113"/>
              <w:rPr>
                <w:sz w:val="19"/>
              </w:rPr>
            </w:pPr>
            <w:r>
              <w:rPr>
                <w:i/>
                <w:sz w:val="19"/>
              </w:rPr>
              <w:t>Police Amendment Regulations (No. 2) 1984</w:t>
            </w:r>
          </w:p>
        </w:tc>
        <w:tc>
          <w:tcPr>
            <w:tcW w:w="1276" w:type="dxa"/>
          </w:tcPr>
          <w:p>
            <w:pPr>
              <w:pStyle w:val="nTable"/>
              <w:spacing w:after="40"/>
              <w:rPr>
                <w:sz w:val="19"/>
              </w:rPr>
            </w:pPr>
            <w:r>
              <w:rPr>
                <w:sz w:val="19"/>
              </w:rPr>
              <w:t>29 Jun 1984 p. 1795</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ind w:right="113"/>
              <w:rPr>
                <w:sz w:val="19"/>
              </w:rPr>
            </w:pPr>
            <w:r>
              <w:rPr>
                <w:i/>
                <w:sz w:val="19"/>
              </w:rPr>
              <w:t>Police Amendment Regulations (No. 3) 1984</w:t>
            </w:r>
          </w:p>
        </w:tc>
        <w:tc>
          <w:tcPr>
            <w:tcW w:w="1276" w:type="dxa"/>
          </w:tcPr>
          <w:p>
            <w:pPr>
              <w:pStyle w:val="nTable"/>
              <w:spacing w:after="40"/>
              <w:rPr>
                <w:sz w:val="19"/>
              </w:rPr>
            </w:pPr>
            <w:r>
              <w:rPr>
                <w:sz w:val="19"/>
              </w:rPr>
              <w:t>7 Dec 1984 p. 4024</w:t>
            </w:r>
            <w:r>
              <w:rPr>
                <w:sz w:val="19"/>
              </w:rPr>
              <w:noBreakHyphen/>
              <w:t>30</w:t>
            </w:r>
          </w:p>
        </w:tc>
        <w:tc>
          <w:tcPr>
            <w:tcW w:w="2693" w:type="dxa"/>
          </w:tcPr>
          <w:p>
            <w:pPr>
              <w:pStyle w:val="nTable"/>
              <w:spacing w:after="40"/>
              <w:rPr>
                <w:sz w:val="19"/>
              </w:rPr>
            </w:pPr>
            <w:r>
              <w:rPr>
                <w:sz w:val="19"/>
              </w:rPr>
              <w:t>7 Dec 1984</w:t>
            </w:r>
          </w:p>
        </w:tc>
      </w:tr>
      <w:tr>
        <w:trPr>
          <w:cantSplit/>
        </w:trPr>
        <w:tc>
          <w:tcPr>
            <w:tcW w:w="3118" w:type="dxa"/>
          </w:tcPr>
          <w:p>
            <w:pPr>
              <w:pStyle w:val="nTable"/>
              <w:spacing w:after="40"/>
              <w:ind w:right="113"/>
              <w:rPr>
                <w:sz w:val="19"/>
              </w:rPr>
            </w:pPr>
            <w:r>
              <w:rPr>
                <w:i/>
                <w:sz w:val="19"/>
              </w:rPr>
              <w:t>Police Amendment Regulations 1985</w:t>
            </w:r>
          </w:p>
        </w:tc>
        <w:tc>
          <w:tcPr>
            <w:tcW w:w="1276" w:type="dxa"/>
          </w:tcPr>
          <w:p>
            <w:pPr>
              <w:pStyle w:val="nTable"/>
              <w:spacing w:after="40"/>
              <w:rPr>
                <w:sz w:val="19"/>
              </w:rPr>
            </w:pPr>
            <w:r>
              <w:rPr>
                <w:sz w:val="19"/>
              </w:rPr>
              <w:t>1 Mar 1985 p. 790</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sz w:val="19"/>
              </w:rPr>
            </w:pPr>
            <w:r>
              <w:rPr>
                <w:i/>
                <w:sz w:val="19"/>
              </w:rPr>
              <w:t>Police Amendment Regulations (No. 2) 1985</w:t>
            </w:r>
          </w:p>
        </w:tc>
        <w:tc>
          <w:tcPr>
            <w:tcW w:w="1276" w:type="dxa"/>
          </w:tcPr>
          <w:p>
            <w:pPr>
              <w:pStyle w:val="nTable"/>
              <w:spacing w:after="40"/>
              <w:rPr>
                <w:sz w:val="19"/>
              </w:rPr>
            </w:pPr>
            <w:r>
              <w:rPr>
                <w:sz w:val="19"/>
              </w:rPr>
              <w:t>16 Aug 1985 p. 2926</w:t>
            </w:r>
            <w:r>
              <w:rPr>
                <w:sz w:val="19"/>
              </w:rPr>
              <w:noBreakHyphen/>
              <w:t>8</w:t>
            </w:r>
          </w:p>
        </w:tc>
        <w:tc>
          <w:tcPr>
            <w:tcW w:w="2693" w:type="dxa"/>
          </w:tcPr>
          <w:p>
            <w:pPr>
              <w:pStyle w:val="nTable"/>
              <w:spacing w:after="40"/>
              <w:rPr>
                <w:sz w:val="19"/>
              </w:rPr>
            </w:pPr>
            <w:r>
              <w:rPr>
                <w:sz w:val="19"/>
              </w:rPr>
              <w:t>16 Aug 1985</w:t>
            </w:r>
          </w:p>
        </w:tc>
      </w:tr>
      <w:tr>
        <w:trPr>
          <w:cantSplit/>
        </w:trPr>
        <w:tc>
          <w:tcPr>
            <w:tcW w:w="3118" w:type="dxa"/>
          </w:tcPr>
          <w:p>
            <w:pPr>
              <w:pStyle w:val="nTable"/>
              <w:spacing w:after="40"/>
              <w:ind w:right="113"/>
              <w:rPr>
                <w:sz w:val="19"/>
              </w:rPr>
            </w:pPr>
            <w:r>
              <w:rPr>
                <w:i/>
                <w:sz w:val="19"/>
              </w:rPr>
              <w:t>Police Amendment Regulations 1986</w:t>
            </w:r>
          </w:p>
        </w:tc>
        <w:tc>
          <w:tcPr>
            <w:tcW w:w="1276" w:type="dxa"/>
          </w:tcPr>
          <w:p>
            <w:pPr>
              <w:pStyle w:val="nTable"/>
              <w:spacing w:after="40"/>
              <w:rPr>
                <w:sz w:val="19"/>
              </w:rPr>
            </w:pPr>
            <w:r>
              <w:rPr>
                <w:sz w:val="19"/>
              </w:rPr>
              <w:t>24 Apr 1986 p. 1476</w:t>
            </w:r>
            <w:r>
              <w:rPr>
                <w:sz w:val="19"/>
              </w:rPr>
              <w:noBreakHyphen/>
              <w:t>80</w:t>
            </w:r>
          </w:p>
        </w:tc>
        <w:tc>
          <w:tcPr>
            <w:tcW w:w="2693" w:type="dxa"/>
          </w:tcPr>
          <w:p>
            <w:pPr>
              <w:pStyle w:val="nTable"/>
              <w:spacing w:after="40"/>
              <w:rPr>
                <w:sz w:val="19"/>
              </w:rPr>
            </w:pPr>
            <w:r>
              <w:rPr>
                <w:sz w:val="19"/>
              </w:rPr>
              <w:t>24 Apr 1986</w:t>
            </w:r>
          </w:p>
        </w:tc>
      </w:tr>
      <w:tr>
        <w:trPr>
          <w:cantSplit/>
        </w:trPr>
        <w:tc>
          <w:tcPr>
            <w:tcW w:w="7087" w:type="dxa"/>
            <w:gridSpan w:val="3"/>
          </w:tcPr>
          <w:p>
            <w:pPr>
              <w:pStyle w:val="nTable"/>
              <w:spacing w:after="40"/>
              <w:rPr>
                <w:sz w:val="19"/>
              </w:rPr>
            </w:pPr>
            <w:r>
              <w:rPr>
                <w:b/>
                <w:sz w:val="19"/>
              </w:rPr>
              <w:t xml:space="preserve">Reprint of the </w:t>
            </w:r>
            <w:r>
              <w:rPr>
                <w:b/>
                <w:i/>
                <w:sz w:val="19"/>
              </w:rPr>
              <w:t>Police Regulations 1979</w:t>
            </w:r>
            <w:r>
              <w:rPr>
                <w:b/>
                <w:sz w:val="19"/>
              </w:rPr>
              <w:t xml:space="preserve"> as at 28 Aug 1986 published in </w:t>
            </w:r>
            <w:r>
              <w:rPr>
                <w:b/>
                <w:i/>
                <w:sz w:val="19"/>
              </w:rPr>
              <w:t>Gazette</w:t>
            </w:r>
            <w:r>
              <w:rPr>
                <w:b/>
                <w:sz w:val="19"/>
              </w:rPr>
              <w:t xml:space="preserve"> 24 Sep 1986 p. 3463</w:t>
            </w:r>
            <w:r>
              <w:rPr>
                <w:b/>
                <w:sz w:val="19"/>
              </w:rPr>
              <w:noBreakHyphen/>
              <w:t>517</w:t>
            </w:r>
            <w:r>
              <w:rPr>
                <w:sz w:val="19"/>
              </w:rPr>
              <w:t xml:space="preserve"> (includes all amendments listed above)</w:t>
            </w:r>
          </w:p>
        </w:tc>
      </w:tr>
      <w:tr>
        <w:trPr>
          <w:cantSplit/>
        </w:trPr>
        <w:tc>
          <w:tcPr>
            <w:tcW w:w="3118" w:type="dxa"/>
          </w:tcPr>
          <w:p>
            <w:pPr>
              <w:pStyle w:val="nTable"/>
              <w:spacing w:after="40"/>
              <w:ind w:right="113"/>
              <w:rPr>
                <w:sz w:val="19"/>
              </w:rPr>
            </w:pPr>
            <w:r>
              <w:rPr>
                <w:i/>
                <w:sz w:val="19"/>
              </w:rPr>
              <w:t>Police Amendment Regulations (No. 2) 1986</w:t>
            </w:r>
          </w:p>
        </w:tc>
        <w:tc>
          <w:tcPr>
            <w:tcW w:w="1276" w:type="dxa"/>
          </w:tcPr>
          <w:p>
            <w:pPr>
              <w:pStyle w:val="nTable"/>
              <w:spacing w:after="40"/>
              <w:rPr>
                <w:sz w:val="19"/>
              </w:rPr>
            </w:pPr>
            <w:r>
              <w:rPr>
                <w:sz w:val="19"/>
              </w:rPr>
              <w:t>31 Oct 1986 p. 4050</w:t>
            </w:r>
            <w:r>
              <w:rPr>
                <w:sz w:val="19"/>
              </w:rPr>
              <w:noBreakHyphen/>
              <w:t>1</w:t>
            </w:r>
          </w:p>
        </w:tc>
        <w:tc>
          <w:tcPr>
            <w:tcW w:w="2693" w:type="dxa"/>
          </w:tcPr>
          <w:p>
            <w:pPr>
              <w:pStyle w:val="nTable"/>
              <w:spacing w:after="40"/>
              <w:rPr>
                <w:sz w:val="19"/>
              </w:rPr>
            </w:pPr>
            <w:r>
              <w:rPr>
                <w:sz w:val="19"/>
              </w:rPr>
              <w:t>31 Oct 1986</w:t>
            </w:r>
          </w:p>
        </w:tc>
      </w:tr>
      <w:tr>
        <w:trPr>
          <w:cantSplit/>
        </w:trPr>
        <w:tc>
          <w:tcPr>
            <w:tcW w:w="3118" w:type="dxa"/>
          </w:tcPr>
          <w:p>
            <w:pPr>
              <w:pStyle w:val="nTable"/>
              <w:spacing w:after="40"/>
              <w:ind w:right="113"/>
              <w:rPr>
                <w:sz w:val="19"/>
              </w:rPr>
            </w:pPr>
            <w:r>
              <w:rPr>
                <w:i/>
                <w:sz w:val="19"/>
              </w:rPr>
              <w:t>Police Amendment Regulations (No. 2) 1987</w:t>
            </w:r>
          </w:p>
        </w:tc>
        <w:tc>
          <w:tcPr>
            <w:tcW w:w="1276" w:type="dxa"/>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sz w:val="19"/>
              </w:rPr>
            </w:pPr>
            <w:r>
              <w:rPr>
                <w:i/>
                <w:sz w:val="19"/>
              </w:rPr>
              <w:t>Police Amendment Regulations 1988</w:t>
            </w:r>
          </w:p>
        </w:tc>
        <w:tc>
          <w:tcPr>
            <w:tcW w:w="1276" w:type="dxa"/>
          </w:tcPr>
          <w:p>
            <w:pPr>
              <w:pStyle w:val="nTable"/>
              <w:spacing w:after="40"/>
              <w:rPr>
                <w:sz w:val="19"/>
              </w:rPr>
            </w:pPr>
            <w:r>
              <w:rPr>
                <w:sz w:val="19"/>
              </w:rPr>
              <w:t>22 Jan 1988 p. 127</w:t>
            </w:r>
            <w:r>
              <w:rPr>
                <w:sz w:val="19"/>
              </w:rPr>
              <w:noBreakHyphen/>
              <w:t>8</w:t>
            </w:r>
          </w:p>
        </w:tc>
        <w:tc>
          <w:tcPr>
            <w:tcW w:w="2693" w:type="dxa"/>
          </w:tcPr>
          <w:p>
            <w:pPr>
              <w:pStyle w:val="nTable"/>
              <w:spacing w:after="40"/>
              <w:rPr>
                <w:sz w:val="19"/>
              </w:rPr>
            </w:pPr>
            <w:r>
              <w:rPr>
                <w:sz w:val="19"/>
              </w:rPr>
              <w:t>22 Jan 1988</w:t>
            </w:r>
          </w:p>
        </w:tc>
      </w:tr>
      <w:tr>
        <w:trPr>
          <w:cantSplit/>
        </w:trPr>
        <w:tc>
          <w:tcPr>
            <w:tcW w:w="3118" w:type="dxa"/>
          </w:tcPr>
          <w:p>
            <w:pPr>
              <w:pStyle w:val="nTable"/>
              <w:spacing w:after="40"/>
              <w:ind w:right="113"/>
              <w:rPr>
                <w:sz w:val="19"/>
              </w:rPr>
            </w:pPr>
            <w:r>
              <w:rPr>
                <w:i/>
                <w:sz w:val="19"/>
              </w:rPr>
              <w:t>Police Amendment Regulations (No. 2) 1988</w:t>
            </w:r>
          </w:p>
        </w:tc>
        <w:tc>
          <w:tcPr>
            <w:tcW w:w="1276" w:type="dxa"/>
          </w:tcPr>
          <w:p>
            <w:pPr>
              <w:pStyle w:val="nTable"/>
              <w:spacing w:after="40"/>
              <w:rPr>
                <w:sz w:val="19"/>
              </w:rPr>
            </w:pPr>
            <w:r>
              <w:rPr>
                <w:sz w:val="19"/>
              </w:rPr>
              <w:t>6 May 1988 p. 1541</w:t>
            </w:r>
          </w:p>
        </w:tc>
        <w:tc>
          <w:tcPr>
            <w:tcW w:w="2693" w:type="dxa"/>
          </w:tcPr>
          <w:p>
            <w:pPr>
              <w:pStyle w:val="nTable"/>
              <w:spacing w:after="40"/>
              <w:rPr>
                <w:sz w:val="19"/>
              </w:rPr>
            </w:pPr>
            <w:r>
              <w:rPr>
                <w:sz w:val="19"/>
              </w:rPr>
              <w:t>6 May 1988</w:t>
            </w:r>
          </w:p>
        </w:tc>
      </w:tr>
      <w:tr>
        <w:trPr>
          <w:cantSplit/>
        </w:trPr>
        <w:tc>
          <w:tcPr>
            <w:tcW w:w="3118" w:type="dxa"/>
          </w:tcPr>
          <w:p>
            <w:pPr>
              <w:pStyle w:val="nTable"/>
              <w:spacing w:after="40"/>
              <w:ind w:right="113"/>
              <w:rPr>
                <w:sz w:val="19"/>
              </w:rPr>
            </w:pPr>
            <w:r>
              <w:rPr>
                <w:i/>
                <w:sz w:val="19"/>
              </w:rPr>
              <w:t>Police Amendment Regulations (No. 3) 1988</w:t>
            </w:r>
          </w:p>
        </w:tc>
        <w:tc>
          <w:tcPr>
            <w:tcW w:w="1276" w:type="dxa"/>
          </w:tcPr>
          <w:p>
            <w:pPr>
              <w:pStyle w:val="nTable"/>
              <w:spacing w:after="40"/>
              <w:rPr>
                <w:sz w:val="19"/>
              </w:rPr>
            </w:pPr>
            <w:r>
              <w:rPr>
                <w:sz w:val="19"/>
              </w:rPr>
              <w:t>1 Jul 1988 p. 2144</w:t>
            </w:r>
            <w:r>
              <w:rPr>
                <w:sz w:val="19"/>
              </w:rPr>
              <w:noBreakHyphen/>
              <w:t>5</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Police Amendment Regulations (No. 5)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sz w:val="19"/>
              </w:rPr>
            </w:pPr>
            <w:r>
              <w:rPr>
                <w:i/>
                <w:sz w:val="19"/>
              </w:rPr>
              <w:t>Police Amendment Regulations (No. 4)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ind w:right="113"/>
              <w:rPr>
                <w:sz w:val="19"/>
              </w:rPr>
            </w:pPr>
            <w:r>
              <w:rPr>
                <w:i/>
                <w:sz w:val="19"/>
              </w:rPr>
              <w:t>Police Amendment Regulations 1989</w:t>
            </w:r>
          </w:p>
        </w:tc>
        <w:tc>
          <w:tcPr>
            <w:tcW w:w="1276" w:type="dxa"/>
          </w:tcPr>
          <w:p>
            <w:pPr>
              <w:pStyle w:val="nTable"/>
              <w:spacing w:after="40"/>
              <w:rPr>
                <w:sz w:val="19"/>
              </w:rPr>
            </w:pPr>
            <w:r>
              <w:rPr>
                <w:sz w:val="19"/>
              </w:rPr>
              <w:t>17 Mar 1989 p. 752</w:t>
            </w:r>
            <w:r>
              <w:rPr>
                <w:sz w:val="19"/>
              </w:rPr>
              <w:noBreakHyphen/>
              <w:t>3</w:t>
            </w:r>
          </w:p>
        </w:tc>
        <w:tc>
          <w:tcPr>
            <w:tcW w:w="2693" w:type="dxa"/>
          </w:tcPr>
          <w:p>
            <w:pPr>
              <w:pStyle w:val="nTable"/>
              <w:spacing w:after="40"/>
              <w:rPr>
                <w:sz w:val="19"/>
              </w:rPr>
            </w:pPr>
            <w:r>
              <w:rPr>
                <w:sz w:val="19"/>
              </w:rPr>
              <w:t>17 Mar 1989</w:t>
            </w:r>
          </w:p>
        </w:tc>
      </w:tr>
      <w:tr>
        <w:trPr>
          <w:cantSplit/>
        </w:trPr>
        <w:tc>
          <w:tcPr>
            <w:tcW w:w="3118" w:type="dxa"/>
          </w:tcPr>
          <w:p>
            <w:pPr>
              <w:pStyle w:val="nTable"/>
              <w:spacing w:after="40"/>
              <w:ind w:right="113"/>
              <w:rPr>
                <w:sz w:val="19"/>
              </w:rPr>
            </w:pPr>
            <w:r>
              <w:rPr>
                <w:i/>
                <w:sz w:val="19"/>
              </w:rPr>
              <w:t>Police Amendment Regulations (No. 2) 1989</w:t>
            </w:r>
          </w:p>
        </w:tc>
        <w:tc>
          <w:tcPr>
            <w:tcW w:w="1276" w:type="dxa"/>
          </w:tcPr>
          <w:p>
            <w:pPr>
              <w:pStyle w:val="nTable"/>
              <w:spacing w:after="40"/>
              <w:rPr>
                <w:sz w:val="19"/>
              </w:rPr>
            </w:pPr>
            <w:r>
              <w:rPr>
                <w:sz w:val="19"/>
              </w:rPr>
              <w:t>9 Jun 1989 p. 1666</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ind w:right="113"/>
              <w:rPr>
                <w:sz w:val="19"/>
              </w:rPr>
            </w:pPr>
            <w:r>
              <w:rPr>
                <w:i/>
                <w:sz w:val="19"/>
              </w:rPr>
              <w:t>Police Amendment Regulations (No. 3) 1989</w:t>
            </w:r>
          </w:p>
        </w:tc>
        <w:tc>
          <w:tcPr>
            <w:tcW w:w="1276" w:type="dxa"/>
          </w:tcPr>
          <w:p>
            <w:pPr>
              <w:pStyle w:val="nTable"/>
              <w:spacing w:after="40"/>
              <w:rPr>
                <w:sz w:val="19"/>
              </w:rPr>
            </w:pPr>
            <w:r>
              <w:rPr>
                <w:sz w:val="19"/>
              </w:rPr>
              <w:t>6 Oct 1989 p. 3739</w:t>
            </w:r>
            <w:r>
              <w:rPr>
                <w:sz w:val="19"/>
              </w:rPr>
              <w:noBreakHyphen/>
              <w:t>41</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Police Amendment Regulations (No. 4) 1989</w:t>
            </w:r>
          </w:p>
        </w:tc>
        <w:tc>
          <w:tcPr>
            <w:tcW w:w="1276" w:type="dxa"/>
          </w:tcPr>
          <w:p>
            <w:pPr>
              <w:pStyle w:val="nTable"/>
              <w:spacing w:after="40"/>
              <w:rPr>
                <w:sz w:val="19"/>
              </w:rPr>
            </w:pPr>
            <w:r>
              <w:rPr>
                <w:sz w:val="19"/>
              </w:rPr>
              <w:t>27 Oct 1989 p. 3888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Police Amendment Regulations (No. 6) 1989</w:t>
            </w:r>
          </w:p>
        </w:tc>
        <w:tc>
          <w:tcPr>
            <w:tcW w:w="1276" w:type="dxa"/>
          </w:tcPr>
          <w:p>
            <w:pPr>
              <w:pStyle w:val="nTable"/>
              <w:spacing w:after="40"/>
              <w:rPr>
                <w:sz w:val="19"/>
              </w:rPr>
            </w:pPr>
            <w:r>
              <w:rPr>
                <w:sz w:val="19"/>
              </w:rPr>
              <w:t>17 Nov 1989 p. 4110</w:t>
            </w:r>
            <w:r>
              <w:rPr>
                <w:sz w:val="19"/>
              </w:rPr>
              <w:noBreakHyphen/>
              <w:t>12</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rPr>
            </w:pPr>
            <w:r>
              <w:rPr>
                <w:i/>
                <w:sz w:val="19"/>
              </w:rPr>
              <w:t>Police Amendment Regulations (No. 5) 1989</w:t>
            </w:r>
          </w:p>
        </w:tc>
        <w:tc>
          <w:tcPr>
            <w:tcW w:w="1276" w:type="dxa"/>
          </w:tcPr>
          <w:p>
            <w:pPr>
              <w:pStyle w:val="nTable"/>
              <w:spacing w:after="40"/>
              <w:rPr>
                <w:sz w:val="19"/>
              </w:rPr>
            </w:pPr>
            <w:r>
              <w:rPr>
                <w:sz w:val="19"/>
              </w:rPr>
              <w:t>1 Dec 1989 p. 4395</w:t>
            </w:r>
            <w:r>
              <w:rPr>
                <w:sz w:val="19"/>
              </w:rPr>
              <w:noBreakHyphen/>
              <w:t>6</w:t>
            </w:r>
          </w:p>
        </w:tc>
        <w:tc>
          <w:tcPr>
            <w:tcW w:w="2693" w:type="dxa"/>
          </w:tcPr>
          <w:p>
            <w:pPr>
              <w:pStyle w:val="nTable"/>
              <w:spacing w:after="40"/>
              <w:rPr>
                <w:sz w:val="19"/>
              </w:rPr>
            </w:pPr>
            <w:r>
              <w:rPr>
                <w:sz w:val="19"/>
              </w:rPr>
              <w:t>1 Dec 1989</w:t>
            </w:r>
          </w:p>
        </w:tc>
      </w:tr>
      <w:tr>
        <w:trPr>
          <w:cantSplit/>
        </w:trPr>
        <w:tc>
          <w:tcPr>
            <w:tcW w:w="3118" w:type="dxa"/>
          </w:tcPr>
          <w:p>
            <w:pPr>
              <w:pStyle w:val="nTable"/>
              <w:spacing w:after="40"/>
              <w:ind w:right="113"/>
              <w:rPr>
                <w:sz w:val="19"/>
              </w:rPr>
            </w:pPr>
            <w:r>
              <w:rPr>
                <w:i/>
                <w:sz w:val="19"/>
              </w:rPr>
              <w:t>Police Force Amendment Regulations (No. 8) 1989</w:t>
            </w:r>
          </w:p>
        </w:tc>
        <w:tc>
          <w:tcPr>
            <w:tcW w:w="1276" w:type="dxa"/>
          </w:tcPr>
          <w:p>
            <w:pPr>
              <w:pStyle w:val="nTable"/>
              <w:spacing w:after="40"/>
              <w:rPr>
                <w:sz w:val="19"/>
              </w:rPr>
            </w:pPr>
            <w:r>
              <w:rPr>
                <w:sz w:val="19"/>
              </w:rPr>
              <w:t>8 Dec 1989 p. 4462</w:t>
            </w:r>
          </w:p>
        </w:tc>
        <w:tc>
          <w:tcPr>
            <w:tcW w:w="2693" w:type="dxa"/>
          </w:tcPr>
          <w:p>
            <w:pPr>
              <w:pStyle w:val="nTable"/>
              <w:spacing w:after="40"/>
              <w:rPr>
                <w:sz w:val="19"/>
              </w:rPr>
            </w:pPr>
            <w:r>
              <w:rPr>
                <w:sz w:val="19"/>
              </w:rPr>
              <w:t>8 Dec 1989</w:t>
            </w:r>
          </w:p>
        </w:tc>
      </w:tr>
      <w:tr>
        <w:trPr>
          <w:cantSplit/>
        </w:trPr>
        <w:tc>
          <w:tcPr>
            <w:tcW w:w="3118" w:type="dxa"/>
          </w:tcPr>
          <w:p>
            <w:pPr>
              <w:pStyle w:val="nTable"/>
              <w:spacing w:after="40"/>
              <w:ind w:right="113"/>
              <w:rPr>
                <w:sz w:val="19"/>
              </w:rPr>
            </w:pPr>
            <w:r>
              <w:rPr>
                <w:i/>
                <w:sz w:val="19"/>
              </w:rPr>
              <w:t>Police Force Amendment Regulations 1990</w:t>
            </w:r>
          </w:p>
        </w:tc>
        <w:tc>
          <w:tcPr>
            <w:tcW w:w="1276" w:type="dxa"/>
          </w:tcPr>
          <w:p>
            <w:pPr>
              <w:pStyle w:val="nTable"/>
              <w:spacing w:after="40"/>
              <w:rPr>
                <w:sz w:val="19"/>
              </w:rPr>
            </w:pPr>
            <w:r>
              <w:rPr>
                <w:sz w:val="19"/>
              </w:rPr>
              <w:t>2 Feb 1990 p. 788</w:t>
            </w:r>
            <w:r>
              <w:rPr>
                <w:sz w:val="19"/>
              </w:rPr>
              <w:noBreakHyphen/>
              <w:t>90</w:t>
            </w:r>
          </w:p>
        </w:tc>
        <w:tc>
          <w:tcPr>
            <w:tcW w:w="2693" w:type="dxa"/>
          </w:tcPr>
          <w:p>
            <w:pPr>
              <w:pStyle w:val="nTable"/>
              <w:spacing w:after="40"/>
              <w:rPr>
                <w:sz w:val="19"/>
              </w:rPr>
            </w:pPr>
            <w:r>
              <w:rPr>
                <w:sz w:val="19"/>
              </w:rPr>
              <w:t>2 Feb 1990</w:t>
            </w:r>
          </w:p>
        </w:tc>
      </w:tr>
      <w:tr>
        <w:trPr>
          <w:cantSplit/>
        </w:trPr>
        <w:tc>
          <w:tcPr>
            <w:tcW w:w="3118" w:type="dxa"/>
          </w:tcPr>
          <w:p>
            <w:pPr>
              <w:pStyle w:val="nTable"/>
              <w:spacing w:after="40"/>
              <w:ind w:right="113"/>
              <w:rPr>
                <w:sz w:val="19"/>
              </w:rPr>
            </w:pPr>
            <w:r>
              <w:rPr>
                <w:i/>
                <w:sz w:val="19"/>
              </w:rPr>
              <w:t>Police Force Amendment Regulations (No. 2) 1990</w:t>
            </w:r>
          </w:p>
        </w:tc>
        <w:tc>
          <w:tcPr>
            <w:tcW w:w="1276" w:type="dxa"/>
          </w:tcPr>
          <w:p>
            <w:pPr>
              <w:pStyle w:val="nTable"/>
              <w:spacing w:after="40"/>
              <w:rPr>
                <w:sz w:val="19"/>
              </w:rPr>
            </w:pPr>
            <w:r>
              <w:rPr>
                <w:sz w:val="19"/>
              </w:rPr>
              <w:t>30 Mar 1990 p. 1646</w:t>
            </w:r>
            <w:r>
              <w:rPr>
                <w:sz w:val="19"/>
              </w:rPr>
              <w:noBreakHyphen/>
              <w:t>60 (erratum 6 Apr 1990 p. 1766)</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ind w:right="113"/>
              <w:rPr>
                <w:sz w:val="19"/>
              </w:rPr>
            </w:pPr>
            <w:r>
              <w:rPr>
                <w:i/>
                <w:sz w:val="19"/>
              </w:rPr>
              <w:t>Police Force Amendment Regulations 1992</w:t>
            </w:r>
          </w:p>
        </w:tc>
        <w:tc>
          <w:tcPr>
            <w:tcW w:w="1276" w:type="dxa"/>
          </w:tcPr>
          <w:p>
            <w:pPr>
              <w:pStyle w:val="nTable"/>
              <w:spacing w:after="40"/>
              <w:rPr>
                <w:sz w:val="19"/>
              </w:rPr>
            </w:pPr>
            <w:r>
              <w:rPr>
                <w:sz w:val="19"/>
              </w:rPr>
              <w:t>14 Jul 1992 p. 3364</w:t>
            </w:r>
            <w:r>
              <w:rPr>
                <w:sz w:val="19"/>
              </w:rPr>
              <w:noBreakHyphen/>
              <w:t>70</w:t>
            </w:r>
          </w:p>
        </w:tc>
        <w:tc>
          <w:tcPr>
            <w:tcW w:w="2693" w:type="dxa"/>
          </w:tcPr>
          <w:p>
            <w:pPr>
              <w:pStyle w:val="nTable"/>
              <w:spacing w:after="40"/>
              <w:rPr>
                <w:sz w:val="19"/>
              </w:rPr>
            </w:pPr>
            <w:r>
              <w:rPr>
                <w:sz w:val="19"/>
              </w:rPr>
              <w:t>14 Jul 1992</w:t>
            </w:r>
          </w:p>
        </w:tc>
      </w:tr>
      <w:tr>
        <w:trPr>
          <w:cantSplit/>
        </w:trPr>
        <w:tc>
          <w:tcPr>
            <w:tcW w:w="3118" w:type="dxa"/>
          </w:tcPr>
          <w:p>
            <w:pPr>
              <w:pStyle w:val="nTable"/>
              <w:spacing w:after="40"/>
              <w:ind w:right="113"/>
              <w:rPr>
                <w:sz w:val="19"/>
              </w:rPr>
            </w:pPr>
            <w:r>
              <w:rPr>
                <w:i/>
                <w:sz w:val="19"/>
              </w:rPr>
              <w:t>Police Force Amendment Regulations 1994</w:t>
            </w:r>
          </w:p>
        </w:tc>
        <w:tc>
          <w:tcPr>
            <w:tcW w:w="1276" w:type="dxa"/>
          </w:tcPr>
          <w:p>
            <w:pPr>
              <w:pStyle w:val="nTable"/>
              <w:spacing w:after="40"/>
              <w:rPr>
                <w:sz w:val="19"/>
              </w:rPr>
            </w:pPr>
            <w:r>
              <w:rPr>
                <w:sz w:val="19"/>
              </w:rPr>
              <w:t>18 Nov 1994 p. 5866</w:t>
            </w:r>
            <w:r>
              <w:rPr>
                <w:sz w:val="19"/>
              </w:rPr>
              <w:noBreakHyphen/>
              <w:t>7</w:t>
            </w:r>
          </w:p>
        </w:tc>
        <w:tc>
          <w:tcPr>
            <w:tcW w:w="2693" w:type="dxa"/>
          </w:tcPr>
          <w:p>
            <w:pPr>
              <w:pStyle w:val="nTable"/>
              <w:spacing w:after="40"/>
              <w:rPr>
                <w:sz w:val="19"/>
              </w:rPr>
            </w:pPr>
            <w:r>
              <w:rPr>
                <w:sz w:val="19"/>
              </w:rPr>
              <w:t>18 Nov 1994</w:t>
            </w:r>
          </w:p>
        </w:tc>
      </w:tr>
      <w:tr>
        <w:trPr>
          <w:cantSplit/>
        </w:trPr>
        <w:tc>
          <w:tcPr>
            <w:tcW w:w="3118" w:type="dxa"/>
          </w:tcPr>
          <w:p>
            <w:pPr>
              <w:pStyle w:val="nTable"/>
              <w:spacing w:after="40"/>
              <w:ind w:right="113"/>
              <w:rPr>
                <w:sz w:val="19"/>
              </w:rPr>
            </w:pPr>
            <w:r>
              <w:rPr>
                <w:i/>
                <w:sz w:val="19"/>
              </w:rPr>
              <w:t>Police Force Amendment Regulations (No. 2) 1994</w:t>
            </w:r>
          </w:p>
        </w:tc>
        <w:tc>
          <w:tcPr>
            <w:tcW w:w="1276" w:type="dxa"/>
          </w:tcPr>
          <w:p>
            <w:pPr>
              <w:pStyle w:val="nTable"/>
              <w:spacing w:after="40"/>
              <w:rPr>
                <w:sz w:val="19"/>
              </w:rPr>
            </w:pPr>
            <w:r>
              <w:rPr>
                <w:sz w:val="19"/>
              </w:rPr>
              <w:t>7 Feb 1995 p. 422</w:t>
            </w:r>
          </w:p>
        </w:tc>
        <w:tc>
          <w:tcPr>
            <w:tcW w:w="2693" w:type="dxa"/>
          </w:tcPr>
          <w:p>
            <w:pPr>
              <w:pStyle w:val="nTable"/>
              <w:spacing w:after="40"/>
              <w:rPr>
                <w:sz w:val="19"/>
              </w:rPr>
            </w:pPr>
            <w:r>
              <w:rPr>
                <w:sz w:val="19"/>
              </w:rPr>
              <w:t>7 Feb 1995</w:t>
            </w:r>
          </w:p>
        </w:tc>
      </w:tr>
      <w:tr>
        <w:trPr>
          <w:cantSplit/>
        </w:trPr>
        <w:tc>
          <w:tcPr>
            <w:tcW w:w="3118" w:type="dxa"/>
          </w:tcPr>
          <w:p>
            <w:pPr>
              <w:pStyle w:val="nTable"/>
              <w:spacing w:after="40"/>
              <w:ind w:right="113"/>
              <w:rPr>
                <w:sz w:val="19"/>
                <w:vertAlign w:val="superscript"/>
              </w:rPr>
            </w:pPr>
            <w:r>
              <w:rPr>
                <w:i/>
                <w:sz w:val="19"/>
              </w:rPr>
              <w:t xml:space="preserve">Police Force Amendment Regulations (No. 2) 1995 </w:t>
            </w:r>
            <w:r>
              <w:rPr>
                <w:sz w:val="19"/>
                <w:vertAlign w:val="superscript"/>
              </w:rPr>
              <w:t>6</w:t>
            </w:r>
          </w:p>
        </w:tc>
        <w:tc>
          <w:tcPr>
            <w:tcW w:w="1276" w:type="dxa"/>
          </w:tcPr>
          <w:p>
            <w:pPr>
              <w:pStyle w:val="nTable"/>
              <w:spacing w:after="40"/>
              <w:rPr>
                <w:sz w:val="19"/>
              </w:rPr>
            </w:pPr>
            <w:r>
              <w:rPr>
                <w:sz w:val="19"/>
              </w:rPr>
              <w:t>17 Mar 1995 p. 1055</w:t>
            </w:r>
          </w:p>
        </w:tc>
        <w:tc>
          <w:tcPr>
            <w:tcW w:w="2693" w:type="dxa"/>
          </w:tcPr>
          <w:p>
            <w:pPr>
              <w:pStyle w:val="nTable"/>
              <w:spacing w:after="40"/>
              <w:rPr>
                <w:sz w:val="19"/>
              </w:rPr>
            </w:pPr>
            <w:r>
              <w:rPr>
                <w:sz w:val="19"/>
              </w:rPr>
              <w:t>17 Mar 1995</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30 Jan 1996 </w:t>
            </w:r>
            <w:r>
              <w:rPr>
                <w:sz w:val="19"/>
              </w:rPr>
              <w:t>(includes amendments listed above)</w:t>
            </w:r>
          </w:p>
        </w:tc>
      </w:tr>
      <w:tr>
        <w:trPr>
          <w:cantSplit/>
        </w:trPr>
        <w:tc>
          <w:tcPr>
            <w:tcW w:w="3118" w:type="dxa"/>
          </w:tcPr>
          <w:p>
            <w:pPr>
              <w:pStyle w:val="nTable"/>
              <w:spacing w:after="40"/>
              <w:ind w:right="113"/>
              <w:rPr>
                <w:sz w:val="19"/>
              </w:rPr>
            </w:pPr>
            <w:r>
              <w:rPr>
                <w:i/>
                <w:sz w:val="19"/>
              </w:rPr>
              <w:t>Police Force Amendment Regulations (No. 2) 1996</w:t>
            </w:r>
          </w:p>
        </w:tc>
        <w:tc>
          <w:tcPr>
            <w:tcW w:w="1276" w:type="dxa"/>
          </w:tcPr>
          <w:p>
            <w:pPr>
              <w:pStyle w:val="nTable"/>
              <w:spacing w:after="40"/>
              <w:rPr>
                <w:sz w:val="19"/>
              </w:rPr>
            </w:pPr>
            <w:r>
              <w:rPr>
                <w:sz w:val="19"/>
              </w:rPr>
              <w:t>20 Sep 1996 p. 4750</w:t>
            </w:r>
          </w:p>
        </w:tc>
        <w:tc>
          <w:tcPr>
            <w:tcW w:w="2693" w:type="dxa"/>
          </w:tcPr>
          <w:p>
            <w:pPr>
              <w:pStyle w:val="nTable"/>
              <w:spacing w:after="40"/>
              <w:rPr>
                <w:sz w:val="19"/>
              </w:rPr>
            </w:pPr>
            <w:r>
              <w:rPr>
                <w:sz w:val="19"/>
              </w:rPr>
              <w:t>20 Sep 1996</w:t>
            </w:r>
          </w:p>
        </w:tc>
      </w:tr>
      <w:tr>
        <w:trPr>
          <w:cantSplit/>
        </w:trPr>
        <w:tc>
          <w:tcPr>
            <w:tcW w:w="3118" w:type="dxa"/>
          </w:tcPr>
          <w:p>
            <w:pPr>
              <w:pStyle w:val="nTable"/>
              <w:spacing w:after="40"/>
              <w:ind w:right="113"/>
              <w:rPr>
                <w:sz w:val="19"/>
              </w:rPr>
            </w:pPr>
            <w:r>
              <w:rPr>
                <w:i/>
                <w:sz w:val="19"/>
              </w:rPr>
              <w:t>Police Force Amendment Regulations 1997</w:t>
            </w:r>
          </w:p>
        </w:tc>
        <w:tc>
          <w:tcPr>
            <w:tcW w:w="1276" w:type="dxa"/>
          </w:tcPr>
          <w:p>
            <w:pPr>
              <w:pStyle w:val="nTable"/>
              <w:spacing w:after="40"/>
              <w:rPr>
                <w:sz w:val="19"/>
              </w:rPr>
            </w:pPr>
            <w:r>
              <w:rPr>
                <w:sz w:val="19"/>
              </w:rPr>
              <w:t>22 Aug 1997 p. 4815</w:t>
            </w:r>
          </w:p>
        </w:tc>
        <w:tc>
          <w:tcPr>
            <w:tcW w:w="2693" w:type="dxa"/>
          </w:tcPr>
          <w:p>
            <w:pPr>
              <w:pStyle w:val="nTable"/>
              <w:spacing w:after="40"/>
              <w:rPr>
                <w:sz w:val="19"/>
              </w:rPr>
            </w:pPr>
            <w:r>
              <w:rPr>
                <w:sz w:val="19"/>
              </w:rPr>
              <w:t>22 Aug 1997</w:t>
            </w:r>
          </w:p>
        </w:tc>
      </w:tr>
      <w:tr>
        <w:trPr>
          <w:cantSplit/>
        </w:trPr>
        <w:tc>
          <w:tcPr>
            <w:tcW w:w="3118" w:type="dxa"/>
          </w:tcPr>
          <w:p>
            <w:pPr>
              <w:pStyle w:val="nTable"/>
              <w:spacing w:after="40"/>
              <w:ind w:right="113"/>
              <w:rPr>
                <w:sz w:val="19"/>
              </w:rPr>
            </w:pPr>
            <w:r>
              <w:rPr>
                <w:i/>
                <w:spacing w:val="-2"/>
                <w:sz w:val="19"/>
              </w:rPr>
              <w:t>Police Force Amendment Regulations (No. 4) 1997</w:t>
            </w:r>
          </w:p>
        </w:tc>
        <w:tc>
          <w:tcPr>
            <w:tcW w:w="1276" w:type="dxa"/>
          </w:tcPr>
          <w:p>
            <w:pPr>
              <w:pStyle w:val="nTable"/>
              <w:spacing w:after="40"/>
              <w:rPr>
                <w:sz w:val="19"/>
              </w:rPr>
            </w:pPr>
            <w:r>
              <w:rPr>
                <w:spacing w:val="-2"/>
                <w:sz w:val="19"/>
              </w:rPr>
              <w:t>14 Nov 1997 p. 6457</w:t>
            </w:r>
          </w:p>
        </w:tc>
        <w:tc>
          <w:tcPr>
            <w:tcW w:w="2693" w:type="dxa"/>
          </w:tcPr>
          <w:p>
            <w:pPr>
              <w:pStyle w:val="nTable"/>
              <w:spacing w:after="40"/>
              <w:rPr>
                <w:sz w:val="19"/>
              </w:rPr>
            </w:pPr>
            <w:r>
              <w:rPr>
                <w:spacing w:val="-2"/>
                <w:sz w:val="19"/>
              </w:rPr>
              <w:t>14 Nov 1997</w:t>
            </w:r>
          </w:p>
        </w:tc>
      </w:tr>
      <w:tr>
        <w:trPr>
          <w:cantSplit/>
        </w:trPr>
        <w:tc>
          <w:tcPr>
            <w:tcW w:w="3118" w:type="dxa"/>
          </w:tcPr>
          <w:p>
            <w:pPr>
              <w:pStyle w:val="nTable"/>
              <w:spacing w:after="40"/>
              <w:ind w:right="113"/>
              <w:rPr>
                <w:sz w:val="19"/>
              </w:rPr>
            </w:pPr>
            <w:r>
              <w:rPr>
                <w:i/>
                <w:sz w:val="19"/>
              </w:rPr>
              <w:t>Police Force Amendment Regulations (No. 2) 1997</w:t>
            </w:r>
          </w:p>
        </w:tc>
        <w:tc>
          <w:tcPr>
            <w:tcW w:w="1276" w:type="dxa"/>
          </w:tcPr>
          <w:p>
            <w:pPr>
              <w:pStyle w:val="nTable"/>
              <w:spacing w:after="40"/>
              <w:rPr>
                <w:sz w:val="19"/>
              </w:rPr>
            </w:pPr>
            <w:r>
              <w:rPr>
                <w:sz w:val="19"/>
              </w:rPr>
              <w:t>6 Jan 1998 p. 36</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pacing w:val="-2"/>
                <w:sz w:val="19"/>
                <w:vertAlign w:val="superscript"/>
              </w:rPr>
            </w:pPr>
            <w:r>
              <w:rPr>
                <w:i/>
                <w:spacing w:val="-2"/>
                <w:sz w:val="19"/>
              </w:rPr>
              <w:t xml:space="preserve">Police Force Amendment Regulations (No. 2) 1998 </w:t>
            </w:r>
            <w:r>
              <w:rPr>
                <w:spacing w:val="-2"/>
                <w:sz w:val="19"/>
                <w:vertAlign w:val="superscript"/>
              </w:rPr>
              <w:t>7</w:t>
            </w:r>
          </w:p>
        </w:tc>
        <w:tc>
          <w:tcPr>
            <w:tcW w:w="1276" w:type="dxa"/>
          </w:tcPr>
          <w:p>
            <w:pPr>
              <w:pStyle w:val="nTable"/>
              <w:spacing w:after="40"/>
              <w:rPr>
                <w:spacing w:val="-2"/>
                <w:sz w:val="19"/>
              </w:rPr>
            </w:pPr>
            <w:r>
              <w:rPr>
                <w:spacing w:val="-2"/>
                <w:sz w:val="19"/>
              </w:rPr>
              <w:t>21 Aug 1998 p. 4678</w:t>
            </w:r>
            <w:r>
              <w:rPr>
                <w:spacing w:val="-2"/>
                <w:sz w:val="19"/>
              </w:rPr>
              <w:noBreakHyphen/>
              <w:t>9</w:t>
            </w:r>
          </w:p>
        </w:tc>
        <w:tc>
          <w:tcPr>
            <w:tcW w:w="2693" w:type="dxa"/>
          </w:tcPr>
          <w:p>
            <w:pPr>
              <w:pStyle w:val="nTable"/>
              <w:spacing w:after="40"/>
              <w:rPr>
                <w:spacing w:val="-2"/>
                <w:sz w:val="19"/>
              </w:rPr>
            </w:pPr>
            <w:r>
              <w:rPr>
                <w:spacing w:val="-2"/>
                <w:sz w:val="19"/>
              </w:rPr>
              <w:t>21 Aug 1998</w:t>
            </w:r>
          </w:p>
        </w:tc>
      </w:tr>
      <w:tr>
        <w:trPr>
          <w:cantSplit/>
        </w:trPr>
        <w:tc>
          <w:tcPr>
            <w:tcW w:w="3118" w:type="dxa"/>
          </w:tcPr>
          <w:p>
            <w:pPr>
              <w:pStyle w:val="nTable"/>
              <w:spacing w:after="40"/>
              <w:ind w:right="113"/>
              <w:rPr>
                <w:i/>
                <w:spacing w:val="-2"/>
                <w:sz w:val="19"/>
              </w:rPr>
            </w:pPr>
            <w:r>
              <w:rPr>
                <w:i/>
                <w:spacing w:val="-2"/>
                <w:sz w:val="19"/>
              </w:rPr>
              <w:t>Police Force Amendment Regulations (No. 4) 1998</w:t>
            </w:r>
          </w:p>
        </w:tc>
        <w:tc>
          <w:tcPr>
            <w:tcW w:w="1276" w:type="dxa"/>
          </w:tcPr>
          <w:p>
            <w:pPr>
              <w:pStyle w:val="nTable"/>
              <w:spacing w:after="40"/>
              <w:rPr>
                <w:spacing w:val="-2"/>
                <w:sz w:val="19"/>
              </w:rPr>
            </w:pPr>
            <w:r>
              <w:rPr>
                <w:spacing w:val="-2"/>
                <w:sz w:val="19"/>
              </w:rPr>
              <w:t>13 Nov 1998 p. 6232</w:t>
            </w:r>
          </w:p>
        </w:tc>
        <w:tc>
          <w:tcPr>
            <w:tcW w:w="2693" w:type="dxa"/>
          </w:tcPr>
          <w:p>
            <w:pPr>
              <w:pStyle w:val="nTable"/>
              <w:spacing w:after="40"/>
              <w:rPr>
                <w:spacing w:val="-2"/>
                <w:sz w:val="19"/>
              </w:rPr>
            </w:pPr>
            <w:r>
              <w:rPr>
                <w:spacing w:val="-2"/>
                <w:sz w:val="19"/>
              </w:rPr>
              <w:t>13 Nov 1998</w:t>
            </w:r>
          </w:p>
        </w:tc>
      </w:tr>
      <w:tr>
        <w:trPr>
          <w:cantSplit/>
        </w:trPr>
        <w:tc>
          <w:tcPr>
            <w:tcW w:w="3118" w:type="dxa"/>
          </w:tcPr>
          <w:p>
            <w:pPr>
              <w:pStyle w:val="nTable"/>
              <w:spacing w:after="40"/>
              <w:ind w:right="113"/>
              <w:rPr>
                <w:i/>
                <w:spacing w:val="-2"/>
                <w:sz w:val="19"/>
              </w:rPr>
            </w:pPr>
            <w:r>
              <w:rPr>
                <w:i/>
                <w:spacing w:val="-2"/>
                <w:sz w:val="19"/>
              </w:rPr>
              <w:t>Police Force Amendment Regulations (No. 2) 2000</w:t>
            </w:r>
          </w:p>
        </w:tc>
        <w:tc>
          <w:tcPr>
            <w:tcW w:w="1276" w:type="dxa"/>
          </w:tcPr>
          <w:p>
            <w:pPr>
              <w:pStyle w:val="nTable"/>
              <w:spacing w:after="40"/>
              <w:rPr>
                <w:spacing w:val="-2"/>
                <w:sz w:val="19"/>
              </w:rPr>
            </w:pPr>
            <w:r>
              <w:rPr>
                <w:spacing w:val="-2"/>
                <w:sz w:val="19"/>
              </w:rPr>
              <w:t>28 Nov 2000 p. 6628</w:t>
            </w:r>
          </w:p>
        </w:tc>
        <w:tc>
          <w:tcPr>
            <w:tcW w:w="2693" w:type="dxa"/>
          </w:tcPr>
          <w:p>
            <w:pPr>
              <w:pStyle w:val="nTable"/>
              <w:spacing w:after="40"/>
              <w:rPr>
                <w:spacing w:val="-2"/>
                <w:sz w:val="19"/>
              </w:rPr>
            </w:pPr>
            <w:r>
              <w:rPr>
                <w:spacing w:val="-2"/>
                <w:sz w:val="19"/>
              </w:rPr>
              <w:t>28 Nov 2000</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15 Jun 2001 </w:t>
            </w:r>
            <w:r>
              <w:rPr>
                <w:sz w:val="19"/>
              </w:rPr>
              <w:t>(includes amendments listed above)</w:t>
            </w:r>
          </w:p>
        </w:tc>
      </w:tr>
      <w:tr>
        <w:trPr>
          <w:cantSplit/>
        </w:trPr>
        <w:tc>
          <w:tcPr>
            <w:tcW w:w="3118" w:type="dxa"/>
          </w:tcPr>
          <w:p>
            <w:pPr>
              <w:pStyle w:val="nTable"/>
              <w:spacing w:after="40"/>
              <w:ind w:right="113"/>
              <w:rPr>
                <w:i/>
                <w:spacing w:val="-2"/>
                <w:sz w:val="19"/>
              </w:rPr>
            </w:pPr>
            <w:r>
              <w:rPr>
                <w:i/>
                <w:spacing w:val="-2"/>
                <w:sz w:val="19"/>
              </w:rPr>
              <w:t>Police Force Amendment Regulations 2001</w:t>
            </w:r>
          </w:p>
        </w:tc>
        <w:tc>
          <w:tcPr>
            <w:tcW w:w="1276" w:type="dxa"/>
          </w:tcPr>
          <w:p>
            <w:pPr>
              <w:pStyle w:val="nTable"/>
              <w:spacing w:after="40"/>
              <w:rPr>
                <w:spacing w:val="-2"/>
                <w:sz w:val="19"/>
              </w:rPr>
            </w:pPr>
            <w:r>
              <w:rPr>
                <w:spacing w:val="-2"/>
                <w:sz w:val="19"/>
              </w:rPr>
              <w:t>10 Aug 2001 p. 4213</w:t>
            </w:r>
            <w:r>
              <w:rPr>
                <w:spacing w:val="-2"/>
                <w:sz w:val="19"/>
              </w:rPr>
              <w:noBreakHyphen/>
              <w:t>14</w:t>
            </w:r>
          </w:p>
        </w:tc>
        <w:tc>
          <w:tcPr>
            <w:tcW w:w="2693" w:type="dxa"/>
          </w:tcPr>
          <w:p>
            <w:pPr>
              <w:pStyle w:val="nTable"/>
              <w:spacing w:after="40"/>
              <w:rPr>
                <w:spacing w:val="-2"/>
                <w:sz w:val="19"/>
              </w:rPr>
            </w:pPr>
            <w:r>
              <w:rPr>
                <w:spacing w:val="-2"/>
                <w:sz w:val="19"/>
              </w:rPr>
              <w:t>10 Aug 2001</w:t>
            </w:r>
          </w:p>
        </w:tc>
      </w:tr>
      <w:tr>
        <w:trPr>
          <w:cantSplit/>
        </w:trPr>
        <w:tc>
          <w:tcPr>
            <w:tcW w:w="3118" w:type="dxa"/>
          </w:tcPr>
          <w:p>
            <w:pPr>
              <w:pStyle w:val="nTable"/>
              <w:spacing w:after="40"/>
              <w:ind w:right="113"/>
              <w:rPr>
                <w:i/>
                <w:spacing w:val="-2"/>
                <w:sz w:val="19"/>
              </w:rPr>
            </w:pPr>
            <w:r>
              <w:rPr>
                <w:i/>
                <w:sz w:val="19"/>
              </w:rPr>
              <w:t>Equality of Status Subsidiary Legislation Amendment Regulations 2003</w:t>
            </w:r>
            <w:r>
              <w:rPr>
                <w:sz w:val="19"/>
              </w:rPr>
              <w:t xml:space="preserve"> Pt. 31</w:t>
            </w:r>
          </w:p>
        </w:tc>
        <w:tc>
          <w:tcPr>
            <w:tcW w:w="1276" w:type="dxa"/>
          </w:tcPr>
          <w:p>
            <w:pPr>
              <w:pStyle w:val="nTable"/>
              <w:spacing w:after="40"/>
              <w:rPr>
                <w:spacing w:val="-2"/>
                <w:sz w:val="19"/>
              </w:rPr>
            </w:pPr>
            <w:r>
              <w:rPr>
                <w:sz w:val="19"/>
              </w:rPr>
              <w:t>30 Jun 2003 p. 2581</w:t>
            </w:r>
            <w:r>
              <w:rPr>
                <w:sz w:val="19"/>
              </w:rPr>
              <w:noBreakHyphen/>
              <w:t>638</w:t>
            </w:r>
          </w:p>
        </w:tc>
        <w:tc>
          <w:tcPr>
            <w:tcW w:w="2693" w:type="dxa"/>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8" w:type="dxa"/>
          </w:tcPr>
          <w:p>
            <w:pPr>
              <w:pStyle w:val="nTable"/>
              <w:spacing w:after="40"/>
              <w:ind w:right="113"/>
              <w:rPr>
                <w:i/>
                <w:sz w:val="19"/>
              </w:rPr>
            </w:pPr>
            <w:r>
              <w:rPr>
                <w:i/>
                <w:sz w:val="19"/>
              </w:rPr>
              <w:t>Police Force Amendment Regulations 2003</w:t>
            </w:r>
          </w:p>
        </w:tc>
        <w:tc>
          <w:tcPr>
            <w:tcW w:w="1276" w:type="dxa"/>
          </w:tcPr>
          <w:p>
            <w:pPr>
              <w:pStyle w:val="nTable"/>
              <w:spacing w:after="40"/>
              <w:rPr>
                <w:sz w:val="19"/>
              </w:rPr>
            </w:pPr>
            <w:r>
              <w:rPr>
                <w:sz w:val="19"/>
              </w:rPr>
              <w:t>26 Aug 2003 p. 3758</w:t>
            </w:r>
            <w:r>
              <w:rPr>
                <w:sz w:val="19"/>
              </w:rPr>
              <w:noBreakHyphen/>
              <w:t>64</w:t>
            </w:r>
          </w:p>
        </w:tc>
        <w:tc>
          <w:tcPr>
            <w:tcW w:w="2693" w:type="dxa"/>
          </w:tcPr>
          <w:p>
            <w:pPr>
              <w:pStyle w:val="nTable"/>
              <w:spacing w:after="40"/>
              <w:rPr>
                <w:sz w:val="19"/>
              </w:rPr>
            </w:pPr>
            <w:r>
              <w:rPr>
                <w:sz w:val="19"/>
              </w:rPr>
              <w:t xml:space="preserve">27 Aug 2003 (see r. 2 and </w:t>
            </w:r>
            <w:r>
              <w:rPr>
                <w:i/>
                <w:sz w:val="19"/>
              </w:rPr>
              <w:t>Gazette</w:t>
            </w:r>
            <w:r>
              <w:rPr>
                <w:sz w:val="19"/>
              </w:rPr>
              <w:t xml:space="preserve"> 26 Aug 2003 p. 3753)</w:t>
            </w:r>
          </w:p>
        </w:tc>
      </w:tr>
      <w:tr>
        <w:trPr>
          <w:cantSplit/>
        </w:trPr>
        <w:tc>
          <w:tcPr>
            <w:tcW w:w="3118" w:type="dxa"/>
          </w:tcPr>
          <w:p>
            <w:pPr>
              <w:pStyle w:val="nTable"/>
              <w:spacing w:after="40"/>
              <w:ind w:right="113"/>
              <w:rPr>
                <w:i/>
                <w:sz w:val="19"/>
              </w:rPr>
            </w:pPr>
            <w:r>
              <w:rPr>
                <w:i/>
                <w:sz w:val="19"/>
              </w:rPr>
              <w:t>Police Force Amendment Regulations (No. 2) 2004</w:t>
            </w:r>
          </w:p>
        </w:tc>
        <w:tc>
          <w:tcPr>
            <w:tcW w:w="1276" w:type="dxa"/>
          </w:tcPr>
          <w:p>
            <w:pPr>
              <w:pStyle w:val="nTable"/>
              <w:spacing w:after="40"/>
              <w:rPr>
                <w:sz w:val="19"/>
              </w:rPr>
            </w:pPr>
            <w:r>
              <w:rPr>
                <w:sz w:val="19"/>
              </w:rPr>
              <w:t>17 Dec 2004 p. 6087</w:t>
            </w:r>
          </w:p>
        </w:tc>
        <w:tc>
          <w:tcPr>
            <w:tcW w:w="2693" w:type="dxa"/>
          </w:tcPr>
          <w:p>
            <w:pPr>
              <w:pStyle w:val="nTable"/>
              <w:spacing w:after="40"/>
              <w:rPr>
                <w:sz w:val="19"/>
              </w:rPr>
            </w:pPr>
            <w:r>
              <w:rPr>
                <w:sz w:val="19"/>
              </w:rPr>
              <w:t>17 Dec 2004</w:t>
            </w:r>
          </w:p>
        </w:tc>
      </w:tr>
      <w:tr>
        <w:trPr>
          <w:cantSplit/>
        </w:trPr>
        <w:tc>
          <w:tcPr>
            <w:tcW w:w="3118" w:type="dxa"/>
          </w:tcPr>
          <w:p>
            <w:pPr>
              <w:pStyle w:val="nTable"/>
              <w:spacing w:after="40"/>
              <w:ind w:right="113"/>
              <w:rPr>
                <w:i/>
                <w:sz w:val="19"/>
              </w:rPr>
            </w:pPr>
            <w:r>
              <w:rPr>
                <w:i/>
                <w:sz w:val="19"/>
              </w:rPr>
              <w:t>Police Force Amendment Regulations (No. 3) 2005</w:t>
            </w:r>
          </w:p>
        </w:tc>
        <w:tc>
          <w:tcPr>
            <w:tcW w:w="1276" w:type="dxa"/>
          </w:tcPr>
          <w:p>
            <w:pPr>
              <w:pStyle w:val="nTable"/>
              <w:spacing w:after="40"/>
              <w:rPr>
                <w:sz w:val="19"/>
              </w:rPr>
            </w:pPr>
            <w:r>
              <w:rPr>
                <w:sz w:val="19"/>
              </w:rPr>
              <w:t>30 Dec 2005 p. 6879</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13"/>
              <w:rPr>
                <w:i/>
                <w:sz w:val="19"/>
              </w:rPr>
            </w:pPr>
            <w:r>
              <w:rPr>
                <w:i/>
                <w:sz w:val="19"/>
              </w:rPr>
              <w:t>Police Force Amendment Regulations 2006</w:t>
            </w:r>
          </w:p>
        </w:tc>
        <w:tc>
          <w:tcPr>
            <w:tcW w:w="1276" w:type="dxa"/>
          </w:tcPr>
          <w:p>
            <w:pPr>
              <w:pStyle w:val="nTable"/>
              <w:spacing w:after="40"/>
              <w:rPr>
                <w:sz w:val="19"/>
              </w:rPr>
            </w:pPr>
            <w:r>
              <w:rPr>
                <w:sz w:val="19"/>
              </w:rPr>
              <w:t>15 Dec 2006 p. 5631</w:t>
            </w:r>
            <w:r>
              <w:rPr>
                <w:sz w:val="19"/>
              </w:rPr>
              <w:noBreakHyphen/>
              <w:t>6</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Police Force Amendment Regulations (No. 4) 2006</w:t>
            </w:r>
          </w:p>
        </w:tc>
        <w:tc>
          <w:tcPr>
            <w:tcW w:w="1276" w:type="dxa"/>
          </w:tcPr>
          <w:p>
            <w:pPr>
              <w:pStyle w:val="nTable"/>
              <w:spacing w:after="40"/>
              <w:rPr>
                <w:sz w:val="19"/>
              </w:rPr>
            </w:pPr>
            <w:r>
              <w:rPr>
                <w:sz w:val="19"/>
              </w:rPr>
              <w:t>22 Dec 2006 p. 5823</w:t>
            </w:r>
          </w:p>
        </w:tc>
        <w:tc>
          <w:tcPr>
            <w:tcW w:w="2693" w:type="dxa"/>
          </w:tcPr>
          <w:p>
            <w:pPr>
              <w:pStyle w:val="nTable"/>
              <w:spacing w:after="40"/>
              <w:rPr>
                <w:sz w:val="19"/>
              </w:rPr>
            </w:pPr>
            <w:r>
              <w:rPr>
                <w:sz w:val="19"/>
              </w:rPr>
              <w:t>22 Dec 2006</w:t>
            </w:r>
          </w:p>
        </w:tc>
      </w:tr>
      <w:tr>
        <w:trPr>
          <w:cantSplit/>
        </w:trPr>
        <w:tc>
          <w:tcPr>
            <w:tcW w:w="3118" w:type="dxa"/>
          </w:tcPr>
          <w:p>
            <w:pPr>
              <w:pStyle w:val="nTable"/>
              <w:spacing w:after="40"/>
              <w:ind w:right="113"/>
              <w:rPr>
                <w:i/>
                <w:sz w:val="19"/>
              </w:rPr>
            </w:pPr>
            <w:r>
              <w:rPr>
                <w:i/>
                <w:sz w:val="19"/>
              </w:rPr>
              <w:t>Police Force Amendment Regulations 2007</w:t>
            </w:r>
          </w:p>
        </w:tc>
        <w:tc>
          <w:tcPr>
            <w:tcW w:w="1276" w:type="dxa"/>
          </w:tcPr>
          <w:p>
            <w:pPr>
              <w:pStyle w:val="nTable"/>
              <w:spacing w:after="40"/>
              <w:rPr>
                <w:sz w:val="19"/>
              </w:rPr>
            </w:pPr>
            <w:r>
              <w:rPr>
                <w:sz w:val="19"/>
              </w:rPr>
              <w:t>2 Feb 2007 p. 246-51</w:t>
            </w:r>
          </w:p>
        </w:tc>
        <w:tc>
          <w:tcPr>
            <w:tcW w:w="2693" w:type="dxa"/>
          </w:tcPr>
          <w:p>
            <w:pPr>
              <w:pStyle w:val="nTable"/>
              <w:spacing w:after="40"/>
              <w:rPr>
                <w:sz w:val="19"/>
              </w:rPr>
            </w:pPr>
            <w:r>
              <w:rPr>
                <w:sz w:val="19"/>
              </w:rPr>
              <w:t>7 Feb 2007 (see r. 2)</w:t>
            </w:r>
          </w:p>
        </w:tc>
      </w:tr>
      <w:tr>
        <w:trPr>
          <w:cantSplit/>
        </w:trPr>
        <w:tc>
          <w:tcPr>
            <w:tcW w:w="7087" w:type="dxa"/>
            <w:gridSpan w:val="3"/>
          </w:tcPr>
          <w:p>
            <w:pPr>
              <w:pStyle w:val="nTable"/>
              <w:spacing w:after="40"/>
              <w:rPr>
                <w:sz w:val="19"/>
              </w:rPr>
            </w:pPr>
            <w:r>
              <w:rPr>
                <w:b/>
                <w:sz w:val="19"/>
              </w:rPr>
              <w:t>Reprint 4</w:t>
            </w:r>
            <w:r>
              <w:rPr>
                <w:b/>
                <w:sz w:val="19"/>
                <w:vertAlign w:val="superscript"/>
              </w:rPr>
              <w:t> 8</w:t>
            </w:r>
            <w:r>
              <w:rPr>
                <w:b/>
                <w:sz w:val="19"/>
              </w:rPr>
              <w:t xml:space="preserve">: The </w:t>
            </w:r>
            <w:r>
              <w:rPr>
                <w:b/>
                <w:i/>
                <w:sz w:val="19"/>
              </w:rPr>
              <w:t>Police Force Regulations 1979</w:t>
            </w:r>
            <w:r>
              <w:rPr>
                <w:b/>
                <w:sz w:val="19"/>
              </w:rPr>
              <w:t xml:space="preserve"> as at 13 Apr 2007 </w:t>
            </w:r>
            <w:r>
              <w:rPr>
                <w:sz w:val="19"/>
              </w:rPr>
              <w:t>(includes amendments listed above)</w:t>
            </w:r>
          </w:p>
        </w:tc>
      </w:tr>
      <w:tr>
        <w:trPr>
          <w:cantSplit/>
        </w:trPr>
        <w:tc>
          <w:tcPr>
            <w:tcW w:w="3118" w:type="dxa"/>
          </w:tcPr>
          <w:p>
            <w:pPr>
              <w:pStyle w:val="nTable"/>
              <w:spacing w:after="40"/>
              <w:ind w:right="113"/>
              <w:rPr>
                <w:i/>
                <w:sz w:val="19"/>
              </w:rPr>
            </w:pPr>
            <w:r>
              <w:rPr>
                <w:i/>
                <w:sz w:val="19"/>
              </w:rPr>
              <w:t>Police Force Amendment Regulations (No. 3) 2007</w:t>
            </w:r>
          </w:p>
        </w:tc>
        <w:tc>
          <w:tcPr>
            <w:tcW w:w="1276" w:type="dxa"/>
          </w:tcPr>
          <w:p>
            <w:pPr>
              <w:pStyle w:val="nTable"/>
              <w:spacing w:after="40"/>
              <w:rPr>
                <w:sz w:val="19"/>
              </w:rPr>
            </w:pPr>
            <w:r>
              <w:rPr>
                <w:sz w:val="19"/>
              </w:rPr>
              <w:t>16 Nov 2007 p. 5786-7</w:t>
            </w:r>
          </w:p>
        </w:tc>
        <w:tc>
          <w:tcPr>
            <w:tcW w:w="2693" w:type="dxa"/>
          </w:tcPr>
          <w:p>
            <w:pPr>
              <w:pStyle w:val="nTable"/>
              <w:spacing w:after="40"/>
              <w:rPr>
                <w:sz w:val="19"/>
              </w:rPr>
            </w:pPr>
            <w:r>
              <w:rPr>
                <w:sz w:val="19"/>
              </w:rPr>
              <w:t>r. 1 and 2: 16 Nov 2007 (see r. 2(a));</w:t>
            </w:r>
            <w:r>
              <w:rPr>
                <w:sz w:val="19"/>
              </w:rPr>
              <w:br/>
              <w:t>Regulations other than r. 1 and 2: 17 Nov 2007 (see r. 2(b))</w:t>
            </w:r>
          </w:p>
        </w:tc>
      </w:tr>
      <w:tr>
        <w:trPr>
          <w:cantSplit/>
        </w:trPr>
        <w:tc>
          <w:tcPr>
            <w:tcW w:w="3118" w:type="dxa"/>
          </w:tcPr>
          <w:p>
            <w:pPr>
              <w:pStyle w:val="nTable"/>
              <w:spacing w:after="40"/>
              <w:ind w:right="113"/>
              <w:rPr>
                <w:i/>
                <w:sz w:val="19"/>
              </w:rPr>
            </w:pPr>
            <w:r>
              <w:rPr>
                <w:i/>
                <w:sz w:val="19"/>
              </w:rPr>
              <w:t>Police Force Amendment Regulations (No. 2) 2008</w:t>
            </w:r>
          </w:p>
        </w:tc>
        <w:tc>
          <w:tcPr>
            <w:tcW w:w="1276" w:type="dxa"/>
          </w:tcPr>
          <w:p>
            <w:pPr>
              <w:pStyle w:val="nTable"/>
              <w:spacing w:after="40"/>
              <w:rPr>
                <w:sz w:val="19"/>
              </w:rPr>
            </w:pPr>
            <w:r>
              <w:rPr>
                <w:sz w:val="19"/>
              </w:rPr>
              <w:t>30 Dec 2008 p. 5643</w:t>
            </w:r>
            <w:r>
              <w:rPr>
                <w:sz w:val="19"/>
              </w:rPr>
              <w:noBreakHyphen/>
              <w:t>7</w:t>
            </w:r>
          </w:p>
        </w:tc>
        <w:tc>
          <w:tcPr>
            <w:tcW w:w="2693" w:type="dxa"/>
          </w:tcPr>
          <w:p>
            <w:pPr>
              <w:pStyle w:val="nTable"/>
              <w:spacing w:after="40"/>
              <w:rPr>
                <w:sz w:val="19"/>
              </w:rPr>
            </w:pPr>
            <w:r>
              <w:rPr>
                <w:sz w:val="19"/>
              </w:rPr>
              <w:t>r. 1 and 2: 30 Dec 2008 (see r. 2(a));</w:t>
            </w:r>
            <w:r>
              <w:rPr>
                <w:sz w:val="19"/>
              </w:rPr>
              <w:br/>
              <w:t>Regulations other than r. 1 and 2: 31 Dec 2008 (see r. 2(b))</w:t>
            </w:r>
          </w:p>
        </w:tc>
      </w:tr>
      <w:tr>
        <w:trPr>
          <w:cantSplit/>
          <w:ins w:id="1202" w:author="Master Repository Process" w:date="2021-09-11T18:14:00Z"/>
        </w:trPr>
        <w:tc>
          <w:tcPr>
            <w:tcW w:w="3118" w:type="dxa"/>
            <w:tcBorders>
              <w:bottom w:val="single" w:sz="4" w:space="0" w:color="auto"/>
            </w:tcBorders>
          </w:tcPr>
          <w:p>
            <w:pPr>
              <w:pStyle w:val="nTable"/>
              <w:spacing w:after="40"/>
              <w:ind w:right="113"/>
              <w:rPr>
                <w:ins w:id="1203" w:author="Master Repository Process" w:date="2021-09-11T18:14:00Z"/>
                <w:i/>
                <w:sz w:val="19"/>
              </w:rPr>
            </w:pPr>
            <w:ins w:id="1204" w:author="Master Repository Process" w:date="2021-09-11T18:14:00Z">
              <w:r>
                <w:rPr>
                  <w:i/>
                  <w:sz w:val="19"/>
                </w:rPr>
                <w:t>Police Force Amendment Regulations 2010</w:t>
              </w:r>
            </w:ins>
          </w:p>
        </w:tc>
        <w:tc>
          <w:tcPr>
            <w:tcW w:w="1276" w:type="dxa"/>
            <w:tcBorders>
              <w:bottom w:val="single" w:sz="4" w:space="0" w:color="auto"/>
            </w:tcBorders>
          </w:tcPr>
          <w:p>
            <w:pPr>
              <w:pStyle w:val="nTable"/>
              <w:spacing w:after="40"/>
              <w:rPr>
                <w:ins w:id="1205" w:author="Master Repository Process" w:date="2021-09-11T18:14:00Z"/>
                <w:sz w:val="19"/>
              </w:rPr>
            </w:pPr>
            <w:ins w:id="1206" w:author="Master Repository Process" w:date="2021-09-11T18:14:00Z">
              <w:r>
                <w:rPr>
                  <w:sz w:val="19"/>
                </w:rPr>
                <w:t>12 Mar 2010 p. 954-6</w:t>
              </w:r>
            </w:ins>
          </w:p>
        </w:tc>
        <w:tc>
          <w:tcPr>
            <w:tcW w:w="2693" w:type="dxa"/>
            <w:tcBorders>
              <w:bottom w:val="single" w:sz="4" w:space="0" w:color="auto"/>
            </w:tcBorders>
          </w:tcPr>
          <w:p>
            <w:pPr>
              <w:pStyle w:val="nTable"/>
              <w:spacing w:after="40"/>
              <w:rPr>
                <w:ins w:id="1207" w:author="Master Repository Process" w:date="2021-09-11T18:14:00Z"/>
                <w:sz w:val="19"/>
              </w:rPr>
            </w:pPr>
            <w:ins w:id="1208" w:author="Master Repository Process" w:date="2021-09-11T18:14:00Z">
              <w:r>
                <w:rPr>
                  <w:sz w:val="19"/>
                </w:rPr>
                <w:t>r. 1 and 2: 12 Mar 2010 (see r. 2(a));</w:t>
              </w:r>
              <w:r>
                <w:rPr>
                  <w:sz w:val="19"/>
                </w:rPr>
                <w:br/>
                <w:t xml:space="preserve">Regulations other than r. 1 and 2: 13 Mar 2010 (see r. 2(b) and </w:t>
              </w:r>
              <w:r>
                <w:rPr>
                  <w:i/>
                  <w:iCs/>
                  <w:sz w:val="19"/>
                </w:rPr>
                <w:t>Gazette</w:t>
              </w:r>
              <w:r>
                <w:rPr>
                  <w:sz w:val="19"/>
                </w:rPr>
                <w:t xml:space="preserve"> 12 Mar 2010 p. 941)</w:t>
              </w:r>
            </w:ins>
          </w:p>
        </w:tc>
      </w:tr>
    </w:tbl>
    <w:p>
      <w:pPr>
        <w:pStyle w:val="nSubsection"/>
      </w:pPr>
      <w:bookmarkStart w:id="1209" w:name="UpToHere"/>
      <w:bookmarkEnd w:id="1209"/>
      <w:r>
        <w:rPr>
          <w:vertAlign w:val="superscript"/>
        </w:rPr>
        <w:t>2</w:t>
      </w:r>
      <w:r>
        <w:tab/>
        <w:t xml:space="preserve">Under the </w:t>
      </w:r>
      <w:r>
        <w:rPr>
          <w:i/>
        </w:rPr>
        <w:t>Acts Amendment and Repeal (Industrial Relations) Act (No. 2) 1984</w:t>
      </w:r>
      <w:r>
        <w:t xml:space="preserve">, a reference to the </w:t>
      </w:r>
      <w:r>
        <w:rPr>
          <w:i/>
        </w:rPr>
        <w:t>Industrial Arbitration Act 1912</w:t>
      </w:r>
      <w:r>
        <w:t xml:space="preserve"> is to be read as a reference to the </w:t>
      </w:r>
      <w:r>
        <w:rPr>
          <w:i/>
        </w:rPr>
        <w:t>Industrial Relations Act 1979</w:t>
      </w:r>
      <w:r>
        <w:t xml:space="preserve">. The reference was substituted under the </w:t>
      </w:r>
      <w:r>
        <w:rPr>
          <w:i/>
        </w:rPr>
        <w:t>Reprints Act 1984</w:t>
      </w:r>
      <w:r>
        <w:t xml:space="preserve"> s. 7(3)(g).</w:t>
      </w:r>
    </w:p>
    <w:p>
      <w:pPr>
        <w:pStyle w:val="nSubsection"/>
      </w:pPr>
      <w:r>
        <w:rPr>
          <w:vertAlign w:val="superscript"/>
        </w:rPr>
        <w:t>3</w:t>
      </w:r>
      <w:r>
        <w:tab/>
        <w:t xml:space="preserve">The </w:t>
      </w:r>
      <w:r>
        <w:rPr>
          <w:i/>
        </w:rPr>
        <w:t>Liquor Act 1970</w:t>
      </w:r>
      <w:r>
        <w:t xml:space="preserve"> was repealed by the </w:t>
      </w:r>
      <w:r>
        <w:rPr>
          <w:i/>
        </w:rPr>
        <w:t>Liquor Licensing Act 1988</w:t>
      </w:r>
      <w:r>
        <w:t>.</w:t>
      </w:r>
    </w:p>
    <w:p>
      <w:pPr>
        <w:pStyle w:val="nSubsection"/>
      </w:pPr>
      <w:r>
        <w:rPr>
          <w:vertAlign w:val="superscript"/>
        </w:rPr>
        <w:t>4</w:t>
      </w:r>
      <w:r>
        <w:tab/>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vertAlign w:val="superscript"/>
        </w:rPr>
        <w:t>5</w:t>
      </w:r>
      <w:r>
        <w:tab/>
        <w:t xml:space="preserve">Now known as the </w:t>
      </w:r>
      <w:r>
        <w:rPr>
          <w:i/>
        </w:rPr>
        <w:t>Police Force Regulations 1979,</w:t>
      </w:r>
      <w:r>
        <w:t xml:space="preserve"> citation changed (see note under r. 101).</w:t>
      </w:r>
    </w:p>
    <w:p>
      <w:pPr>
        <w:pStyle w:val="nSubsection"/>
        <w:rPr>
          <w:snapToGrid w:val="0"/>
        </w:rPr>
      </w:pPr>
      <w:r>
        <w:rPr>
          <w:vertAlign w:val="superscript"/>
        </w:rPr>
        <w:t>6</w:t>
      </w:r>
      <w:r>
        <w:tab/>
        <w:t xml:space="preserve">The </w:t>
      </w:r>
      <w:r>
        <w:rPr>
          <w:i/>
        </w:rPr>
        <w:t>Police Force Amendment Regulations (No. 2) 1995</w:t>
      </w:r>
      <w:r>
        <w:t xml:space="preserve"> r. 3(2) is a transitional provision that is of no further effect.</w:t>
      </w:r>
    </w:p>
    <w:p>
      <w:pPr>
        <w:pStyle w:val="nSubsection"/>
      </w:pPr>
      <w:r>
        <w:rPr>
          <w:vertAlign w:val="superscript"/>
        </w:rPr>
        <w:t>7</w:t>
      </w:r>
      <w:r>
        <w:tab/>
        <w:t xml:space="preserve">The </w:t>
      </w:r>
      <w:r>
        <w:rPr>
          <w:i/>
        </w:rPr>
        <w:t>Police Force Amendment Regulations (No. 2) 1998</w:t>
      </w:r>
      <w:r>
        <w:t xml:space="preserve"> r. 13 is a transitional provision that is of no further effect.</w:t>
      </w:r>
    </w:p>
    <w:p>
      <w:pPr>
        <w:pStyle w:val="nSubsection"/>
      </w:pPr>
      <w:r>
        <w:rPr>
          <w:vertAlign w:val="superscript"/>
        </w:rPr>
        <w:t>8</w:t>
      </w:r>
      <w:r>
        <w:tab/>
        <w:t xml:space="preserve">Correction to reprint published in </w:t>
      </w:r>
      <w:r>
        <w:rPr>
          <w:i/>
          <w:iCs/>
        </w:rPr>
        <w:t>Gazette</w:t>
      </w:r>
      <w:r>
        <w:t xml:space="preserve"> 9 May 2008 p. 1859.</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101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101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Police Force Regulations 1979</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15EA34A6"/>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774ACCB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085712"/>
    <w:docVar w:name="WAFER_20151209085712" w:val="RemoveTrackChanges"/>
    <w:docVar w:name="WAFER_20151209085712_GUID" w:val="5a55ec4e-aba6-4c4e-a148-37706d70fe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2E0345-E8DB-4328-8D90-10FA36EB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16079</Words>
  <Characters>77986</Characters>
  <Application>Microsoft Office Word</Application>
  <DocSecurity>0</DocSecurity>
  <Lines>2228</Lines>
  <Paragraphs>1271</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92794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04-c0-03 - 04-d0-02</dc:title>
  <dc:subject/>
  <dc:creator/>
  <cp:keywords/>
  <dc:description/>
  <cp:lastModifiedBy>Master Repository Process</cp:lastModifiedBy>
  <cp:revision>2</cp:revision>
  <cp:lastPrinted>2008-06-19T02:50:00Z</cp:lastPrinted>
  <dcterms:created xsi:type="dcterms:W3CDTF">2021-09-11T10:14:00Z</dcterms:created>
  <dcterms:modified xsi:type="dcterms:W3CDTF">2021-09-11T10:15:00Z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CommencementDate">
    <vt:lpwstr>20100313</vt:lpwstr>
  </property>
  <property fmtid="{D5CDD505-2E9C-101B-9397-08002B2CF9AE}" pid="4" name="DocumentType">
    <vt:lpwstr>Reg</vt:lpwstr>
  </property>
  <property fmtid="{D5CDD505-2E9C-101B-9397-08002B2CF9AE}" pid="5" name="OwlsUID">
    <vt:i4>4707</vt:i4>
  </property>
  <property fmtid="{D5CDD505-2E9C-101B-9397-08002B2CF9AE}" pid="6" name="ReprintNo">
    <vt:lpwstr>4</vt:lpwstr>
  </property>
  <property fmtid="{D5CDD505-2E9C-101B-9397-08002B2CF9AE}" pid="7" name="FromSuffix">
    <vt:lpwstr>04-c0-03</vt:lpwstr>
  </property>
  <property fmtid="{D5CDD505-2E9C-101B-9397-08002B2CF9AE}" pid="8" name="FromAsAtDate">
    <vt:lpwstr>31 Dec 2008</vt:lpwstr>
  </property>
  <property fmtid="{D5CDD505-2E9C-101B-9397-08002B2CF9AE}" pid="9" name="ToSuffix">
    <vt:lpwstr>04-d0-02</vt:lpwstr>
  </property>
  <property fmtid="{D5CDD505-2E9C-101B-9397-08002B2CF9AE}" pid="10" name="ToAsAtDate">
    <vt:lpwstr>13 Mar 2010</vt:lpwstr>
  </property>
</Properties>
</file>