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Regional Development Commissions Act 1993 </w:t>
      </w:r>
    </w:p>
    <w:p>
      <w:pPr>
        <w:pStyle w:val="LongTitle"/>
        <w:rPr>
          <w:snapToGrid w:val="0"/>
        </w:rPr>
      </w:pPr>
      <w:r>
        <w:rPr>
          <w:snapToGrid w:val="0"/>
        </w:rPr>
        <w:t>A</w:t>
      </w:r>
      <w:bookmarkStart w:id="0" w:name="_GoBack"/>
      <w:bookmarkEnd w:id="0"/>
      <w:r>
        <w:rPr>
          <w:snapToGrid w:val="0"/>
        </w:rPr>
        <w:t xml:space="preserve">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 w:name="_Toc88976310"/>
      <w:bookmarkStart w:id="2" w:name="_Toc100457782"/>
      <w:bookmarkStart w:id="3" w:name="_Toc100566641"/>
      <w:bookmarkStart w:id="4" w:name="_Toc139343335"/>
      <w:bookmarkStart w:id="5" w:name="_Toc1396937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7977356"/>
      <w:bookmarkStart w:id="7" w:name="_Toc468772773"/>
      <w:bookmarkStart w:id="8" w:name="_Toc36365124"/>
      <w:bookmarkStart w:id="9" w:name="_Toc36365256"/>
      <w:bookmarkStart w:id="10" w:name="_Toc100566642"/>
      <w:bookmarkStart w:id="11" w:name="_Toc139693707"/>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12" w:name="_Toc417977357"/>
      <w:bookmarkStart w:id="13" w:name="_Toc468772774"/>
      <w:bookmarkStart w:id="14" w:name="_Toc36365125"/>
      <w:bookmarkStart w:id="15" w:name="_Toc36365257"/>
      <w:bookmarkStart w:id="16" w:name="_Toc100566643"/>
      <w:bookmarkStart w:id="17" w:name="_Toc139693708"/>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417977358"/>
      <w:bookmarkStart w:id="19" w:name="_Toc468772775"/>
      <w:bookmarkStart w:id="20" w:name="_Toc36365126"/>
      <w:bookmarkStart w:id="21" w:name="_Toc36365258"/>
      <w:bookmarkStart w:id="22" w:name="_Toc100566644"/>
      <w:bookmarkStart w:id="23" w:name="_Toc139693709"/>
      <w:r>
        <w:rPr>
          <w:rStyle w:val="CharSectno"/>
        </w:rPr>
        <w:t>3</w:t>
      </w:r>
      <w:r>
        <w:rPr>
          <w:snapToGrid w:val="0"/>
        </w:rPr>
        <w:t>.</w:t>
      </w:r>
      <w:r>
        <w:rPr>
          <w:snapToGrid w:val="0"/>
        </w:rPr>
        <w:tab/>
        <w:t>Interpretation</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a Board appointed under section 15(1)(b);</w:t>
      </w:r>
    </w:p>
    <w:p>
      <w:pPr>
        <w:pStyle w:val="Defstart"/>
      </w:pPr>
      <w:r>
        <w:rPr>
          <w:b/>
        </w:rPr>
        <w:tab/>
        <w:t>“</w:t>
      </w:r>
      <w:r>
        <w:rPr>
          <w:rStyle w:val="CharDefText"/>
        </w:rPr>
        <w:t>Board</w:t>
      </w:r>
      <w:r>
        <w:rPr>
          <w:b/>
        </w:rPr>
        <w:t>”</w:t>
      </w:r>
      <w:r>
        <w:t xml:space="preserve"> means a board of management referred to in section 15(1);</w:t>
      </w:r>
    </w:p>
    <w:p>
      <w:pPr>
        <w:pStyle w:val="Defstart"/>
      </w:pPr>
      <w:r>
        <w:rPr>
          <w:b/>
        </w:rPr>
        <w:tab/>
        <w:t>“</w:t>
      </w:r>
      <w:r>
        <w:rPr>
          <w:rStyle w:val="CharDefText"/>
        </w:rPr>
        <w:t>Board member</w:t>
      </w:r>
      <w:r>
        <w:rPr>
          <w:b/>
        </w:rPr>
        <w:t>”</w:t>
      </w:r>
      <w:r>
        <w:t xml:space="preserve"> means the Director or an appointed member;</w:t>
      </w:r>
    </w:p>
    <w:p>
      <w:pPr>
        <w:pStyle w:val="Defstart"/>
      </w:pPr>
      <w:r>
        <w:rPr>
          <w:b/>
        </w:rPr>
        <w:tab/>
        <w:t>“</w:t>
      </w:r>
      <w:r>
        <w:rPr>
          <w:rStyle w:val="CharDefText"/>
        </w:rPr>
        <w:t>commission</w:t>
      </w:r>
      <w:r>
        <w:rPr>
          <w:b/>
        </w:rPr>
        <w:t>”</w:t>
      </w:r>
      <w:r>
        <w:t xml:space="preserve"> means a body established by a provision of Part 2;</w:t>
      </w:r>
    </w:p>
    <w:p>
      <w:pPr>
        <w:pStyle w:val="Defstart"/>
      </w:pPr>
      <w:r>
        <w:rPr>
          <w:b/>
        </w:rPr>
        <w:tab/>
        <w:t>“</w:t>
      </w:r>
      <w:r>
        <w:rPr>
          <w:rStyle w:val="CharDefText"/>
        </w:rPr>
        <w:t>committee</w:t>
      </w:r>
      <w:r>
        <w:rPr>
          <w:b/>
        </w:rPr>
        <w:t>”</w:t>
      </w:r>
      <w:r>
        <w:t xml:space="preserve"> means a Regional Development Advisory Committee or other committee appointed under Part 2 of Schedule 2;</w:t>
      </w:r>
    </w:p>
    <w:p>
      <w:pPr>
        <w:pStyle w:val="Defstart"/>
      </w:pPr>
      <w:r>
        <w:rPr>
          <w:b/>
        </w:rPr>
        <w:tab/>
        <w:t>“</w:t>
      </w:r>
      <w:r>
        <w:rPr>
          <w:rStyle w:val="CharDefText"/>
        </w:rPr>
        <w:t>Council</w:t>
      </w:r>
      <w:r>
        <w:rPr>
          <w:b/>
        </w:rPr>
        <w:t>”</w:t>
      </w:r>
      <w:r>
        <w:t xml:space="preserve"> means the Council established by section 33;</w:t>
      </w:r>
    </w:p>
    <w:p>
      <w:pPr>
        <w:pStyle w:val="Defstart"/>
        <w:rPr>
          <w:del w:id="24" w:author="svcMRProcess" w:date="2018-09-08T01:29:00Z"/>
        </w:rPr>
      </w:pPr>
      <w:del w:id="25" w:author="svcMRProcess" w:date="2018-09-08T01:29:00Z">
        <w:r>
          <w:rPr>
            <w:b/>
          </w:rPr>
          <w:tab/>
          <w:delText>“</w:delText>
        </w:r>
        <w:r>
          <w:rPr>
            <w:rStyle w:val="CharDefText"/>
          </w:rPr>
          <w:delText>Department</w:delText>
        </w:r>
        <w:r>
          <w:rPr>
            <w:b/>
          </w:rPr>
          <w:delText>”</w:delText>
        </w:r>
        <w:r>
          <w:delText xml:space="preserve"> means the department of the Public Service principally assisting the Minister in the administration of this Act;</w:delText>
        </w:r>
      </w:del>
    </w:p>
    <w:p>
      <w:pPr>
        <w:pStyle w:val="Defstart"/>
      </w:pPr>
      <w:r>
        <w:rPr>
          <w:b/>
        </w:rPr>
        <w:tab/>
        <w:t>“</w:t>
      </w:r>
      <w:r>
        <w:rPr>
          <w:rStyle w:val="CharDefText"/>
        </w:rPr>
        <w:t>Director</w:t>
      </w:r>
      <w:r>
        <w:rPr>
          <w:b/>
        </w:rPr>
        <w:t>”</w:t>
      </w:r>
      <w:r>
        <w:t xml:space="preserve"> means the person holding or acting in the office of the Director of a commission referred to in section 27;</w:t>
      </w:r>
    </w:p>
    <w:p>
      <w:pPr>
        <w:pStyle w:val="Defstart"/>
      </w:pPr>
      <w:r>
        <w:rPr>
          <w:b/>
        </w:rPr>
        <w:tab/>
        <w:t>“</w:t>
      </w:r>
      <w:r>
        <w:rPr>
          <w:rStyle w:val="CharDefText"/>
        </w:rPr>
        <w:t>region</w:t>
      </w:r>
      <w:r>
        <w:rPr>
          <w:b/>
        </w:rPr>
        <w:t>”</w:t>
      </w:r>
      <w:r>
        <w:t xml:space="preserve"> means a region described in Schedule 1;</w:t>
      </w:r>
    </w:p>
    <w:p>
      <w:pPr>
        <w:pStyle w:val="Defstart"/>
      </w:pPr>
      <w:r>
        <w:rPr>
          <w:b/>
        </w:rPr>
        <w:tab/>
        <w:t>“</w:t>
      </w:r>
      <w:r>
        <w:rPr>
          <w:rStyle w:val="CharDefText"/>
        </w:rPr>
        <w:t>repealed Act</w:t>
      </w:r>
      <w:r>
        <w:rPr>
          <w:b/>
        </w:rPr>
        <w:t>”</w:t>
      </w:r>
      <w:r>
        <w:t xml:space="preserve"> means an Act repealed by section 5(3), 6(3), 8(3), 10(3) or 11(3).</w:t>
      </w:r>
    </w:p>
    <w:p>
      <w:pPr>
        <w:pStyle w:val="Subsection"/>
      </w:pPr>
      <w:r>
        <w:tab/>
        <w:t>(2)</w:t>
      </w:r>
      <w:r>
        <w:tab/>
        <w:t xml:space="preserve">In this Act, subject to subsection (3) — </w:t>
      </w:r>
    </w:p>
    <w:p>
      <w:pPr>
        <w:pStyle w:val="Defstart"/>
      </w:pPr>
      <w:r>
        <w:lastRenderedPageBreak/>
        <w:tab/>
      </w:r>
      <w:r>
        <w:rPr>
          <w:b/>
        </w:rPr>
        <w:t>“</w:t>
      </w:r>
      <w:r>
        <w:rPr>
          <w:rStyle w:val="CharDefText"/>
        </w:rPr>
        <w:t>Minister</w:t>
      </w:r>
      <w:r>
        <w:rPr>
          <w:b/>
        </w:rPr>
        <w:t>”</w:t>
      </w:r>
      <w:r>
        <w:t xml:space="preserve"> means the Minister to whom the administration of this Act is for the time being committed by the Governor.</w:t>
      </w:r>
    </w:p>
    <w:p>
      <w:pPr>
        <w:pStyle w:val="Subsection"/>
      </w:pPr>
      <w:r>
        <w:tab/>
        <w:t>(3)</w:t>
      </w:r>
      <w:r>
        <w:tab/>
        <w:t xml:space="preserve">In Parts 3 and 5 and Schedule 2 — </w:t>
      </w:r>
    </w:p>
    <w:p>
      <w:pPr>
        <w:pStyle w:val="Defstart"/>
      </w:pPr>
      <w:r>
        <w:tab/>
      </w:r>
      <w:r>
        <w:rPr>
          <w:b/>
        </w:rPr>
        <w:t>“</w:t>
      </w:r>
      <w:r>
        <w:rPr>
          <w:rStyle w:val="CharDefText"/>
        </w:rPr>
        <w:t>Minister</w:t>
      </w:r>
      <w:r>
        <w:rPr>
          <w:b/>
        </w:rPr>
        <w:t>”</w:t>
      </w:r>
      <w:r>
        <w:t>, in relation to a commission, means the Minister to whom the administration of that commission is for the time being committed by the Governor.</w:t>
      </w:r>
    </w:p>
    <w:p>
      <w:pPr>
        <w:pStyle w:val="Footnotesection"/>
      </w:pPr>
      <w:r>
        <w:tab/>
        <w:t>[Section 3 amended by No. 14 of 1996 s.4; No. 18 of 2001 s.4</w:t>
      </w:r>
      <w:ins w:id="26" w:author="svcMRProcess" w:date="2018-09-08T01:29:00Z">
        <w:r>
          <w:t>; No. 28 of 2006 s. 370</w:t>
        </w:r>
      </w:ins>
      <w:r>
        <w:t>.]</w:t>
      </w:r>
    </w:p>
    <w:p>
      <w:pPr>
        <w:pStyle w:val="Heading2"/>
      </w:pPr>
      <w:bookmarkStart w:id="27" w:name="_Toc88976314"/>
      <w:bookmarkStart w:id="28" w:name="_Toc100457786"/>
      <w:bookmarkStart w:id="29" w:name="_Toc100566645"/>
      <w:bookmarkStart w:id="30" w:name="_Toc139343339"/>
      <w:bookmarkStart w:id="31" w:name="_Toc139693710"/>
      <w:r>
        <w:rPr>
          <w:rStyle w:val="CharPartNo"/>
        </w:rPr>
        <w:t>Part 2</w:t>
      </w:r>
      <w:r>
        <w:rPr>
          <w:rStyle w:val="CharDivNo"/>
        </w:rPr>
        <w:t> </w:t>
      </w:r>
      <w:r>
        <w:t>—</w:t>
      </w:r>
      <w:r>
        <w:rPr>
          <w:rStyle w:val="CharDivText"/>
        </w:rPr>
        <w:t> </w:t>
      </w:r>
      <w:r>
        <w:rPr>
          <w:rStyle w:val="CharPartText"/>
        </w:rPr>
        <w:t>Establishment of regional development commissions</w:t>
      </w:r>
      <w:bookmarkEnd w:id="27"/>
      <w:bookmarkEnd w:id="28"/>
      <w:bookmarkEnd w:id="29"/>
      <w:bookmarkEnd w:id="30"/>
      <w:bookmarkEnd w:id="31"/>
      <w:r>
        <w:rPr>
          <w:rStyle w:val="CharPartText"/>
        </w:rPr>
        <w:t xml:space="preserve"> </w:t>
      </w:r>
    </w:p>
    <w:p>
      <w:pPr>
        <w:pStyle w:val="Heading5"/>
        <w:rPr>
          <w:snapToGrid w:val="0"/>
        </w:rPr>
      </w:pPr>
      <w:bookmarkStart w:id="32" w:name="_Toc417977359"/>
      <w:bookmarkStart w:id="33" w:name="_Toc468772776"/>
      <w:bookmarkStart w:id="34" w:name="_Toc36365127"/>
      <w:bookmarkStart w:id="35" w:name="_Toc36365259"/>
      <w:bookmarkStart w:id="36" w:name="_Toc100566646"/>
      <w:bookmarkStart w:id="37" w:name="_Toc139693711"/>
      <w:r>
        <w:rPr>
          <w:rStyle w:val="CharSectno"/>
        </w:rPr>
        <w:t>4</w:t>
      </w:r>
      <w:r>
        <w:rPr>
          <w:snapToGrid w:val="0"/>
        </w:rPr>
        <w:t>.</w:t>
      </w:r>
      <w:r>
        <w:rPr>
          <w:snapToGrid w:val="0"/>
        </w:rPr>
        <w:tab/>
        <w:t>Gascoyne Development Commission established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38" w:name="_Toc417977360"/>
      <w:bookmarkStart w:id="39" w:name="_Toc468772777"/>
      <w:bookmarkStart w:id="40" w:name="_Toc36365128"/>
      <w:bookmarkStart w:id="41" w:name="_Toc36365260"/>
      <w:bookmarkStart w:id="42" w:name="_Toc100566647"/>
      <w:bookmarkStart w:id="43" w:name="_Toc139693712"/>
      <w:r>
        <w:rPr>
          <w:rStyle w:val="CharSectno"/>
        </w:rPr>
        <w:t>5</w:t>
      </w:r>
      <w:r>
        <w:rPr>
          <w:snapToGrid w:val="0"/>
        </w:rPr>
        <w:t>.</w:t>
      </w:r>
      <w:r>
        <w:rPr>
          <w:snapToGrid w:val="0"/>
        </w:rPr>
        <w:tab/>
        <w:t>Goldfields</w:t>
      </w:r>
      <w:r>
        <w:rPr>
          <w:snapToGrid w:val="0"/>
        </w:rPr>
        <w:noBreakHyphen/>
        <w:t>Esperance Development Commission established</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44" w:name="_Toc417977361"/>
      <w:bookmarkStart w:id="45" w:name="_Toc468772778"/>
      <w:bookmarkStart w:id="46" w:name="_Toc36365129"/>
      <w:bookmarkStart w:id="47" w:name="_Toc36365261"/>
      <w:bookmarkStart w:id="48" w:name="_Toc100566648"/>
      <w:bookmarkStart w:id="49" w:name="_Toc139693713"/>
      <w:r>
        <w:rPr>
          <w:rStyle w:val="CharSectno"/>
        </w:rPr>
        <w:t>6</w:t>
      </w:r>
      <w:r>
        <w:rPr>
          <w:snapToGrid w:val="0"/>
        </w:rPr>
        <w:t>.</w:t>
      </w:r>
      <w:r>
        <w:rPr>
          <w:snapToGrid w:val="0"/>
        </w:rPr>
        <w:tab/>
        <w:t>Great Southern Development Commission established</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50" w:name="_Toc417977362"/>
      <w:bookmarkStart w:id="51" w:name="_Toc468772779"/>
      <w:bookmarkStart w:id="52" w:name="_Toc36365130"/>
      <w:bookmarkStart w:id="53" w:name="_Toc36365262"/>
      <w:bookmarkStart w:id="54" w:name="_Toc100566649"/>
      <w:bookmarkStart w:id="55" w:name="_Toc139693714"/>
      <w:r>
        <w:rPr>
          <w:rStyle w:val="CharSectno"/>
        </w:rPr>
        <w:t>7</w:t>
      </w:r>
      <w:r>
        <w:rPr>
          <w:snapToGrid w:val="0"/>
        </w:rPr>
        <w:t>.</w:t>
      </w:r>
      <w:r>
        <w:rPr>
          <w:snapToGrid w:val="0"/>
        </w:rPr>
        <w:tab/>
        <w:t>Kimberley Development Commission established</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56" w:name="_Toc417977363"/>
      <w:bookmarkStart w:id="57" w:name="_Toc468772780"/>
      <w:bookmarkStart w:id="58" w:name="_Toc36365131"/>
      <w:bookmarkStart w:id="59" w:name="_Toc36365263"/>
      <w:bookmarkStart w:id="60" w:name="_Toc100566650"/>
      <w:bookmarkStart w:id="61" w:name="_Toc139693715"/>
      <w:r>
        <w:rPr>
          <w:rStyle w:val="CharSectno"/>
        </w:rPr>
        <w:t>8</w:t>
      </w:r>
      <w:r>
        <w:rPr>
          <w:snapToGrid w:val="0"/>
        </w:rPr>
        <w:t>.</w:t>
      </w:r>
      <w:r>
        <w:rPr>
          <w:snapToGrid w:val="0"/>
        </w:rPr>
        <w:tab/>
        <w:t>Mid West Development Commission established</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62" w:name="_Toc417977364"/>
      <w:bookmarkStart w:id="63" w:name="_Toc468772781"/>
      <w:bookmarkStart w:id="64" w:name="_Toc36365132"/>
      <w:bookmarkStart w:id="65" w:name="_Toc36365264"/>
      <w:bookmarkStart w:id="66" w:name="_Toc100566651"/>
      <w:bookmarkStart w:id="67" w:name="_Toc139693716"/>
      <w:r>
        <w:rPr>
          <w:rStyle w:val="CharSectno"/>
        </w:rPr>
        <w:t>9</w:t>
      </w:r>
      <w:r>
        <w:rPr>
          <w:snapToGrid w:val="0"/>
        </w:rPr>
        <w:t>.</w:t>
      </w:r>
      <w:r>
        <w:rPr>
          <w:snapToGrid w:val="0"/>
        </w:rPr>
        <w:tab/>
        <w:t>Peel Development Commission established</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68" w:name="_Toc417977365"/>
      <w:bookmarkStart w:id="69" w:name="_Toc468772782"/>
      <w:bookmarkStart w:id="70" w:name="_Toc36365133"/>
      <w:bookmarkStart w:id="71" w:name="_Toc36365265"/>
      <w:bookmarkStart w:id="72" w:name="_Toc100566652"/>
      <w:bookmarkStart w:id="73" w:name="_Toc139693717"/>
      <w:r>
        <w:rPr>
          <w:rStyle w:val="CharSectno"/>
        </w:rPr>
        <w:t>10</w:t>
      </w:r>
      <w:r>
        <w:rPr>
          <w:snapToGrid w:val="0"/>
        </w:rPr>
        <w:t>.</w:t>
      </w:r>
      <w:r>
        <w:rPr>
          <w:snapToGrid w:val="0"/>
        </w:rPr>
        <w:tab/>
        <w:t>Pilbara Development Commission established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74" w:name="_Toc417977366"/>
      <w:bookmarkStart w:id="75" w:name="_Toc468772783"/>
      <w:bookmarkStart w:id="76" w:name="_Toc36365134"/>
      <w:bookmarkStart w:id="77" w:name="_Toc36365266"/>
      <w:bookmarkStart w:id="78" w:name="_Toc100566653"/>
      <w:bookmarkStart w:id="79" w:name="_Toc139693718"/>
      <w:r>
        <w:rPr>
          <w:rStyle w:val="CharSectno"/>
        </w:rPr>
        <w:t>11</w:t>
      </w:r>
      <w:r>
        <w:rPr>
          <w:snapToGrid w:val="0"/>
        </w:rPr>
        <w:t>.</w:t>
      </w:r>
      <w:r>
        <w:rPr>
          <w:snapToGrid w:val="0"/>
        </w:rPr>
        <w:tab/>
        <w:t>South West Development Commission established</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80" w:name="_Toc417977367"/>
      <w:bookmarkStart w:id="81" w:name="_Toc468772784"/>
      <w:bookmarkStart w:id="82" w:name="_Toc36365135"/>
      <w:bookmarkStart w:id="83" w:name="_Toc36365267"/>
      <w:bookmarkStart w:id="84" w:name="_Toc100566654"/>
      <w:bookmarkStart w:id="85" w:name="_Toc139693719"/>
      <w:r>
        <w:rPr>
          <w:rStyle w:val="CharSectno"/>
        </w:rPr>
        <w:t>12</w:t>
      </w:r>
      <w:r>
        <w:rPr>
          <w:snapToGrid w:val="0"/>
        </w:rPr>
        <w:t>.</w:t>
      </w:r>
      <w:r>
        <w:rPr>
          <w:snapToGrid w:val="0"/>
        </w:rPr>
        <w:tab/>
        <w:t>Wheatbelt Development Commission established</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86" w:name="_Toc417977368"/>
      <w:bookmarkStart w:id="87" w:name="_Toc468772785"/>
      <w:bookmarkStart w:id="88" w:name="_Toc36365136"/>
      <w:bookmarkStart w:id="89" w:name="_Toc36365268"/>
      <w:bookmarkStart w:id="90" w:name="_Toc100566655"/>
      <w:bookmarkStart w:id="91" w:name="_Toc139693720"/>
      <w:r>
        <w:rPr>
          <w:rStyle w:val="CharSectno"/>
        </w:rPr>
        <w:t>13</w:t>
      </w:r>
      <w:r>
        <w:rPr>
          <w:snapToGrid w:val="0"/>
        </w:rPr>
        <w:t>.</w:t>
      </w:r>
      <w:r>
        <w:rPr>
          <w:snapToGrid w:val="0"/>
        </w:rPr>
        <w:tab/>
        <w:t>Amendment of Schedule </w:t>
      </w:r>
      <w:bookmarkEnd w:id="86"/>
      <w:r>
        <w:rPr>
          <w:snapToGrid w:val="0"/>
        </w:rPr>
        <w:t>1</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92" w:name="_Toc88976325"/>
      <w:bookmarkStart w:id="93" w:name="_Toc100457797"/>
      <w:bookmarkStart w:id="94" w:name="_Toc100566656"/>
      <w:bookmarkStart w:id="95" w:name="_Toc139343350"/>
      <w:bookmarkStart w:id="96" w:name="_Toc139693721"/>
      <w:r>
        <w:rPr>
          <w:rStyle w:val="CharPartNo"/>
        </w:rPr>
        <w:t>Part 3</w:t>
      </w:r>
      <w:r>
        <w:t> — </w:t>
      </w:r>
      <w:r>
        <w:rPr>
          <w:rStyle w:val="CharPartText"/>
        </w:rPr>
        <w:t>Operation of commissions</w:t>
      </w:r>
      <w:bookmarkEnd w:id="92"/>
      <w:bookmarkEnd w:id="93"/>
      <w:bookmarkEnd w:id="94"/>
      <w:bookmarkEnd w:id="95"/>
      <w:bookmarkEnd w:id="96"/>
      <w:r>
        <w:rPr>
          <w:rStyle w:val="CharPartText"/>
        </w:rPr>
        <w:t xml:space="preserve"> </w:t>
      </w:r>
    </w:p>
    <w:p>
      <w:pPr>
        <w:pStyle w:val="Heading3"/>
        <w:rPr>
          <w:snapToGrid w:val="0"/>
        </w:rPr>
      </w:pPr>
      <w:bookmarkStart w:id="97" w:name="_Toc88976326"/>
      <w:bookmarkStart w:id="98" w:name="_Toc100457798"/>
      <w:bookmarkStart w:id="99" w:name="_Toc100566657"/>
      <w:bookmarkStart w:id="100" w:name="_Toc139343351"/>
      <w:bookmarkStart w:id="101" w:name="_Toc139693722"/>
      <w:r>
        <w:rPr>
          <w:rStyle w:val="CharDivNo"/>
        </w:rPr>
        <w:t>Division 1</w:t>
      </w:r>
      <w:r>
        <w:rPr>
          <w:snapToGrid w:val="0"/>
        </w:rPr>
        <w:t> — </w:t>
      </w:r>
      <w:r>
        <w:rPr>
          <w:rStyle w:val="CharDivText"/>
        </w:rPr>
        <w:t>Constitution and proceedings of commissions</w:t>
      </w:r>
      <w:bookmarkEnd w:id="97"/>
      <w:bookmarkEnd w:id="98"/>
      <w:bookmarkEnd w:id="99"/>
      <w:bookmarkEnd w:id="100"/>
      <w:bookmarkEnd w:id="101"/>
      <w:r>
        <w:rPr>
          <w:rStyle w:val="CharDivText"/>
        </w:rPr>
        <w:t xml:space="preserve"> </w:t>
      </w:r>
    </w:p>
    <w:p>
      <w:pPr>
        <w:pStyle w:val="Heading5"/>
        <w:rPr>
          <w:snapToGrid w:val="0"/>
        </w:rPr>
      </w:pPr>
      <w:bookmarkStart w:id="102" w:name="_Toc417977369"/>
      <w:bookmarkStart w:id="103" w:name="_Toc468772786"/>
      <w:bookmarkStart w:id="104" w:name="_Toc36365137"/>
      <w:bookmarkStart w:id="105" w:name="_Toc36365269"/>
      <w:bookmarkStart w:id="106" w:name="_Toc100566658"/>
      <w:bookmarkStart w:id="107" w:name="_Toc139693723"/>
      <w:r>
        <w:rPr>
          <w:rStyle w:val="CharSectno"/>
        </w:rPr>
        <w:t>14</w:t>
      </w:r>
      <w:r>
        <w:rPr>
          <w:snapToGrid w:val="0"/>
        </w:rPr>
        <w:t>.</w:t>
      </w:r>
      <w:r>
        <w:rPr>
          <w:snapToGrid w:val="0"/>
        </w:rPr>
        <w:tab/>
        <w:t>Status of a commission</w:t>
      </w:r>
      <w:bookmarkEnd w:id="102"/>
      <w:bookmarkEnd w:id="103"/>
      <w:bookmarkEnd w:id="104"/>
      <w:bookmarkEnd w:id="105"/>
      <w:bookmarkEnd w:id="106"/>
      <w:bookmarkEnd w:id="107"/>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08" w:name="_Toc417977370"/>
      <w:bookmarkStart w:id="109" w:name="_Toc468772787"/>
      <w:bookmarkStart w:id="110" w:name="_Toc36365138"/>
      <w:bookmarkStart w:id="111" w:name="_Toc36365270"/>
      <w:bookmarkStart w:id="112" w:name="_Toc100566659"/>
      <w:bookmarkStart w:id="113" w:name="_Toc139693724"/>
      <w:r>
        <w:rPr>
          <w:rStyle w:val="CharSectno"/>
        </w:rPr>
        <w:t>15</w:t>
      </w:r>
      <w:r>
        <w:rPr>
          <w:snapToGrid w:val="0"/>
        </w:rPr>
        <w:t>.</w:t>
      </w:r>
      <w:r>
        <w:rPr>
          <w:snapToGrid w:val="0"/>
        </w:rPr>
        <w:tab/>
        <w:t>Board of management of a commission</w:t>
      </w:r>
      <w:bookmarkEnd w:id="108"/>
      <w:bookmarkEnd w:id="109"/>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14" w:name="_Toc417977371"/>
      <w:bookmarkStart w:id="115" w:name="_Toc468772788"/>
      <w:bookmarkStart w:id="116" w:name="_Toc36365139"/>
      <w:bookmarkStart w:id="117" w:name="_Toc36365271"/>
      <w:bookmarkStart w:id="118" w:name="_Toc100566660"/>
      <w:bookmarkStart w:id="119" w:name="_Toc139693725"/>
      <w:r>
        <w:rPr>
          <w:rStyle w:val="CharSectno"/>
        </w:rPr>
        <w:t>16</w:t>
      </w:r>
      <w:r>
        <w:rPr>
          <w:snapToGrid w:val="0"/>
        </w:rPr>
        <w:t>.</w:t>
      </w:r>
      <w:r>
        <w:rPr>
          <w:snapToGrid w:val="0"/>
        </w:rPr>
        <w:tab/>
        <w:t>Method of appointment of appointed members</w:t>
      </w:r>
      <w:bookmarkEnd w:id="114"/>
      <w:bookmarkEnd w:id="115"/>
      <w:bookmarkEnd w:id="116"/>
      <w:bookmarkEnd w:id="117"/>
      <w:bookmarkEnd w:id="118"/>
      <w:bookmarkEnd w:id="119"/>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w:t>
      </w:r>
      <w:r>
        <w:rPr>
          <w:vertAlign w:val="superscript"/>
        </w:rPr>
        <w:t> 2</w:t>
      </w:r>
      <w:r>
        <w:rPr>
          <w:snapToGrid w:val="0"/>
        </w:rPr>
        <w:t>;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s.4; No. 16 of 1997 s.4.] </w:t>
      </w:r>
    </w:p>
    <w:p>
      <w:pPr>
        <w:pStyle w:val="Heading5"/>
        <w:spacing w:before="180"/>
        <w:rPr>
          <w:snapToGrid w:val="0"/>
        </w:rPr>
      </w:pPr>
      <w:bookmarkStart w:id="120" w:name="_Toc417977372"/>
      <w:bookmarkStart w:id="121" w:name="_Toc468772789"/>
      <w:bookmarkStart w:id="122" w:name="_Toc36365140"/>
      <w:bookmarkStart w:id="123" w:name="_Toc36365272"/>
      <w:bookmarkStart w:id="124" w:name="_Toc100566661"/>
      <w:bookmarkStart w:id="125" w:name="_Toc139693726"/>
      <w:r>
        <w:rPr>
          <w:rStyle w:val="CharSectno"/>
        </w:rPr>
        <w:t>17</w:t>
      </w:r>
      <w:r>
        <w:rPr>
          <w:snapToGrid w:val="0"/>
        </w:rPr>
        <w:t>.</w:t>
      </w:r>
      <w:r>
        <w:rPr>
          <w:snapToGrid w:val="0"/>
        </w:rPr>
        <w:tab/>
        <w:t>Constitution and proceedings of a Board</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Schedule 2 has effect with respect to the constitution and proceedings of a Board.</w:t>
      </w:r>
    </w:p>
    <w:p>
      <w:pPr>
        <w:pStyle w:val="Heading5"/>
        <w:spacing w:before="180"/>
        <w:rPr>
          <w:snapToGrid w:val="0"/>
        </w:rPr>
      </w:pPr>
      <w:bookmarkStart w:id="126" w:name="_Toc417977373"/>
      <w:bookmarkStart w:id="127" w:name="_Toc468772790"/>
      <w:bookmarkStart w:id="128" w:name="_Toc36365141"/>
      <w:bookmarkStart w:id="129" w:name="_Toc36365273"/>
      <w:bookmarkStart w:id="130" w:name="_Toc100566662"/>
      <w:bookmarkStart w:id="131" w:name="_Toc139693727"/>
      <w:r>
        <w:rPr>
          <w:rStyle w:val="CharSectno"/>
        </w:rPr>
        <w:t>18</w:t>
      </w:r>
      <w:r>
        <w:rPr>
          <w:snapToGrid w:val="0"/>
        </w:rPr>
        <w:t>.</w:t>
      </w:r>
      <w:r>
        <w:rPr>
          <w:snapToGrid w:val="0"/>
        </w:rPr>
        <w:tab/>
        <w:t>Delegation by Board</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spacing w:before="120"/>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spacing w:before="180"/>
        <w:rPr>
          <w:snapToGrid w:val="0"/>
        </w:rPr>
      </w:pPr>
      <w:bookmarkStart w:id="132" w:name="_Toc417977374"/>
      <w:bookmarkStart w:id="133" w:name="_Toc468772791"/>
      <w:bookmarkStart w:id="134" w:name="_Toc36365142"/>
      <w:bookmarkStart w:id="135" w:name="_Toc36365274"/>
      <w:bookmarkStart w:id="136" w:name="_Toc100566663"/>
      <w:bookmarkStart w:id="137" w:name="_Toc139693728"/>
      <w:r>
        <w:rPr>
          <w:rStyle w:val="CharSectno"/>
        </w:rPr>
        <w:t>19</w:t>
      </w:r>
      <w:r>
        <w:rPr>
          <w:snapToGrid w:val="0"/>
        </w:rPr>
        <w:t>.</w:t>
      </w:r>
      <w:r>
        <w:rPr>
          <w:snapToGrid w:val="0"/>
        </w:rPr>
        <w:tab/>
        <w:t>Remuneration and allowances of appointed members and members of committees</w:t>
      </w:r>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Public Service Commissioner</w:t>
      </w:r>
      <w:r>
        <w:rPr>
          <w:snapToGrid w:val="0"/>
          <w:vertAlign w:val="superscript"/>
        </w:rPr>
        <w:t xml:space="preserve"> 3</w:t>
      </w:r>
      <w:r>
        <w:rPr>
          <w:snapToGrid w:val="0"/>
        </w:rPr>
        <w:t>, determines in respect of that member.</w:t>
      </w:r>
    </w:p>
    <w:p>
      <w:pPr>
        <w:pStyle w:val="Subsection"/>
        <w:spacing w:before="120"/>
        <w:rPr>
          <w:snapToGrid w:val="0"/>
        </w:rPr>
      </w:pPr>
      <w:r>
        <w:rPr>
          <w:snapToGrid w:val="0"/>
        </w:rPr>
        <w:tab/>
        <w:t>(2)</w:t>
      </w:r>
      <w:r>
        <w:rPr>
          <w:snapToGrid w:val="0"/>
        </w:rPr>
        <w:tab/>
        <w:t>A member of a committee established under clause 11 of Schedule 2 — </w:t>
      </w:r>
    </w:p>
    <w:p>
      <w:pPr>
        <w:pStyle w:val="Indenta"/>
        <w:spacing w:before="60"/>
        <w:rPr>
          <w:snapToGrid w:val="0"/>
        </w:rPr>
      </w:pPr>
      <w:r>
        <w:rPr>
          <w:snapToGrid w:val="0"/>
        </w:rPr>
        <w:tab/>
        <w:t>(a)</w:t>
      </w:r>
      <w:r>
        <w:rPr>
          <w:snapToGrid w:val="0"/>
        </w:rPr>
        <w:tab/>
        <w:t>is not to be paid remuneration, unless the Minister, after consultation with the Public Service Commissioner</w:t>
      </w:r>
      <w:r>
        <w:rPr>
          <w:snapToGrid w:val="0"/>
          <w:vertAlign w:val="superscript"/>
        </w:rPr>
        <w:t xml:space="preserve"> 3</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38" w:name="_Toc417977375"/>
      <w:bookmarkStart w:id="139" w:name="_Toc468772792"/>
      <w:bookmarkStart w:id="140" w:name="_Toc36365143"/>
      <w:bookmarkStart w:id="141" w:name="_Toc36365275"/>
      <w:bookmarkStart w:id="142" w:name="_Toc100566664"/>
      <w:bookmarkStart w:id="143" w:name="_Toc139693729"/>
      <w:r>
        <w:rPr>
          <w:rStyle w:val="CharSectno"/>
        </w:rPr>
        <w:t>20</w:t>
      </w:r>
      <w:r>
        <w:rPr>
          <w:snapToGrid w:val="0"/>
        </w:rPr>
        <w:t>.</w:t>
      </w:r>
      <w:r>
        <w:rPr>
          <w:snapToGrid w:val="0"/>
        </w:rPr>
        <w:tab/>
        <w:t>Protection of Board members and members of committees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s.3.]</w:t>
      </w:r>
    </w:p>
    <w:p>
      <w:pPr>
        <w:pStyle w:val="Heading5"/>
        <w:rPr>
          <w:snapToGrid w:val="0"/>
        </w:rPr>
      </w:pPr>
      <w:bookmarkStart w:id="144" w:name="_Toc417977376"/>
      <w:bookmarkStart w:id="145" w:name="_Toc468772793"/>
      <w:bookmarkStart w:id="146" w:name="_Toc36365144"/>
      <w:bookmarkStart w:id="147" w:name="_Toc36365276"/>
      <w:bookmarkStart w:id="148" w:name="_Toc100566665"/>
      <w:bookmarkStart w:id="149" w:name="_Toc139693730"/>
      <w:r>
        <w:rPr>
          <w:rStyle w:val="CharSectno"/>
        </w:rPr>
        <w:t>21</w:t>
      </w:r>
      <w:r>
        <w:rPr>
          <w:snapToGrid w:val="0"/>
        </w:rPr>
        <w:t>.</w:t>
      </w:r>
      <w:r>
        <w:rPr>
          <w:snapToGrid w:val="0"/>
        </w:rPr>
        <w:tab/>
        <w:t>Disclosure of pecuniary interests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rPr>
          <w:snapToGrid w:val="0"/>
        </w:rPr>
      </w:pPr>
      <w:r>
        <w:rPr>
          <w:snapToGrid w:val="0"/>
        </w:rPr>
        <w:tab/>
        <w:t>(b)</w:t>
      </w:r>
      <w:r>
        <w:rPr>
          <w:snapToGrid w:val="0"/>
        </w:rPr>
        <w:tab/>
        <w:t>take part in any decision,</w:t>
      </w:r>
    </w:p>
    <w:p>
      <w:pPr>
        <w:pStyle w:val="Subsection"/>
        <w:rPr>
          <w:snapToGrid w:val="0"/>
        </w:rPr>
      </w:pPr>
      <w:r>
        <w:rPr>
          <w:snapToGrid w:val="0"/>
        </w:rPr>
        <w:tab/>
      </w:r>
      <w:r>
        <w:rPr>
          <w:snapToGrid w:val="0"/>
        </w:rPr>
        <w:tab/>
        <w:t>of the Board or that committee with respect to the matter to which the disclosure relates.</w:t>
      </w:r>
    </w:p>
    <w:p>
      <w:pPr>
        <w:pStyle w:val="Subsection"/>
        <w:rPr>
          <w:snapToGrid w:val="0"/>
        </w:rPr>
      </w:pPr>
      <w:r>
        <w:rPr>
          <w:snapToGrid w:val="0"/>
        </w:rPr>
        <w:tab/>
        <w:t>(3)</w:t>
      </w:r>
      <w:r>
        <w:rPr>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snapToGrid w:val="0"/>
        </w:rPr>
      </w:pPr>
      <w:r>
        <w:rPr>
          <w:snapToGrid w:val="0"/>
        </w:rPr>
        <w:tab/>
        <w:t>(a)</w:t>
      </w:r>
      <w:r>
        <w:rPr>
          <w:snapToGrid w:val="0"/>
        </w:rPr>
        <w:tab/>
        <w:t>be present during any deliberation of the Board or committee for the purpose of making the determination; or</w:t>
      </w:r>
    </w:p>
    <w:p>
      <w:pPr>
        <w:pStyle w:val="Indenta"/>
        <w:rPr>
          <w:snapToGrid w:val="0"/>
        </w:rPr>
      </w:pPr>
      <w:r>
        <w:rPr>
          <w:snapToGrid w:val="0"/>
        </w:rPr>
        <w:tab/>
        <w:t>(b)</w:t>
      </w:r>
      <w:r>
        <w:rPr>
          <w:snapToGrid w:val="0"/>
        </w:rPr>
        <w:tab/>
        <w:t>take part in the making of the determination by the Board or committee.</w:t>
      </w:r>
    </w:p>
    <w:p>
      <w:pPr>
        <w:pStyle w:val="Subsection"/>
        <w:rPr>
          <w:snapToGrid w:val="0"/>
          <w:spacing w:val="-4"/>
        </w:rPr>
      </w:pPr>
      <w:r>
        <w:rPr>
          <w:snapToGrid w:val="0"/>
          <w:spacing w:val="-4"/>
        </w:rPr>
        <w:tab/>
        <w:t>(4)</w:t>
      </w:r>
      <w:r>
        <w:rPr>
          <w:snapToGrid w:val="0"/>
          <w:spacing w:val="-4"/>
        </w:rPr>
        <w:tab/>
        <w:t>A Board member or member of a committee who contravenes or fails to comply with a provision of this section commits an offence.</w:t>
      </w:r>
    </w:p>
    <w:p>
      <w:pPr>
        <w:pStyle w:val="Penstart"/>
        <w:rPr>
          <w:snapToGrid w:val="0"/>
        </w:rPr>
      </w:pPr>
      <w:r>
        <w:rPr>
          <w:snapToGrid w:val="0"/>
        </w:rPr>
        <w:tab/>
        <w:t>Penalty: $5 000.</w:t>
      </w:r>
    </w:p>
    <w:p>
      <w:pPr>
        <w:pStyle w:val="Heading5"/>
        <w:rPr>
          <w:snapToGrid w:val="0"/>
        </w:rPr>
      </w:pPr>
      <w:bookmarkStart w:id="150" w:name="_Toc417977377"/>
      <w:bookmarkStart w:id="151" w:name="_Toc468772794"/>
      <w:bookmarkStart w:id="152" w:name="_Toc36365145"/>
      <w:bookmarkStart w:id="153" w:name="_Toc36365277"/>
      <w:bookmarkStart w:id="154" w:name="_Toc100566666"/>
      <w:bookmarkStart w:id="155" w:name="_Toc139693731"/>
      <w:r>
        <w:rPr>
          <w:rStyle w:val="CharSectno"/>
        </w:rPr>
        <w:t>22</w:t>
      </w:r>
      <w:r>
        <w:rPr>
          <w:snapToGrid w:val="0"/>
        </w:rPr>
        <w:t>.</w:t>
      </w:r>
      <w:r>
        <w:rPr>
          <w:snapToGrid w:val="0"/>
        </w:rPr>
        <w:tab/>
        <w:t>Execution of documents by a commission</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document is duly executed by a commission, if — </w:t>
      </w:r>
    </w:p>
    <w:p>
      <w:pPr>
        <w:pStyle w:val="Indenta"/>
        <w:rPr>
          <w:snapToGrid w:val="0"/>
        </w:rPr>
      </w:pPr>
      <w:r>
        <w:rPr>
          <w:snapToGrid w:val="0"/>
        </w:rPr>
        <w:tab/>
        <w:t>(a)</w:t>
      </w:r>
      <w:r>
        <w:rPr>
          <w:snapToGrid w:val="0"/>
        </w:rPr>
        <w:tab/>
        <w:t>the common seal of that commission is affixed to the document in accordance with subsections (2) and (3); or</w:t>
      </w:r>
    </w:p>
    <w:p>
      <w:pPr>
        <w:pStyle w:val="Indenta"/>
        <w:rPr>
          <w:snapToGrid w:val="0"/>
        </w:rPr>
      </w:pPr>
      <w:r>
        <w:rPr>
          <w:snapToGrid w:val="0"/>
        </w:rPr>
        <w:tab/>
        <w:t>(b)</w:t>
      </w:r>
      <w:r>
        <w:rPr>
          <w:snapToGrid w:val="0"/>
        </w:rPr>
        <w:tab/>
        <w:t>the document is signed on behalf of that commission by a Board member or members or an officer or officers of that commission in accordance with an authorization given under subsection (4).</w:t>
      </w:r>
    </w:p>
    <w:p>
      <w:pPr>
        <w:pStyle w:val="Subsection"/>
        <w:rPr>
          <w:snapToGrid w:val="0"/>
        </w:rPr>
      </w:pPr>
      <w:r>
        <w:rPr>
          <w:snapToGrid w:val="0"/>
        </w:rPr>
        <w:tab/>
        <w:t>(2)</w:t>
      </w:r>
      <w:r>
        <w:rPr>
          <w:snapToGrid w:val="0"/>
        </w:rPr>
        <w:tab/>
        <w:t>The common seal of a commission must not be affixed to any document except by resolution of the Board of that commission.</w:t>
      </w:r>
    </w:p>
    <w:p>
      <w:pPr>
        <w:pStyle w:val="Subsection"/>
        <w:rPr>
          <w:snapToGrid w:val="0"/>
        </w:rPr>
      </w:pPr>
      <w:r>
        <w:rPr>
          <w:snapToGrid w:val="0"/>
        </w:rPr>
        <w:tab/>
        <w:t>(3)</w:t>
      </w:r>
      <w:r>
        <w:rPr>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rPr>
          <w:snapToGrid w:val="0"/>
          <w:spacing w:val="-2"/>
        </w:rPr>
      </w:pPr>
      <w:r>
        <w:rPr>
          <w:snapToGrid w:val="0"/>
          <w:spacing w:val="-2"/>
        </w:rPr>
        <w:tab/>
        <w:t>(4)</w:t>
      </w:r>
      <w:r>
        <w:rPr>
          <w:snapToGrid w:val="0"/>
          <w:spacing w:val="-2"/>
        </w:rPr>
        <w:tab/>
        <w:t>A Board may, in writing under its common seal, authorize a member or members of that Board, or an officer or officers of the relevant commission to sign documents on behalf of that commission, either generally or subject to such conditions or restrictions as may be specified by the Board in the authorization.</w:t>
      </w:r>
    </w:p>
    <w:p>
      <w:pPr>
        <w:pStyle w:val="Subsection"/>
        <w:rPr>
          <w:snapToGrid w:val="0"/>
        </w:rPr>
      </w:pPr>
      <w:r>
        <w:rPr>
          <w:snapToGrid w:val="0"/>
        </w:rPr>
        <w:tab/>
        <w:t>(5)</w:t>
      </w:r>
      <w:r>
        <w:rPr>
          <w:snapToGrid w:val="0"/>
        </w:rPr>
        <w:tab/>
        <w:t>A document purporting to be executed in accordance with this section is presumed to be duly executed until the contrary is shown.</w:t>
      </w:r>
    </w:p>
    <w:p>
      <w:pPr>
        <w:pStyle w:val="Subsection"/>
        <w:spacing w:before="140"/>
        <w:rPr>
          <w:snapToGrid w:val="0"/>
        </w:rPr>
      </w:pPr>
      <w:r>
        <w:rPr>
          <w:snapToGrid w:val="0"/>
        </w:rPr>
        <w:tab/>
        <w:t>(6)</w:t>
      </w:r>
      <w:r>
        <w:rPr>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156" w:name="_Toc88976336"/>
      <w:bookmarkStart w:id="157" w:name="_Toc100457808"/>
      <w:bookmarkStart w:id="158" w:name="_Toc100566667"/>
      <w:bookmarkStart w:id="159" w:name="_Toc139343361"/>
      <w:bookmarkStart w:id="160" w:name="_Toc139693732"/>
      <w:r>
        <w:rPr>
          <w:rStyle w:val="CharDivNo"/>
        </w:rPr>
        <w:t>Division 2</w:t>
      </w:r>
      <w:r>
        <w:rPr>
          <w:snapToGrid w:val="0"/>
        </w:rPr>
        <w:t> — </w:t>
      </w:r>
      <w:r>
        <w:rPr>
          <w:rStyle w:val="CharDivText"/>
        </w:rPr>
        <w:t>Functions and powers of a commission</w:t>
      </w:r>
      <w:bookmarkEnd w:id="156"/>
      <w:bookmarkEnd w:id="157"/>
      <w:bookmarkEnd w:id="158"/>
      <w:bookmarkEnd w:id="159"/>
      <w:bookmarkEnd w:id="160"/>
      <w:r>
        <w:rPr>
          <w:rStyle w:val="CharDivText"/>
        </w:rPr>
        <w:t xml:space="preserve"> </w:t>
      </w:r>
    </w:p>
    <w:p>
      <w:pPr>
        <w:pStyle w:val="Heading5"/>
        <w:rPr>
          <w:snapToGrid w:val="0"/>
        </w:rPr>
      </w:pPr>
      <w:bookmarkStart w:id="161" w:name="_Toc417977378"/>
      <w:bookmarkStart w:id="162" w:name="_Toc468772795"/>
      <w:bookmarkStart w:id="163" w:name="_Toc36365146"/>
      <w:bookmarkStart w:id="164" w:name="_Toc36365278"/>
      <w:bookmarkStart w:id="165" w:name="_Toc100566668"/>
      <w:bookmarkStart w:id="166" w:name="_Toc139693733"/>
      <w:r>
        <w:rPr>
          <w:rStyle w:val="CharSectno"/>
        </w:rPr>
        <w:t>23</w:t>
      </w:r>
      <w:r>
        <w:rPr>
          <w:snapToGrid w:val="0"/>
        </w:rPr>
        <w:t>.</w:t>
      </w:r>
      <w:r>
        <w:rPr>
          <w:snapToGrid w:val="0"/>
        </w:rPr>
        <w:tab/>
        <w:t>Objects and functions of a commission</w:t>
      </w:r>
      <w:bookmarkEnd w:id="161"/>
      <w:bookmarkEnd w:id="162"/>
      <w:bookmarkEnd w:id="163"/>
      <w:bookmarkEnd w:id="164"/>
      <w:bookmarkEnd w:id="165"/>
      <w:bookmarkEnd w:id="166"/>
      <w:r>
        <w:rPr>
          <w:snapToGrid w:val="0"/>
        </w:rPr>
        <w:t xml:space="preserve"> </w:t>
      </w:r>
    </w:p>
    <w:p>
      <w:pPr>
        <w:pStyle w:val="Subsection"/>
        <w:spacing w:before="140"/>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spacing w:before="140"/>
        <w:rPr>
          <w:snapToGrid w:val="0"/>
          <w:spacing w:val="-2"/>
        </w:rPr>
      </w:pPr>
      <w:r>
        <w:rPr>
          <w:snapToGrid w:val="0"/>
          <w:spacing w:val="-2"/>
        </w:rPr>
        <w:tab/>
        <w:t>(2)</w:t>
      </w:r>
      <w:r>
        <w:rPr>
          <w:snapToGrid w:val="0"/>
          <w:spacing w:val="-2"/>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s.4.] </w:t>
      </w:r>
    </w:p>
    <w:p>
      <w:pPr>
        <w:pStyle w:val="Heading5"/>
        <w:spacing w:before="200"/>
        <w:rPr>
          <w:snapToGrid w:val="0"/>
        </w:rPr>
      </w:pPr>
      <w:bookmarkStart w:id="167" w:name="_Toc417977379"/>
      <w:bookmarkStart w:id="168" w:name="_Toc468772796"/>
      <w:bookmarkStart w:id="169" w:name="_Toc36365147"/>
      <w:bookmarkStart w:id="170" w:name="_Toc36365279"/>
      <w:bookmarkStart w:id="171" w:name="_Toc100566669"/>
      <w:bookmarkStart w:id="172" w:name="_Toc139693734"/>
      <w:r>
        <w:rPr>
          <w:rStyle w:val="CharSectno"/>
        </w:rPr>
        <w:t>24</w:t>
      </w:r>
      <w:r>
        <w:rPr>
          <w:snapToGrid w:val="0"/>
        </w:rPr>
        <w:t>.</w:t>
      </w:r>
      <w:r>
        <w:rPr>
          <w:snapToGrid w:val="0"/>
        </w:rPr>
        <w:tab/>
        <w:t>Powers of a commission</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spacing w:before="140"/>
        <w:rPr>
          <w:snapToGrid w:val="0"/>
        </w:rPr>
      </w:pPr>
      <w:r>
        <w:rPr>
          <w:snapToGrid w:val="0"/>
        </w:rPr>
        <w:tab/>
        <w:t>(2)</w:t>
      </w:r>
      <w:r>
        <w:rPr>
          <w:snapToGrid w:val="0"/>
        </w:rPr>
        <w:tab/>
        <w:t>Subsection (1) does not empower a commission — </w:t>
      </w:r>
    </w:p>
    <w:p>
      <w:pPr>
        <w:pStyle w:val="Indenta"/>
        <w:rPr>
          <w:snapToGrid w:val="0"/>
        </w:rPr>
      </w:pPr>
      <w:r>
        <w:rPr>
          <w:snapToGrid w:val="0"/>
        </w:rPr>
        <w:tab/>
        <w:t>(a)</w:t>
      </w:r>
      <w:r>
        <w:rPr>
          <w:snapToGrid w:val="0"/>
        </w:rPr>
        <w:tab/>
        <w:t>subject to Part 5, to enter into any business undertaking either directly or indirectly;</w:t>
      </w:r>
    </w:p>
    <w:p>
      <w:pPr>
        <w:pStyle w:val="Indenta"/>
        <w:rPr>
          <w:snapToGrid w:val="0"/>
          <w:spacing w:val="-3"/>
        </w:rPr>
      </w:pPr>
      <w:r>
        <w:rPr>
          <w:snapToGrid w:val="0"/>
          <w:spacing w:val="-3"/>
        </w:rPr>
        <w:tab/>
        <w:t>(b)</w:t>
      </w:r>
      <w:r>
        <w:rPr>
          <w:snapToGrid w:val="0"/>
          <w:spacing w:val="-3"/>
        </w:rPr>
        <w:tab/>
        <w:t>to acquire land or any estate or interest in land other than a tenancy to provide office premises for the commission; or</w:t>
      </w:r>
    </w:p>
    <w:p>
      <w:pPr>
        <w:pStyle w:val="Indenta"/>
        <w:rPr>
          <w:snapToGrid w:val="0"/>
        </w:rPr>
      </w:pPr>
      <w:r>
        <w:rPr>
          <w:snapToGrid w:val="0"/>
        </w:rPr>
        <w:tab/>
        <w:t>(c)</w:t>
      </w:r>
      <w:r>
        <w:rPr>
          <w:snapToGrid w:val="0"/>
        </w:rPr>
        <w:tab/>
        <w:t>to borrow money or obtain financial accommodation.</w:t>
      </w:r>
    </w:p>
    <w:p>
      <w:pPr>
        <w:pStyle w:val="Subsection"/>
        <w:spacing w:before="140"/>
        <w:rPr>
          <w:snapToGrid w:val="0"/>
        </w:rPr>
      </w:pPr>
      <w:r>
        <w:rPr>
          <w:snapToGrid w:val="0"/>
        </w:rPr>
        <w:tab/>
        <w:t>(3)</w:t>
      </w:r>
      <w:r>
        <w:rPr>
          <w:snapToGrid w:val="0"/>
        </w:rPr>
        <w:tab/>
        <w:t>In performing its functions, a commission may act in conjunction with — </w:t>
      </w:r>
    </w:p>
    <w:p>
      <w:pPr>
        <w:pStyle w:val="Indenta"/>
        <w:rPr>
          <w:snapToGrid w:val="0"/>
        </w:rPr>
      </w:pPr>
      <w:r>
        <w:rPr>
          <w:snapToGrid w:val="0"/>
        </w:rPr>
        <w:tab/>
        <w:t>(a)</w:t>
      </w:r>
      <w:r>
        <w:rPr>
          <w:snapToGrid w:val="0"/>
        </w:rPr>
        <w:tab/>
        <w:t>any person; or</w:t>
      </w:r>
    </w:p>
    <w:p>
      <w:pPr>
        <w:pStyle w:val="Indenta"/>
        <w:rPr>
          <w:snapToGrid w:val="0"/>
        </w:rPr>
      </w:pPr>
      <w:r>
        <w:rPr>
          <w:snapToGrid w:val="0"/>
        </w:rPr>
        <w:tab/>
        <w:t>(b)</w:t>
      </w:r>
      <w:r>
        <w:rPr>
          <w:snapToGrid w:val="0"/>
        </w:rPr>
        <w:tab/>
        <w:t>any department of the Public Service, or other agency or instrumentality, of the State or the Commonwealth.</w:t>
      </w:r>
    </w:p>
    <w:p>
      <w:pPr>
        <w:pStyle w:val="Subsection"/>
        <w:spacing w:before="140"/>
        <w:rPr>
          <w:snapToGrid w:val="0"/>
        </w:rPr>
      </w:pPr>
      <w:r>
        <w:rPr>
          <w:snapToGrid w:val="0"/>
        </w:rPr>
        <w:tab/>
        <w:t>(4)</w:t>
      </w:r>
      <w:r>
        <w:rPr>
          <w:snapToGrid w:val="0"/>
        </w:rPr>
        <w:tab/>
        <w:t>The requirement of disclosure in section 28(2) applies to a person referred to in subsection (3).</w:t>
      </w:r>
    </w:p>
    <w:p>
      <w:pPr>
        <w:pStyle w:val="Footnotesection"/>
      </w:pPr>
      <w:r>
        <w:tab/>
        <w:t>[Section 24 amended by No. 5 of 2003 s. 4(1).]</w:t>
      </w:r>
    </w:p>
    <w:p>
      <w:pPr>
        <w:pStyle w:val="Heading5"/>
        <w:rPr>
          <w:snapToGrid w:val="0"/>
        </w:rPr>
      </w:pPr>
      <w:bookmarkStart w:id="173" w:name="_Toc417977380"/>
      <w:bookmarkStart w:id="174" w:name="_Toc468772797"/>
      <w:bookmarkStart w:id="175" w:name="_Toc36365148"/>
      <w:bookmarkStart w:id="176" w:name="_Toc36365280"/>
      <w:bookmarkStart w:id="177" w:name="_Toc100566670"/>
      <w:bookmarkStart w:id="178" w:name="_Toc139693735"/>
      <w:r>
        <w:rPr>
          <w:rStyle w:val="CharSectno"/>
        </w:rPr>
        <w:t>25</w:t>
      </w:r>
      <w:r>
        <w:rPr>
          <w:snapToGrid w:val="0"/>
        </w:rPr>
        <w:t>.</w:t>
      </w:r>
      <w:r>
        <w:rPr>
          <w:snapToGrid w:val="0"/>
        </w:rPr>
        <w:tab/>
        <w:t>Minister may give directions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relevant commission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25 amended by No. 41 of 1996 s.3.]</w:t>
      </w:r>
    </w:p>
    <w:p>
      <w:pPr>
        <w:pStyle w:val="Heading5"/>
        <w:rPr>
          <w:snapToGrid w:val="0"/>
        </w:rPr>
      </w:pPr>
      <w:bookmarkStart w:id="179" w:name="_Toc417977381"/>
      <w:bookmarkStart w:id="180" w:name="_Toc468772798"/>
      <w:bookmarkStart w:id="181" w:name="_Toc36365149"/>
      <w:bookmarkStart w:id="182" w:name="_Toc36365281"/>
      <w:bookmarkStart w:id="183" w:name="_Toc100566671"/>
      <w:bookmarkStart w:id="184" w:name="_Toc139693736"/>
      <w:r>
        <w:rPr>
          <w:rStyle w:val="CharSectno"/>
        </w:rPr>
        <w:t>26</w:t>
      </w:r>
      <w:r>
        <w:rPr>
          <w:snapToGrid w:val="0"/>
        </w:rPr>
        <w:t>.</w:t>
      </w:r>
      <w:r>
        <w:rPr>
          <w:snapToGrid w:val="0"/>
        </w:rPr>
        <w:tab/>
        <w:t>Minister to have access to information</w:t>
      </w:r>
      <w:bookmarkEnd w:id="179"/>
      <w:bookmarkEnd w:id="180"/>
      <w:bookmarkEnd w:id="181"/>
      <w:bookmarkEnd w:id="182"/>
      <w:bookmarkEnd w:id="183"/>
      <w:bookmarkEnd w:id="184"/>
      <w:r>
        <w:rPr>
          <w:snapToGrid w:val="0"/>
        </w:rPr>
        <w:t xml:space="preserve"> </w:t>
      </w:r>
    </w:p>
    <w:p>
      <w:pPr>
        <w:pStyle w:val="Subsection"/>
        <w:spacing w:before="14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spacing w:before="140"/>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 commission.</w:t>
      </w:r>
    </w:p>
    <w:p>
      <w:pPr>
        <w:pStyle w:val="Heading3"/>
        <w:spacing w:before="200"/>
        <w:rPr>
          <w:snapToGrid w:val="0"/>
        </w:rPr>
      </w:pPr>
      <w:bookmarkStart w:id="185" w:name="_Toc88976341"/>
      <w:bookmarkStart w:id="186" w:name="_Toc100457813"/>
      <w:bookmarkStart w:id="187" w:name="_Toc100566672"/>
      <w:bookmarkStart w:id="188" w:name="_Toc139343366"/>
      <w:bookmarkStart w:id="189" w:name="_Toc139693737"/>
      <w:r>
        <w:rPr>
          <w:rStyle w:val="CharDivNo"/>
        </w:rPr>
        <w:t>Division 3</w:t>
      </w:r>
      <w:r>
        <w:rPr>
          <w:snapToGrid w:val="0"/>
        </w:rPr>
        <w:t> — </w:t>
      </w:r>
      <w:r>
        <w:rPr>
          <w:rStyle w:val="CharDivText"/>
        </w:rPr>
        <w:t>Director and other staff of a commission</w:t>
      </w:r>
      <w:bookmarkEnd w:id="185"/>
      <w:bookmarkEnd w:id="186"/>
      <w:bookmarkEnd w:id="187"/>
      <w:bookmarkEnd w:id="188"/>
      <w:bookmarkEnd w:id="189"/>
      <w:r>
        <w:rPr>
          <w:rStyle w:val="CharDivText"/>
        </w:rPr>
        <w:t xml:space="preserve"> </w:t>
      </w:r>
    </w:p>
    <w:p>
      <w:pPr>
        <w:pStyle w:val="Heading5"/>
        <w:spacing w:before="200"/>
        <w:rPr>
          <w:snapToGrid w:val="0"/>
        </w:rPr>
      </w:pPr>
      <w:bookmarkStart w:id="190" w:name="_Toc417977382"/>
      <w:bookmarkStart w:id="191" w:name="_Toc468772799"/>
      <w:bookmarkStart w:id="192" w:name="_Toc36365150"/>
      <w:bookmarkStart w:id="193" w:name="_Toc36365282"/>
      <w:bookmarkStart w:id="194" w:name="_Toc100566673"/>
      <w:bookmarkStart w:id="195" w:name="_Toc139693738"/>
      <w:r>
        <w:rPr>
          <w:rStyle w:val="CharSectno"/>
        </w:rPr>
        <w:t>27</w:t>
      </w:r>
      <w:r>
        <w:rPr>
          <w:snapToGrid w:val="0"/>
        </w:rPr>
        <w:t>.</w:t>
      </w:r>
      <w:r>
        <w:rPr>
          <w:snapToGrid w:val="0"/>
        </w:rPr>
        <w:tab/>
        <w:t>Appointment and functions of Director and other staff</w:t>
      </w:r>
      <w:bookmarkEnd w:id="190"/>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spacing w:before="140"/>
        <w:rPr>
          <w:snapToGrid w:val="0"/>
        </w:rPr>
      </w:pPr>
      <w:r>
        <w:rPr>
          <w:snapToGrid w:val="0"/>
        </w:rPr>
        <w:tab/>
        <w:t>(2)</w:t>
      </w:r>
      <w:r>
        <w:rPr>
          <w:snapToGrid w:val="0"/>
        </w:rPr>
        <w:tab/>
        <w:t>The function of a Director is to administer the day to day operations of a commission.</w:t>
      </w:r>
    </w:p>
    <w:p>
      <w:pPr>
        <w:pStyle w:val="Subsection"/>
        <w:spacing w:before="140"/>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Service Act 1978</w:t>
      </w:r>
      <w:r>
        <w:rPr>
          <w:snapToGrid w:val="0"/>
          <w:vertAlign w:val="superscript"/>
        </w:rPr>
        <w:t xml:space="preserve"> 4</w:t>
      </w:r>
      <w:r>
        <w:rPr>
          <w:snapToGrid w:val="0"/>
        </w:rPr>
        <w:t>, any inconsistency between this Act and that Act, that Act prevails.</w:t>
      </w:r>
    </w:p>
    <w:p>
      <w:pPr>
        <w:pStyle w:val="Footnotesection"/>
        <w:spacing w:before="80"/>
        <w:ind w:left="890" w:hanging="890"/>
      </w:pPr>
      <w:r>
        <w:tab/>
        <w:t>[Section 27 amended by No. 32 of 1994 s.3(2).]</w:t>
      </w:r>
    </w:p>
    <w:p>
      <w:pPr>
        <w:pStyle w:val="Heading5"/>
        <w:spacing w:before="200"/>
        <w:rPr>
          <w:snapToGrid w:val="0"/>
        </w:rPr>
      </w:pPr>
      <w:bookmarkStart w:id="196" w:name="_Toc417977383"/>
      <w:bookmarkStart w:id="197" w:name="_Toc468772800"/>
      <w:bookmarkStart w:id="198" w:name="_Toc36365151"/>
      <w:bookmarkStart w:id="199" w:name="_Toc36365283"/>
      <w:bookmarkStart w:id="200" w:name="_Toc100566674"/>
      <w:bookmarkStart w:id="201" w:name="_Toc139693739"/>
      <w:r>
        <w:rPr>
          <w:rStyle w:val="CharSectno"/>
        </w:rPr>
        <w:t>28</w:t>
      </w:r>
      <w:r>
        <w:rPr>
          <w:snapToGrid w:val="0"/>
        </w:rPr>
        <w:t>.</w:t>
      </w:r>
      <w:r>
        <w:rPr>
          <w:snapToGrid w:val="0"/>
        </w:rPr>
        <w:tab/>
        <w:t>Engagement of consultants</w:t>
      </w:r>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spacing w:before="140"/>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spacing w:before="140"/>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snapToGrid w:val="0"/>
        </w:rPr>
      </w:pPr>
      <w:bookmarkStart w:id="202" w:name="_Toc417977384"/>
      <w:bookmarkStart w:id="203" w:name="_Toc468772801"/>
      <w:bookmarkStart w:id="204" w:name="_Toc36365152"/>
      <w:bookmarkStart w:id="205" w:name="_Toc36365284"/>
      <w:bookmarkStart w:id="206" w:name="_Toc100566675"/>
      <w:bookmarkStart w:id="207" w:name="_Toc139693740"/>
      <w:r>
        <w:rPr>
          <w:rStyle w:val="CharSectno"/>
        </w:rPr>
        <w:t>29</w:t>
      </w:r>
      <w:r>
        <w:rPr>
          <w:snapToGrid w:val="0"/>
        </w:rPr>
        <w:t>.</w:t>
      </w:r>
      <w:r>
        <w:rPr>
          <w:snapToGrid w:val="0"/>
        </w:rPr>
        <w:tab/>
        <w:t>Use of staff and facilities of departments, agencies and instrumentalities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commission may by arrangement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spacing w:val="-2"/>
        </w:rPr>
      </w:pPr>
      <w:r>
        <w:rPr>
          <w:snapToGrid w:val="0"/>
          <w:spacing w:val="-2"/>
        </w:rPr>
        <w:tab/>
        <w:t>(2)</w:t>
      </w:r>
      <w:r>
        <w:rPr>
          <w:snapToGrid w:val="0"/>
          <w:spacing w:val="-2"/>
        </w:rPr>
        <w:tab/>
      </w:r>
      <w:r>
        <w:rPr>
          <w:snapToGrid w:val="0"/>
        </w:rPr>
        <w:t>An</w:t>
      </w:r>
      <w:r>
        <w:rPr>
          <w:snapToGrid w:val="0"/>
          <w:spacing w:val="-2"/>
        </w:rPr>
        <w:t xml:space="preserve"> arrangement under subsection (1) is to be made between the commission and the Minister concerned, and on such terms and conditions as they agree with the Public Service Commissioner</w:t>
      </w:r>
      <w:r>
        <w:rPr>
          <w:snapToGrid w:val="0"/>
          <w:spacing w:val="-2"/>
          <w:vertAlign w:val="superscript"/>
        </w:rPr>
        <w:t> 3</w:t>
      </w:r>
      <w:r>
        <w:rPr>
          <w:snapToGrid w:val="0"/>
          <w:spacing w:val="-2"/>
        </w:rPr>
        <w:t>.</w:t>
      </w:r>
    </w:p>
    <w:p>
      <w:pPr>
        <w:pStyle w:val="Heading5"/>
        <w:rPr>
          <w:snapToGrid w:val="0"/>
        </w:rPr>
      </w:pPr>
      <w:bookmarkStart w:id="208" w:name="_Toc417977385"/>
      <w:bookmarkStart w:id="209" w:name="_Toc468772802"/>
      <w:bookmarkStart w:id="210" w:name="_Toc36365153"/>
      <w:bookmarkStart w:id="211" w:name="_Toc36365285"/>
      <w:bookmarkStart w:id="212" w:name="_Toc100566676"/>
      <w:bookmarkStart w:id="213" w:name="_Toc139693741"/>
      <w:r>
        <w:rPr>
          <w:rStyle w:val="CharSectno"/>
        </w:rPr>
        <w:t>30</w:t>
      </w:r>
      <w:r>
        <w:rPr>
          <w:snapToGrid w:val="0"/>
        </w:rPr>
        <w:t>.</w:t>
      </w:r>
      <w:r>
        <w:rPr>
          <w:snapToGrid w:val="0"/>
        </w:rPr>
        <w:tab/>
        <w:t>Secrecy</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to whom this section applies must not, either directly or indirectly, except in the performance of a function under or in connection with this or any other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snapToGrid w:val="0"/>
          <w:spacing w:val="-3"/>
        </w:rPr>
      </w:pPr>
      <w:r>
        <w:rPr>
          <w:snapToGrid w:val="0"/>
          <w:spacing w:val="-3"/>
        </w:rPr>
        <w:tab/>
        <w:t>(b)</w:t>
      </w:r>
      <w:r>
        <w:rPr>
          <w:snapToGrid w:val="0"/>
          <w:spacing w:val="-3"/>
        </w:rPr>
        <w:tab/>
        <w:t>produce to any person any document relating to the affairs of another person furnished for the purposes of this Act.</w:t>
      </w:r>
    </w:p>
    <w:p>
      <w:pPr>
        <w:pStyle w:val="Penstart"/>
        <w:rPr>
          <w:snapToGrid w:val="0"/>
        </w:rPr>
      </w:pPr>
      <w:r>
        <w:rPr>
          <w:snapToGrid w:val="0"/>
        </w:rPr>
        <w:tab/>
        <w:t>Penalty: $10 000.</w:t>
      </w:r>
    </w:p>
    <w:p>
      <w:pPr>
        <w:pStyle w:val="Subsection"/>
        <w:spacing w:before="140"/>
        <w:rPr>
          <w:snapToGrid w:val="0"/>
        </w:rPr>
      </w:pPr>
      <w:r>
        <w:rPr>
          <w:snapToGrid w:val="0"/>
        </w:rPr>
        <w:tab/>
        <w:t>(2)</w:t>
      </w:r>
      <w:r>
        <w:rPr>
          <w:snapToGrid w:val="0"/>
        </w:rPr>
        <w:tab/>
        <w:t>This section applies to every person who is or has been — </w:t>
      </w:r>
    </w:p>
    <w:p>
      <w:pPr>
        <w:pStyle w:val="Indenta"/>
        <w:rPr>
          <w:snapToGrid w:val="0"/>
        </w:rPr>
      </w:pPr>
      <w:r>
        <w:rPr>
          <w:snapToGrid w:val="0"/>
        </w:rPr>
        <w:tab/>
        <w:t>(a)</w:t>
      </w:r>
      <w:r>
        <w:rPr>
          <w:snapToGrid w:val="0"/>
        </w:rPr>
        <w:tab/>
        <w:t>a Board member or a member of a committee;</w:t>
      </w:r>
    </w:p>
    <w:p>
      <w:pPr>
        <w:pStyle w:val="Indenta"/>
        <w:rPr>
          <w:snapToGrid w:val="0"/>
        </w:rPr>
      </w:pPr>
      <w:r>
        <w:rPr>
          <w:snapToGrid w:val="0"/>
        </w:rPr>
        <w:tab/>
        <w:t>(b)</w:t>
      </w:r>
      <w:r>
        <w:rPr>
          <w:snapToGrid w:val="0"/>
        </w:rPr>
        <w:tab/>
        <w:t>an officer or employee; or</w:t>
      </w:r>
    </w:p>
    <w:p>
      <w:pPr>
        <w:pStyle w:val="Indenta"/>
        <w:rPr>
          <w:snapToGrid w:val="0"/>
        </w:rPr>
      </w:pPr>
      <w:r>
        <w:rPr>
          <w:snapToGrid w:val="0"/>
        </w:rPr>
        <w:tab/>
        <w:t>(c)</w:t>
      </w:r>
      <w:r>
        <w:rPr>
          <w:snapToGrid w:val="0"/>
        </w:rPr>
        <w:tab/>
        <w:t>a person referred to in section 28 or 29.</w:t>
      </w:r>
    </w:p>
    <w:p>
      <w:pPr>
        <w:pStyle w:val="Heading3"/>
        <w:spacing w:before="200"/>
        <w:rPr>
          <w:snapToGrid w:val="0"/>
        </w:rPr>
      </w:pPr>
      <w:bookmarkStart w:id="214" w:name="_Toc88976346"/>
      <w:bookmarkStart w:id="215" w:name="_Toc100457818"/>
      <w:bookmarkStart w:id="216" w:name="_Toc100566677"/>
      <w:bookmarkStart w:id="217" w:name="_Toc139343371"/>
      <w:bookmarkStart w:id="218" w:name="_Toc139693742"/>
      <w:r>
        <w:rPr>
          <w:rStyle w:val="CharDivNo"/>
        </w:rPr>
        <w:t>Division 4</w:t>
      </w:r>
      <w:r>
        <w:rPr>
          <w:snapToGrid w:val="0"/>
        </w:rPr>
        <w:t> — </w:t>
      </w:r>
      <w:r>
        <w:rPr>
          <w:rStyle w:val="CharDivText"/>
        </w:rPr>
        <w:t>Financial provisions</w:t>
      </w:r>
      <w:bookmarkEnd w:id="214"/>
      <w:bookmarkEnd w:id="215"/>
      <w:bookmarkEnd w:id="216"/>
      <w:bookmarkEnd w:id="217"/>
      <w:bookmarkEnd w:id="218"/>
      <w:r>
        <w:rPr>
          <w:rStyle w:val="CharDivText"/>
        </w:rPr>
        <w:t xml:space="preserve"> </w:t>
      </w:r>
    </w:p>
    <w:p>
      <w:pPr>
        <w:pStyle w:val="Heading5"/>
        <w:spacing w:before="200"/>
        <w:rPr>
          <w:snapToGrid w:val="0"/>
        </w:rPr>
      </w:pPr>
      <w:bookmarkStart w:id="219" w:name="_Toc417977386"/>
      <w:bookmarkStart w:id="220" w:name="_Toc468772803"/>
      <w:bookmarkStart w:id="221" w:name="_Toc36365154"/>
      <w:bookmarkStart w:id="222" w:name="_Toc36365286"/>
      <w:bookmarkStart w:id="223" w:name="_Toc100566678"/>
      <w:bookmarkStart w:id="224" w:name="_Toc139693743"/>
      <w:r>
        <w:rPr>
          <w:rStyle w:val="CharSectno"/>
        </w:rPr>
        <w:t>31</w:t>
      </w:r>
      <w:r>
        <w:rPr>
          <w:snapToGrid w:val="0"/>
        </w:rPr>
        <w:t>.</w:t>
      </w:r>
      <w:r>
        <w:rPr>
          <w:snapToGrid w:val="0"/>
        </w:rPr>
        <w:tab/>
        <w:t>Funds of a commission</w:t>
      </w:r>
      <w:bookmarkEnd w:id="219"/>
      <w:bookmarkEnd w:id="220"/>
      <w:bookmarkEnd w:id="221"/>
      <w:bookmarkEnd w:id="222"/>
      <w:bookmarkEnd w:id="223"/>
      <w:bookmarkEnd w:id="224"/>
      <w:r>
        <w:rPr>
          <w:snapToGrid w:val="0"/>
        </w:rPr>
        <w:t xml:space="preserve"> </w:t>
      </w:r>
    </w:p>
    <w:p>
      <w:pPr>
        <w:pStyle w:val="Subsection"/>
        <w:spacing w:before="140"/>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spacing w:before="140"/>
        <w:rPr>
          <w:snapToGrid w:val="0"/>
        </w:rPr>
      </w:pPr>
      <w:r>
        <w:rPr>
          <w:snapToGrid w:val="0"/>
        </w:rPr>
        <w:tab/>
        <w:t>(2)</w:t>
      </w:r>
      <w:r>
        <w:rPr>
          <w:snapToGrid w:val="0"/>
        </w:rPr>
        <w:tab/>
        <w:t xml:space="preserve">The funds for each commission referred to in subsection (1) are to be credited to an account </w:t>
      </w:r>
      <w:del w:id="225" w:author="svcMRProcess" w:date="2018-09-08T01:29:00Z">
        <w:r>
          <w:rPr>
            <w:snapToGrid w:val="0"/>
          </w:rPr>
          <w:delText xml:space="preserve">at the Treasury </w:delText>
        </w:r>
      </w:del>
      <w:r>
        <w:rPr>
          <w:snapToGrid w:val="0"/>
        </w:rPr>
        <w:t>held for each commission to be called the “.......</w:t>
      </w:r>
      <w:r>
        <w:rPr>
          <w:i/>
          <w:snapToGrid w:val="0"/>
        </w:rPr>
        <w:t xml:space="preserve"> (name of region)</w:t>
      </w:r>
      <w:r>
        <w:rPr>
          <w:snapToGrid w:val="0"/>
        </w:rPr>
        <w:t xml:space="preserve">....... Development Commission Account”, and those accounts form a part of the Trust Fund established under section 9 of the </w:t>
      </w:r>
      <w:r>
        <w:rPr>
          <w:i/>
          <w:snapToGrid w:val="0"/>
        </w:rPr>
        <w:t>Financial Administration and Audit Act 1985</w:t>
      </w:r>
      <w:r>
        <w:rPr>
          <w:snapToGrid w:val="0"/>
        </w:rPr>
        <w:t>.</w:t>
      </w:r>
    </w:p>
    <w:p>
      <w:pPr>
        <w:pStyle w:val="Subsection"/>
        <w:spacing w:before="140"/>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rPr>
          <w:ins w:id="226" w:author="svcMRProcess" w:date="2018-09-08T01:29:00Z"/>
        </w:rPr>
      </w:pPr>
      <w:ins w:id="227" w:author="svcMRProcess" w:date="2018-09-08T01:29:00Z">
        <w:r>
          <w:tab/>
          <w:t>[Section 31 amended by No. 28 of 2006 s. 371.]</w:t>
        </w:r>
      </w:ins>
    </w:p>
    <w:p>
      <w:pPr>
        <w:pStyle w:val="Heading5"/>
        <w:rPr>
          <w:snapToGrid w:val="0"/>
        </w:rPr>
      </w:pPr>
      <w:bookmarkStart w:id="228" w:name="_Toc417977387"/>
      <w:bookmarkStart w:id="229" w:name="_Toc468772804"/>
      <w:bookmarkStart w:id="230" w:name="_Toc36365155"/>
      <w:bookmarkStart w:id="231" w:name="_Toc36365287"/>
      <w:bookmarkStart w:id="232" w:name="_Toc100566679"/>
      <w:bookmarkStart w:id="233" w:name="_Toc139693744"/>
      <w:r>
        <w:rPr>
          <w:rStyle w:val="CharSectno"/>
        </w:rPr>
        <w:t>32</w:t>
      </w:r>
      <w:r>
        <w:rPr>
          <w:snapToGrid w:val="0"/>
        </w:rPr>
        <w:t>.</w:t>
      </w:r>
      <w:r>
        <w:rPr>
          <w:snapToGrid w:val="0"/>
        </w:rPr>
        <w:tab/>
        <w:t xml:space="preserve">Application of </w:t>
      </w:r>
      <w:r>
        <w:rPr>
          <w:i/>
          <w:snapToGrid w:val="0"/>
        </w:rPr>
        <w:t>Financial Administration and Audit Act 1985</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commission and its operations.</w:t>
      </w:r>
    </w:p>
    <w:p>
      <w:pPr>
        <w:pStyle w:val="Subsection"/>
      </w:pPr>
      <w:r>
        <w:tab/>
        <w:t>(2)</w:t>
      </w:r>
      <w:r>
        <w:tab/>
        <w:t xml:space="preserve">The provisions mentioned in subsection (1) apply in respect of a commission and its operations as if the term </w:t>
      </w:r>
      <w:r>
        <w:rPr>
          <w:b/>
        </w:rPr>
        <w:t>“</w:t>
      </w:r>
      <w:r>
        <w:rPr>
          <w:rStyle w:val="CharDefText"/>
        </w:rPr>
        <w:t>Minister</w:t>
      </w:r>
      <w:r>
        <w:rPr>
          <w:b/>
        </w:rPr>
        <w:t>”</w:t>
      </w:r>
      <w:r>
        <w:t xml:space="preserve"> used in those provisions had the meaning given by section 3(3) of this Act.</w:t>
      </w:r>
    </w:p>
    <w:p>
      <w:pPr>
        <w:pStyle w:val="Footnotesection"/>
      </w:pPr>
      <w:r>
        <w:tab/>
        <w:t>[Section 32 amended by No. 18 of 2001 s.5.]</w:t>
      </w:r>
    </w:p>
    <w:p>
      <w:pPr>
        <w:pStyle w:val="Heading2"/>
      </w:pPr>
      <w:bookmarkStart w:id="234" w:name="_Toc88976349"/>
      <w:bookmarkStart w:id="235" w:name="_Toc100457821"/>
      <w:bookmarkStart w:id="236" w:name="_Toc100566680"/>
      <w:bookmarkStart w:id="237" w:name="_Toc139343374"/>
      <w:bookmarkStart w:id="238" w:name="_Toc139693745"/>
      <w:r>
        <w:rPr>
          <w:rStyle w:val="CharPartNo"/>
        </w:rPr>
        <w:t>Part 4</w:t>
      </w:r>
      <w:r>
        <w:rPr>
          <w:rStyle w:val="CharDivNo"/>
        </w:rPr>
        <w:t> </w:t>
      </w:r>
      <w:r>
        <w:t>—</w:t>
      </w:r>
      <w:r>
        <w:rPr>
          <w:rStyle w:val="CharDivText"/>
        </w:rPr>
        <w:t> </w:t>
      </w:r>
      <w:r>
        <w:rPr>
          <w:rStyle w:val="CharPartText"/>
        </w:rPr>
        <w:t>Regional Development Council</w:t>
      </w:r>
      <w:bookmarkEnd w:id="234"/>
      <w:bookmarkEnd w:id="235"/>
      <w:bookmarkEnd w:id="236"/>
      <w:bookmarkEnd w:id="237"/>
      <w:bookmarkEnd w:id="238"/>
      <w:r>
        <w:rPr>
          <w:rStyle w:val="CharPartText"/>
        </w:rPr>
        <w:t xml:space="preserve"> </w:t>
      </w:r>
    </w:p>
    <w:p>
      <w:pPr>
        <w:pStyle w:val="Heading5"/>
        <w:spacing w:before="200"/>
        <w:rPr>
          <w:snapToGrid w:val="0"/>
        </w:rPr>
      </w:pPr>
      <w:bookmarkStart w:id="239" w:name="_Toc417977388"/>
      <w:bookmarkStart w:id="240" w:name="_Toc468772805"/>
      <w:bookmarkStart w:id="241" w:name="_Toc36365156"/>
      <w:bookmarkStart w:id="242" w:name="_Toc36365288"/>
      <w:bookmarkStart w:id="243" w:name="_Toc100566681"/>
      <w:bookmarkStart w:id="244" w:name="_Toc139693746"/>
      <w:r>
        <w:rPr>
          <w:rStyle w:val="CharSectno"/>
        </w:rPr>
        <w:t>33</w:t>
      </w:r>
      <w:r>
        <w:rPr>
          <w:snapToGrid w:val="0"/>
        </w:rPr>
        <w:t>.</w:t>
      </w:r>
      <w:r>
        <w:rPr>
          <w:snapToGrid w:val="0"/>
        </w:rPr>
        <w:tab/>
        <w:t>Regional Development Council established</w:t>
      </w:r>
      <w:bookmarkEnd w:id="239"/>
      <w:bookmarkEnd w:id="240"/>
      <w:bookmarkEnd w:id="241"/>
      <w:bookmarkEnd w:id="242"/>
      <w:bookmarkEnd w:id="243"/>
      <w:bookmarkEnd w:id="244"/>
      <w:r>
        <w:rPr>
          <w:snapToGrid w:val="0"/>
        </w:rPr>
        <w:t xml:space="preserve"> </w:t>
      </w:r>
    </w:p>
    <w:p>
      <w:pPr>
        <w:pStyle w:val="Subsection"/>
        <w:spacing w:before="140"/>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245" w:name="_Toc417977389"/>
      <w:bookmarkStart w:id="246" w:name="_Toc468772806"/>
      <w:bookmarkStart w:id="247" w:name="_Toc36365157"/>
      <w:bookmarkStart w:id="248" w:name="_Toc36365289"/>
      <w:bookmarkStart w:id="249" w:name="_Toc100566682"/>
      <w:bookmarkStart w:id="250" w:name="_Toc139693747"/>
      <w:r>
        <w:rPr>
          <w:rStyle w:val="CharSectno"/>
        </w:rPr>
        <w:t>34</w:t>
      </w:r>
      <w:r>
        <w:rPr>
          <w:snapToGrid w:val="0"/>
        </w:rPr>
        <w:t>.</w:t>
      </w:r>
      <w:r>
        <w:rPr>
          <w:snapToGrid w:val="0"/>
        </w:rPr>
        <w:tab/>
        <w:t>Membership of Council</w:t>
      </w:r>
      <w:bookmarkEnd w:id="245"/>
      <w:bookmarkEnd w:id="246"/>
      <w:bookmarkEnd w:id="247"/>
      <w:bookmarkEnd w:id="248"/>
      <w:bookmarkEnd w:id="249"/>
      <w:bookmarkEnd w:id="250"/>
      <w:r>
        <w:rPr>
          <w:snapToGrid w:val="0"/>
        </w:rPr>
        <w:t xml:space="preserve"> </w:t>
      </w:r>
    </w:p>
    <w:p>
      <w:pPr>
        <w:pStyle w:val="Subsection"/>
        <w:spacing w:before="140"/>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spacing w:before="140"/>
        <w:rPr>
          <w:snapToGrid w:val="0"/>
        </w:rPr>
      </w:pPr>
      <w:r>
        <w:rPr>
          <w:snapToGrid w:val="0"/>
        </w:rPr>
        <w:tab/>
        <w:t>(2)</w:t>
      </w:r>
      <w:r>
        <w:rPr>
          <w:snapToGrid w:val="0"/>
        </w:rPr>
        <w:tab/>
        <w:t>The Minister is to appoint a member of the Council to be the chairperson.</w:t>
      </w:r>
    </w:p>
    <w:p>
      <w:pPr>
        <w:pStyle w:val="Subsection"/>
        <w:spacing w:before="140"/>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s.5; No. 49 of 2004 s. 13.]</w:t>
      </w:r>
    </w:p>
    <w:p>
      <w:pPr>
        <w:pStyle w:val="Heading5"/>
        <w:spacing w:before="200"/>
        <w:rPr>
          <w:snapToGrid w:val="0"/>
        </w:rPr>
      </w:pPr>
      <w:bookmarkStart w:id="251" w:name="_Toc417977390"/>
      <w:bookmarkStart w:id="252" w:name="_Toc468772807"/>
      <w:bookmarkStart w:id="253" w:name="_Toc36365158"/>
      <w:bookmarkStart w:id="254" w:name="_Toc36365290"/>
      <w:bookmarkStart w:id="255" w:name="_Toc100566683"/>
      <w:bookmarkStart w:id="256" w:name="_Toc139693748"/>
      <w:r>
        <w:rPr>
          <w:rStyle w:val="CharSectno"/>
        </w:rPr>
        <w:t>35</w:t>
      </w:r>
      <w:r>
        <w:rPr>
          <w:snapToGrid w:val="0"/>
        </w:rPr>
        <w:t>.</w:t>
      </w:r>
      <w:r>
        <w:rPr>
          <w:snapToGrid w:val="0"/>
        </w:rPr>
        <w:tab/>
        <w:t>Functions of the Council</w:t>
      </w:r>
      <w:bookmarkEnd w:id="251"/>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257" w:name="_Toc417977391"/>
      <w:bookmarkStart w:id="258" w:name="_Toc468772808"/>
      <w:bookmarkStart w:id="259" w:name="_Toc36365159"/>
      <w:bookmarkStart w:id="260" w:name="_Toc36365291"/>
      <w:bookmarkStart w:id="261" w:name="_Toc100566684"/>
      <w:bookmarkStart w:id="262" w:name="_Toc139693749"/>
      <w:r>
        <w:rPr>
          <w:rStyle w:val="CharSectno"/>
        </w:rPr>
        <w:t>36</w:t>
      </w:r>
      <w:r>
        <w:rPr>
          <w:snapToGrid w:val="0"/>
        </w:rPr>
        <w:t>.</w:t>
      </w:r>
      <w:r>
        <w:rPr>
          <w:snapToGrid w:val="0"/>
        </w:rPr>
        <w:tab/>
        <w:t>Council procedures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263" w:name="_Toc417977392"/>
      <w:bookmarkStart w:id="264" w:name="_Toc468772809"/>
      <w:bookmarkStart w:id="265" w:name="_Toc36365160"/>
      <w:bookmarkStart w:id="266" w:name="_Toc36365292"/>
      <w:bookmarkStart w:id="267" w:name="_Toc100566685"/>
      <w:bookmarkStart w:id="268" w:name="_Toc139693750"/>
      <w:r>
        <w:rPr>
          <w:rStyle w:val="CharSectno"/>
        </w:rPr>
        <w:t>37</w:t>
      </w:r>
      <w:r>
        <w:rPr>
          <w:snapToGrid w:val="0"/>
        </w:rPr>
        <w:t>.</w:t>
      </w:r>
      <w:r>
        <w:rPr>
          <w:snapToGrid w:val="0"/>
        </w:rPr>
        <w:tab/>
        <w:t>Protection of Council members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269" w:name="_Toc88976355"/>
      <w:bookmarkStart w:id="270" w:name="_Toc100457827"/>
      <w:bookmarkStart w:id="271" w:name="_Toc100566686"/>
      <w:bookmarkStart w:id="272" w:name="_Toc139343380"/>
      <w:bookmarkStart w:id="273" w:name="_Toc139693751"/>
      <w:r>
        <w:rPr>
          <w:rStyle w:val="CharPartNo"/>
        </w:rPr>
        <w:t>Part 5</w:t>
      </w:r>
      <w:r>
        <w:rPr>
          <w:rStyle w:val="CharDivNo"/>
        </w:rPr>
        <w:t> </w:t>
      </w:r>
      <w:r>
        <w:t>—</w:t>
      </w:r>
      <w:r>
        <w:rPr>
          <w:rStyle w:val="CharDivText"/>
        </w:rPr>
        <w:t> </w:t>
      </w:r>
      <w:r>
        <w:rPr>
          <w:rStyle w:val="CharPartText"/>
        </w:rPr>
        <w:t>Vesting of land of former authorities</w:t>
      </w:r>
      <w:bookmarkEnd w:id="269"/>
      <w:bookmarkEnd w:id="270"/>
      <w:bookmarkEnd w:id="271"/>
      <w:bookmarkEnd w:id="272"/>
      <w:bookmarkEnd w:id="273"/>
      <w:r>
        <w:rPr>
          <w:rStyle w:val="CharPartText"/>
        </w:rPr>
        <w:t xml:space="preserve"> </w:t>
      </w:r>
    </w:p>
    <w:p>
      <w:pPr>
        <w:pStyle w:val="Heading5"/>
        <w:rPr>
          <w:snapToGrid w:val="0"/>
        </w:rPr>
      </w:pPr>
      <w:bookmarkStart w:id="274" w:name="_Toc417977393"/>
      <w:bookmarkStart w:id="275" w:name="_Toc468772810"/>
      <w:bookmarkStart w:id="276" w:name="_Toc36365161"/>
      <w:bookmarkStart w:id="277" w:name="_Toc36365293"/>
      <w:bookmarkStart w:id="278" w:name="_Toc100566687"/>
      <w:bookmarkStart w:id="279" w:name="_Toc139693752"/>
      <w:r>
        <w:rPr>
          <w:rStyle w:val="CharSectno"/>
        </w:rPr>
        <w:t>38</w:t>
      </w:r>
      <w:r>
        <w:rPr>
          <w:snapToGrid w:val="0"/>
        </w:rPr>
        <w:t>.</w:t>
      </w:r>
      <w:r>
        <w:rPr>
          <w:snapToGrid w:val="0"/>
        </w:rPr>
        <w:tab/>
        <w:t>Definition</w:t>
      </w:r>
      <w:bookmarkEnd w:id="274"/>
      <w:bookmarkEnd w:id="275"/>
      <w:bookmarkEnd w:id="276"/>
      <w:bookmarkEnd w:id="277"/>
      <w:bookmarkEnd w:id="278"/>
      <w:bookmarkEnd w:id="279"/>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land</w:t>
      </w:r>
      <w:r>
        <w:rPr>
          <w:b/>
        </w:rPr>
        <w:t>”</w:t>
      </w:r>
      <w:r>
        <w:t xml:space="preserve"> includes any estate or interest in land.</w:t>
      </w:r>
    </w:p>
    <w:p>
      <w:pPr>
        <w:pStyle w:val="Heading5"/>
        <w:rPr>
          <w:snapToGrid w:val="0"/>
        </w:rPr>
      </w:pPr>
      <w:bookmarkStart w:id="280" w:name="_Toc417977394"/>
      <w:bookmarkStart w:id="281" w:name="_Toc468772811"/>
      <w:bookmarkStart w:id="282" w:name="_Toc36365162"/>
      <w:bookmarkStart w:id="283" w:name="_Toc36365294"/>
      <w:bookmarkStart w:id="284" w:name="_Toc100566688"/>
      <w:bookmarkStart w:id="285" w:name="_Toc139693753"/>
      <w:r>
        <w:rPr>
          <w:rStyle w:val="CharSectno"/>
        </w:rPr>
        <w:t>39</w:t>
      </w:r>
      <w:r>
        <w:rPr>
          <w:snapToGrid w:val="0"/>
        </w:rPr>
        <w:t>.</w:t>
      </w:r>
      <w:r>
        <w:rPr>
          <w:snapToGrid w:val="0"/>
        </w:rPr>
        <w:tab/>
        <w:t>Vesting of land</w:t>
      </w:r>
      <w:bookmarkEnd w:id="280"/>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spacing w:before="140"/>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286" w:name="_Toc417977395"/>
      <w:bookmarkStart w:id="287" w:name="_Toc468772812"/>
      <w:bookmarkStart w:id="288" w:name="_Toc36365163"/>
      <w:bookmarkStart w:id="289" w:name="_Toc36365295"/>
      <w:bookmarkStart w:id="290" w:name="_Toc100566689"/>
      <w:bookmarkStart w:id="291" w:name="_Toc139693754"/>
      <w:r>
        <w:rPr>
          <w:rStyle w:val="CharSectno"/>
        </w:rPr>
        <w:t>40</w:t>
      </w:r>
      <w:r>
        <w:rPr>
          <w:snapToGrid w:val="0"/>
        </w:rPr>
        <w:t>.</w:t>
      </w:r>
      <w:r>
        <w:rPr>
          <w:snapToGrid w:val="0"/>
        </w:rPr>
        <w:tab/>
        <w:t>Powers in relation to land</w:t>
      </w:r>
      <w:bookmarkEnd w:id="286"/>
      <w:bookmarkEnd w:id="287"/>
      <w:bookmarkEnd w:id="288"/>
      <w:bookmarkEnd w:id="289"/>
      <w:bookmarkEnd w:id="290"/>
      <w:bookmarkEnd w:id="291"/>
      <w:r>
        <w:rPr>
          <w:snapToGrid w:val="0"/>
        </w:rPr>
        <w:t xml:space="preserve"> </w:t>
      </w:r>
    </w:p>
    <w:p>
      <w:pPr>
        <w:pStyle w:val="Subsection"/>
        <w:spacing w:before="140"/>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authorized to do under this section.</w:t>
      </w:r>
    </w:p>
    <w:p>
      <w:pPr>
        <w:pStyle w:val="Subsection"/>
        <w:spacing w:before="140"/>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s.4.]</w:t>
      </w:r>
    </w:p>
    <w:p>
      <w:pPr>
        <w:pStyle w:val="Heading5"/>
        <w:rPr>
          <w:snapToGrid w:val="0"/>
        </w:rPr>
      </w:pPr>
      <w:bookmarkStart w:id="292" w:name="_Toc417977396"/>
      <w:bookmarkStart w:id="293" w:name="_Toc468772813"/>
      <w:bookmarkStart w:id="294" w:name="_Toc36365164"/>
      <w:bookmarkStart w:id="295" w:name="_Toc36365296"/>
      <w:bookmarkStart w:id="296" w:name="_Toc100566690"/>
      <w:bookmarkStart w:id="297" w:name="_Toc139693755"/>
      <w:r>
        <w:rPr>
          <w:rStyle w:val="CharSectno"/>
        </w:rPr>
        <w:t>41</w:t>
      </w:r>
      <w:r>
        <w:rPr>
          <w:snapToGrid w:val="0"/>
        </w:rPr>
        <w:t>.</w:t>
      </w:r>
      <w:r>
        <w:rPr>
          <w:snapToGrid w:val="0"/>
        </w:rPr>
        <w:tab/>
        <w:t>Registration of documents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authorized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s.78.]</w:t>
      </w:r>
    </w:p>
    <w:p>
      <w:pPr>
        <w:pStyle w:val="Heading2"/>
      </w:pPr>
      <w:bookmarkStart w:id="298" w:name="_Toc88976360"/>
      <w:bookmarkStart w:id="299" w:name="_Toc100457832"/>
      <w:bookmarkStart w:id="300" w:name="_Toc100566691"/>
      <w:bookmarkStart w:id="301" w:name="_Toc139343385"/>
      <w:bookmarkStart w:id="302" w:name="_Toc139693756"/>
      <w:r>
        <w:rPr>
          <w:rStyle w:val="CharPartNo"/>
        </w:rPr>
        <w:t>Part 6</w:t>
      </w:r>
      <w:r>
        <w:rPr>
          <w:rStyle w:val="CharDivNo"/>
        </w:rPr>
        <w:t> </w:t>
      </w:r>
      <w:r>
        <w:t>—</w:t>
      </w:r>
      <w:r>
        <w:rPr>
          <w:rStyle w:val="CharDivText"/>
        </w:rPr>
        <w:t> </w:t>
      </w:r>
      <w:r>
        <w:rPr>
          <w:rStyle w:val="CharPartText"/>
        </w:rPr>
        <w:t>General</w:t>
      </w:r>
      <w:bookmarkEnd w:id="298"/>
      <w:bookmarkEnd w:id="299"/>
      <w:bookmarkEnd w:id="300"/>
      <w:bookmarkEnd w:id="301"/>
      <w:bookmarkEnd w:id="302"/>
      <w:r>
        <w:rPr>
          <w:rStyle w:val="CharPartText"/>
        </w:rPr>
        <w:t xml:space="preserve"> </w:t>
      </w:r>
    </w:p>
    <w:p>
      <w:pPr>
        <w:pStyle w:val="Heading5"/>
        <w:rPr>
          <w:snapToGrid w:val="0"/>
        </w:rPr>
      </w:pPr>
      <w:bookmarkStart w:id="303" w:name="_Toc417977397"/>
      <w:bookmarkStart w:id="304" w:name="_Toc468772814"/>
      <w:bookmarkStart w:id="305" w:name="_Toc36365165"/>
      <w:bookmarkStart w:id="306" w:name="_Toc36365297"/>
      <w:bookmarkStart w:id="307" w:name="_Toc100566692"/>
      <w:bookmarkStart w:id="308" w:name="_Toc139693757"/>
      <w:r>
        <w:rPr>
          <w:rStyle w:val="CharSectno"/>
        </w:rPr>
        <w:t>42</w:t>
      </w:r>
      <w:r>
        <w:rPr>
          <w:snapToGrid w:val="0"/>
        </w:rPr>
        <w:t>.</w:t>
      </w:r>
      <w:r>
        <w:rPr>
          <w:snapToGrid w:val="0"/>
        </w:rPr>
        <w:tab/>
        <w:t>Regulations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09" w:name="_Toc417977398"/>
      <w:bookmarkStart w:id="310" w:name="_Toc468772815"/>
      <w:bookmarkStart w:id="311" w:name="_Toc36365166"/>
      <w:bookmarkStart w:id="312" w:name="_Toc36365298"/>
      <w:bookmarkStart w:id="313" w:name="_Toc100566693"/>
      <w:bookmarkStart w:id="314" w:name="_Toc139693758"/>
      <w:r>
        <w:rPr>
          <w:rStyle w:val="CharSectno"/>
        </w:rPr>
        <w:t>43</w:t>
      </w:r>
      <w:r>
        <w:rPr>
          <w:snapToGrid w:val="0"/>
        </w:rPr>
        <w:t>.</w:t>
      </w:r>
      <w:r>
        <w:rPr>
          <w:snapToGrid w:val="0"/>
        </w:rPr>
        <w:tab/>
        <w:t>Transitional provisions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Heading5"/>
        <w:rPr>
          <w:snapToGrid w:val="0"/>
        </w:rPr>
      </w:pPr>
      <w:bookmarkStart w:id="315" w:name="_Toc417977399"/>
      <w:bookmarkStart w:id="316" w:name="_Toc468772816"/>
      <w:bookmarkStart w:id="317" w:name="_Toc36365167"/>
      <w:bookmarkStart w:id="318" w:name="_Toc36365299"/>
      <w:bookmarkStart w:id="319" w:name="_Toc100566694"/>
      <w:bookmarkStart w:id="320" w:name="_Toc139693759"/>
      <w:r>
        <w:rPr>
          <w:rStyle w:val="CharSectno"/>
        </w:rPr>
        <w:t>44</w:t>
      </w:r>
      <w:r>
        <w:rPr>
          <w:snapToGrid w:val="0"/>
        </w:rPr>
        <w:t>.</w:t>
      </w:r>
      <w:r>
        <w:rPr>
          <w:snapToGrid w:val="0"/>
        </w:rPr>
        <w:tab/>
        <w:t>Consequential amendments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r>
      <w:r>
        <w:rPr>
          <w:i/>
          <w:snapToGrid w:val="0"/>
        </w:rPr>
        <w:t>[Omitted under the Reprints Act 1984 s.7(4)(e).]</w:t>
      </w:r>
    </w:p>
    <w:p>
      <w:pPr>
        <w:pStyle w:val="Heading5"/>
        <w:rPr>
          <w:snapToGrid w:val="0"/>
        </w:rPr>
      </w:pPr>
      <w:bookmarkStart w:id="321" w:name="_Toc417977400"/>
      <w:bookmarkStart w:id="322" w:name="_Toc468772817"/>
      <w:bookmarkStart w:id="323" w:name="_Toc36365168"/>
      <w:bookmarkStart w:id="324" w:name="_Toc36365300"/>
      <w:bookmarkStart w:id="325" w:name="_Toc100566695"/>
      <w:bookmarkStart w:id="326" w:name="_Toc139693760"/>
      <w:r>
        <w:rPr>
          <w:rStyle w:val="CharSectno"/>
        </w:rPr>
        <w:t>45</w:t>
      </w:r>
      <w:r>
        <w:rPr>
          <w:snapToGrid w:val="0"/>
        </w:rPr>
        <w:t>.</w:t>
      </w:r>
      <w:r>
        <w:rPr>
          <w:snapToGrid w:val="0"/>
        </w:rPr>
        <w:tab/>
        <w:t>Review of Act</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7" w:name="_Toc36365301"/>
      <w:bookmarkStart w:id="328" w:name="_Toc100566696"/>
      <w:bookmarkStart w:id="329" w:name="_Toc139343390"/>
      <w:bookmarkStart w:id="330" w:name="_Toc139693761"/>
      <w:r>
        <w:rPr>
          <w:rStyle w:val="CharSchNo"/>
        </w:rPr>
        <w:t>Schedule 1</w:t>
      </w:r>
      <w:bookmarkEnd w:id="327"/>
      <w:bookmarkEnd w:id="328"/>
      <w:bookmarkEnd w:id="329"/>
      <w:bookmarkEnd w:id="330"/>
    </w:p>
    <w:p>
      <w:pPr>
        <w:pStyle w:val="MiscellaneousHeading"/>
        <w:rPr>
          <w:b/>
        </w:rPr>
      </w:pPr>
      <w:r>
        <w:rPr>
          <w:b/>
        </w:rPr>
        <w:t>Regions defined by reference to districts</w:t>
      </w:r>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s.4.]</w:t>
      </w:r>
    </w:p>
    <w:p>
      <w:pPr>
        <w:pStyle w:val="yScheduleHeading"/>
      </w:pPr>
      <w:bookmarkStart w:id="331" w:name="_Toc36365302"/>
      <w:bookmarkStart w:id="332" w:name="_Toc100566697"/>
      <w:bookmarkStart w:id="333" w:name="_Toc139343391"/>
      <w:bookmarkStart w:id="334" w:name="_Toc139693762"/>
      <w:r>
        <w:rPr>
          <w:rStyle w:val="CharSchNo"/>
        </w:rPr>
        <w:t>Schedule 2</w:t>
      </w:r>
      <w:bookmarkEnd w:id="331"/>
      <w:bookmarkEnd w:id="332"/>
      <w:bookmarkEnd w:id="333"/>
      <w:bookmarkEnd w:id="334"/>
    </w:p>
    <w:p>
      <w:pPr>
        <w:pStyle w:val="yShoulderClause"/>
        <w:rPr>
          <w:snapToGrid w:val="0"/>
        </w:rPr>
      </w:pPr>
      <w:r>
        <w:rPr>
          <w:snapToGrid w:val="0"/>
        </w:rPr>
        <w:t>[Sections 3, 17 and 19]</w:t>
      </w:r>
    </w:p>
    <w:p>
      <w:pPr>
        <w:pStyle w:val="yHeading2"/>
        <w:spacing w:before="220"/>
      </w:pPr>
      <w:bookmarkStart w:id="335" w:name="_Toc36365303"/>
      <w:bookmarkStart w:id="336" w:name="_Toc100566698"/>
      <w:bookmarkStart w:id="337" w:name="_Toc139343392"/>
      <w:bookmarkStart w:id="338" w:name="_Toc139693763"/>
      <w:r>
        <w:t>Part 1 — Constitution and proceedings of a Board</w:t>
      </w:r>
      <w:bookmarkEnd w:id="335"/>
      <w:bookmarkEnd w:id="336"/>
      <w:bookmarkEnd w:id="337"/>
      <w:bookmarkEnd w:id="338"/>
    </w:p>
    <w:p>
      <w:pPr>
        <w:pStyle w:val="yHeading5"/>
        <w:spacing w:before="200"/>
        <w:ind w:left="890" w:hanging="890"/>
        <w:outlineLvl w:val="9"/>
        <w:rPr>
          <w:snapToGrid w:val="0"/>
        </w:rPr>
      </w:pPr>
      <w:bookmarkStart w:id="339" w:name="_Toc468772818"/>
      <w:bookmarkStart w:id="340" w:name="_Toc36365169"/>
      <w:bookmarkStart w:id="341" w:name="_Toc36365304"/>
      <w:bookmarkStart w:id="342" w:name="_Toc100566699"/>
      <w:bookmarkStart w:id="343" w:name="_Toc139693764"/>
      <w:r>
        <w:rPr>
          <w:snapToGrid w:val="0"/>
        </w:rPr>
        <w:t>1.</w:t>
      </w:r>
      <w:r>
        <w:rPr>
          <w:snapToGrid w:val="0"/>
        </w:rPr>
        <w:tab/>
        <w:t>Term of office of appointed member</w:t>
      </w:r>
      <w:bookmarkEnd w:id="339"/>
      <w:bookmarkEnd w:id="340"/>
      <w:bookmarkEnd w:id="341"/>
      <w:bookmarkEnd w:id="342"/>
      <w:bookmarkEnd w:id="343"/>
    </w:p>
    <w:p>
      <w:pPr>
        <w:pStyle w:val="ySubsection"/>
        <w:spacing w:before="140"/>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spacing w:before="140"/>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Heading5"/>
        <w:spacing w:before="200"/>
        <w:ind w:left="890" w:hanging="890"/>
        <w:outlineLvl w:val="9"/>
        <w:rPr>
          <w:snapToGrid w:val="0"/>
        </w:rPr>
      </w:pPr>
      <w:bookmarkStart w:id="344" w:name="_Toc468772819"/>
      <w:bookmarkStart w:id="345" w:name="_Toc36365170"/>
      <w:bookmarkStart w:id="346" w:name="_Toc36365305"/>
      <w:bookmarkStart w:id="347" w:name="_Toc100566700"/>
      <w:bookmarkStart w:id="348" w:name="_Toc139693765"/>
      <w:r>
        <w:rPr>
          <w:snapToGrid w:val="0"/>
        </w:rPr>
        <w:t>2.</w:t>
      </w:r>
      <w:r>
        <w:rPr>
          <w:snapToGrid w:val="0"/>
        </w:rPr>
        <w:tab/>
        <w:t>Vacation of office by appointed member</w:t>
      </w:r>
      <w:bookmarkEnd w:id="344"/>
      <w:bookmarkEnd w:id="345"/>
      <w:bookmarkEnd w:id="346"/>
      <w:bookmarkEnd w:id="347"/>
      <w:bookmarkEnd w:id="348"/>
    </w:p>
    <w:p>
      <w:pPr>
        <w:pStyle w:val="ySubsection"/>
        <w:spacing w:before="140"/>
        <w:rPr>
          <w:snapToGrid w:val="0"/>
        </w:rPr>
      </w:pPr>
      <w:r>
        <w:rPr>
          <w:snapToGrid w:val="0"/>
        </w:rPr>
        <w:tab/>
        <w:t>(1)</w:t>
      </w:r>
      <w:r>
        <w:rPr>
          <w:snapToGrid w:val="0"/>
        </w:rPr>
        <w:tab/>
        <w:t>An appointed member may resign from office by notice in writing delivered to the Minister.</w:t>
      </w:r>
    </w:p>
    <w:p>
      <w:pPr>
        <w:pStyle w:val="ySubsection"/>
        <w:spacing w:before="140"/>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Heading5"/>
        <w:ind w:left="890" w:hanging="890"/>
        <w:outlineLvl w:val="9"/>
        <w:rPr>
          <w:snapToGrid w:val="0"/>
        </w:rPr>
      </w:pPr>
      <w:bookmarkStart w:id="349" w:name="_Toc468772820"/>
      <w:bookmarkStart w:id="350" w:name="_Toc36365171"/>
      <w:bookmarkStart w:id="351" w:name="_Toc36365306"/>
      <w:bookmarkStart w:id="352" w:name="_Toc100566701"/>
      <w:bookmarkStart w:id="353" w:name="_Toc139693766"/>
      <w:r>
        <w:rPr>
          <w:snapToGrid w:val="0"/>
        </w:rPr>
        <w:t>3.</w:t>
      </w:r>
      <w:r>
        <w:rPr>
          <w:snapToGrid w:val="0"/>
        </w:rPr>
        <w:tab/>
        <w:t>Temporary members</w:t>
      </w:r>
      <w:bookmarkEnd w:id="349"/>
      <w:bookmarkEnd w:id="350"/>
      <w:bookmarkEnd w:id="351"/>
      <w:bookmarkEnd w:id="352"/>
      <w:bookmarkEnd w:id="353"/>
    </w:p>
    <w:p>
      <w:pPr>
        <w:pStyle w:val="ySubsection"/>
        <w:spacing w:before="140"/>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spacing w:before="140"/>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spacing w:before="140"/>
        <w:rPr>
          <w:snapToGrid w:val="0"/>
        </w:rPr>
      </w:pPr>
      <w:r>
        <w:rPr>
          <w:snapToGrid w:val="0"/>
        </w:rPr>
        <w:tab/>
        <w:t>(3)</w:t>
      </w:r>
      <w:r>
        <w:rPr>
          <w:snapToGrid w:val="0"/>
        </w:rPr>
        <w:tab/>
        <w:t>The appointment of a person as a temporary member may be terminated at any time by the Minister.</w:t>
      </w:r>
    </w:p>
    <w:p>
      <w:pPr>
        <w:pStyle w:val="yHeading5"/>
        <w:ind w:left="890" w:hanging="890"/>
        <w:outlineLvl w:val="9"/>
        <w:rPr>
          <w:snapToGrid w:val="0"/>
        </w:rPr>
      </w:pPr>
      <w:bookmarkStart w:id="354" w:name="_Toc468772821"/>
      <w:bookmarkStart w:id="355" w:name="_Toc36365172"/>
      <w:bookmarkStart w:id="356" w:name="_Toc36365307"/>
      <w:bookmarkStart w:id="357" w:name="_Toc100566702"/>
      <w:bookmarkStart w:id="358" w:name="_Toc139693767"/>
      <w:r>
        <w:rPr>
          <w:snapToGrid w:val="0"/>
        </w:rPr>
        <w:t>4.</w:t>
      </w:r>
      <w:r>
        <w:rPr>
          <w:snapToGrid w:val="0"/>
        </w:rPr>
        <w:tab/>
        <w:t>Meetings of a Board</w:t>
      </w:r>
      <w:bookmarkEnd w:id="354"/>
      <w:bookmarkEnd w:id="355"/>
      <w:bookmarkEnd w:id="356"/>
      <w:bookmarkEnd w:id="357"/>
      <w:bookmarkEnd w:id="35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40"/>
        <w:rPr>
          <w:snapToGrid w:val="0"/>
        </w:rPr>
      </w:pPr>
      <w:r>
        <w:rPr>
          <w:snapToGrid w:val="0"/>
        </w:rPr>
        <w:tab/>
        <w:t>(2)</w:t>
      </w:r>
      <w:r>
        <w:rPr>
          <w:snapToGrid w:val="0"/>
        </w:rPr>
        <w:tab/>
        <w:t>A special meeting of a Board may at any time be convened by the chairperson.</w:t>
      </w:r>
    </w:p>
    <w:p>
      <w:pPr>
        <w:pStyle w:val="ySubsection"/>
        <w:spacing w:before="14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359" w:name="_Toc468772822"/>
      <w:bookmarkStart w:id="360" w:name="_Toc36365173"/>
      <w:bookmarkStart w:id="361" w:name="_Toc36365308"/>
      <w:bookmarkStart w:id="362" w:name="_Toc100566703"/>
      <w:bookmarkStart w:id="363" w:name="_Toc139693768"/>
      <w:r>
        <w:rPr>
          <w:snapToGrid w:val="0"/>
        </w:rPr>
        <w:t>5.</w:t>
      </w:r>
      <w:r>
        <w:rPr>
          <w:snapToGrid w:val="0"/>
        </w:rPr>
        <w:tab/>
        <w:t>Resolution may be passed without meeting</w:t>
      </w:r>
      <w:bookmarkEnd w:id="359"/>
      <w:bookmarkEnd w:id="360"/>
      <w:bookmarkEnd w:id="361"/>
      <w:bookmarkEnd w:id="362"/>
      <w:bookmarkEnd w:id="363"/>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364" w:name="_Toc468772823"/>
      <w:bookmarkStart w:id="365" w:name="_Toc36365174"/>
      <w:bookmarkStart w:id="366" w:name="_Toc36365309"/>
      <w:bookmarkStart w:id="367" w:name="_Toc100566704"/>
      <w:bookmarkStart w:id="368" w:name="_Toc139693769"/>
      <w:r>
        <w:rPr>
          <w:snapToGrid w:val="0"/>
        </w:rPr>
        <w:t>6.</w:t>
      </w:r>
      <w:r>
        <w:rPr>
          <w:snapToGrid w:val="0"/>
        </w:rPr>
        <w:tab/>
        <w:t>Leave of absence</w:t>
      </w:r>
      <w:bookmarkEnd w:id="364"/>
      <w:bookmarkEnd w:id="365"/>
      <w:bookmarkEnd w:id="366"/>
      <w:bookmarkEnd w:id="367"/>
      <w:bookmarkEnd w:id="368"/>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369" w:name="_Toc468772824"/>
      <w:bookmarkStart w:id="370" w:name="_Toc36365175"/>
      <w:bookmarkStart w:id="371" w:name="_Toc36365310"/>
      <w:bookmarkStart w:id="372" w:name="_Toc100566705"/>
      <w:bookmarkStart w:id="373" w:name="_Toc139693770"/>
      <w:r>
        <w:rPr>
          <w:snapToGrid w:val="0"/>
        </w:rPr>
        <w:t>7.</w:t>
      </w:r>
      <w:r>
        <w:rPr>
          <w:snapToGrid w:val="0"/>
        </w:rPr>
        <w:tab/>
        <w:t>Board to determine own procedures</w:t>
      </w:r>
      <w:bookmarkEnd w:id="369"/>
      <w:bookmarkEnd w:id="370"/>
      <w:bookmarkEnd w:id="371"/>
      <w:bookmarkEnd w:id="372"/>
      <w:bookmarkEnd w:id="373"/>
    </w:p>
    <w:p>
      <w:pPr>
        <w:pStyle w:val="ySubsection"/>
        <w:rPr>
          <w:snapToGrid w:val="0"/>
        </w:rPr>
      </w:pPr>
      <w:r>
        <w:rPr>
          <w:snapToGrid w:val="0"/>
        </w:rPr>
        <w:tab/>
      </w:r>
      <w:r>
        <w:rPr>
          <w:snapToGrid w:val="0"/>
        </w:rPr>
        <w:tab/>
        <w:t>Subject to this Act, a Board may determine its own procedures.</w:t>
      </w:r>
    </w:p>
    <w:p>
      <w:pPr>
        <w:pStyle w:val="yHeading2"/>
      </w:pPr>
      <w:bookmarkStart w:id="374" w:name="_Toc36365311"/>
      <w:bookmarkStart w:id="375" w:name="_Toc100566706"/>
      <w:bookmarkStart w:id="376" w:name="_Toc139343400"/>
      <w:bookmarkStart w:id="377" w:name="_Toc139693771"/>
      <w:r>
        <w:t>Part 2 — Regional Development Advisory Committees and other committees</w:t>
      </w:r>
      <w:bookmarkEnd w:id="374"/>
      <w:bookmarkEnd w:id="375"/>
      <w:bookmarkEnd w:id="376"/>
      <w:bookmarkEnd w:id="377"/>
    </w:p>
    <w:p>
      <w:pPr>
        <w:pStyle w:val="yHeading3"/>
        <w:rPr>
          <w:snapToGrid w:val="0"/>
        </w:rPr>
      </w:pPr>
      <w:bookmarkStart w:id="378" w:name="_Toc36365312"/>
      <w:bookmarkStart w:id="379" w:name="_Toc100566707"/>
      <w:bookmarkStart w:id="380" w:name="_Toc139343401"/>
      <w:bookmarkStart w:id="381" w:name="_Toc139693772"/>
      <w:r>
        <w:rPr>
          <w:snapToGrid w:val="0"/>
        </w:rPr>
        <w:t>Division 1 — Regional Development Advisory Committees</w:t>
      </w:r>
      <w:bookmarkEnd w:id="378"/>
      <w:bookmarkEnd w:id="379"/>
      <w:bookmarkEnd w:id="380"/>
      <w:bookmarkEnd w:id="381"/>
      <w:r>
        <w:rPr>
          <w:snapToGrid w:val="0"/>
        </w:rPr>
        <w:t xml:space="preserve"> </w:t>
      </w:r>
    </w:p>
    <w:p>
      <w:pPr>
        <w:pStyle w:val="yHeading5"/>
        <w:ind w:left="890" w:hanging="890"/>
        <w:outlineLvl w:val="9"/>
        <w:rPr>
          <w:snapToGrid w:val="0"/>
        </w:rPr>
      </w:pPr>
      <w:bookmarkStart w:id="382" w:name="_Toc468772825"/>
      <w:bookmarkStart w:id="383" w:name="_Toc36365176"/>
      <w:bookmarkStart w:id="384" w:name="_Toc36365313"/>
      <w:bookmarkStart w:id="385" w:name="_Toc100566708"/>
      <w:bookmarkStart w:id="386" w:name="_Toc139693773"/>
      <w:r>
        <w:rPr>
          <w:snapToGrid w:val="0"/>
        </w:rPr>
        <w:t>8.</w:t>
      </w:r>
      <w:r>
        <w:rPr>
          <w:snapToGrid w:val="0"/>
        </w:rPr>
        <w:tab/>
        <w:t>Establishment</w:t>
      </w:r>
      <w:bookmarkEnd w:id="382"/>
      <w:bookmarkEnd w:id="383"/>
      <w:bookmarkEnd w:id="384"/>
      <w:bookmarkEnd w:id="385"/>
      <w:bookmarkEnd w:id="386"/>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b/>
          <w:snapToGrid w:val="0"/>
        </w:rPr>
        <w:t>“</w:t>
      </w:r>
      <w:r>
        <w:rPr>
          <w:rStyle w:val="CharDefText"/>
        </w:rPr>
        <w:t>a Committee</w:t>
      </w:r>
      <w:r>
        <w:rPr>
          <w:b/>
          <w:snapToGrid w:val="0"/>
        </w:rPr>
        <w:t>”</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387" w:name="_Toc468772826"/>
      <w:bookmarkStart w:id="388" w:name="_Toc36365177"/>
      <w:bookmarkStart w:id="389" w:name="_Toc36365314"/>
      <w:bookmarkStart w:id="390" w:name="_Toc100566709"/>
      <w:bookmarkStart w:id="391" w:name="_Toc139693774"/>
      <w:r>
        <w:rPr>
          <w:snapToGrid w:val="0"/>
        </w:rPr>
        <w:t>9.</w:t>
      </w:r>
      <w:r>
        <w:rPr>
          <w:snapToGrid w:val="0"/>
        </w:rPr>
        <w:tab/>
        <w:t>Functions</w:t>
      </w:r>
      <w:bookmarkEnd w:id="387"/>
      <w:bookmarkEnd w:id="388"/>
      <w:bookmarkEnd w:id="389"/>
      <w:bookmarkEnd w:id="390"/>
      <w:bookmarkEnd w:id="391"/>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392" w:name="_Toc468772827"/>
      <w:bookmarkStart w:id="393" w:name="_Toc36365178"/>
      <w:bookmarkStart w:id="394" w:name="_Toc36365315"/>
      <w:bookmarkStart w:id="395" w:name="_Toc100566710"/>
      <w:bookmarkStart w:id="396" w:name="_Toc139693775"/>
      <w:r>
        <w:rPr>
          <w:snapToGrid w:val="0"/>
        </w:rPr>
        <w:t>10.</w:t>
      </w:r>
      <w:r>
        <w:rPr>
          <w:snapToGrid w:val="0"/>
        </w:rPr>
        <w:tab/>
        <w:t>Committee procedures and time for reporting</w:t>
      </w:r>
      <w:bookmarkEnd w:id="392"/>
      <w:bookmarkEnd w:id="393"/>
      <w:bookmarkEnd w:id="394"/>
      <w:bookmarkEnd w:id="395"/>
      <w:bookmarkEnd w:id="396"/>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397" w:name="_Toc36365316"/>
      <w:bookmarkStart w:id="398" w:name="_Toc100566711"/>
      <w:bookmarkStart w:id="399" w:name="_Toc139343405"/>
      <w:bookmarkStart w:id="400" w:name="_Toc139693776"/>
      <w:r>
        <w:rPr>
          <w:snapToGrid w:val="0"/>
        </w:rPr>
        <w:t>Division 2 — Other committees</w:t>
      </w:r>
      <w:bookmarkEnd w:id="397"/>
      <w:bookmarkEnd w:id="398"/>
      <w:bookmarkEnd w:id="399"/>
      <w:bookmarkEnd w:id="400"/>
    </w:p>
    <w:p>
      <w:pPr>
        <w:pStyle w:val="yHeading5"/>
        <w:ind w:left="890" w:hanging="890"/>
        <w:outlineLvl w:val="9"/>
        <w:rPr>
          <w:snapToGrid w:val="0"/>
        </w:rPr>
      </w:pPr>
      <w:bookmarkStart w:id="401" w:name="_Toc468772828"/>
      <w:bookmarkStart w:id="402" w:name="_Toc36365179"/>
      <w:bookmarkStart w:id="403" w:name="_Toc36365317"/>
      <w:bookmarkStart w:id="404" w:name="_Toc100566712"/>
      <w:bookmarkStart w:id="405" w:name="_Toc139693777"/>
      <w:r>
        <w:rPr>
          <w:snapToGrid w:val="0"/>
        </w:rPr>
        <w:t>11.</w:t>
      </w:r>
      <w:r>
        <w:rPr>
          <w:snapToGrid w:val="0"/>
        </w:rPr>
        <w:tab/>
        <w:t>Establishment of other committees</w:t>
      </w:r>
      <w:bookmarkEnd w:id="401"/>
      <w:bookmarkEnd w:id="402"/>
      <w:bookmarkEnd w:id="403"/>
      <w:bookmarkEnd w:id="404"/>
      <w:bookmarkEnd w:id="405"/>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pStyle w:val="yFootnotesection"/>
      </w:pPr>
      <w:r>
        <w:tab/>
        <w:t>[Schedule 2 amended by No. 16 of 1997 s.6; No. 10 of 2001 s.220.]</w:t>
      </w:r>
    </w:p>
    <w:p>
      <w:pPr>
        <w:pStyle w:val="yScheduleHeading"/>
      </w:pPr>
      <w:bookmarkStart w:id="406" w:name="_Toc36365318"/>
      <w:bookmarkStart w:id="407" w:name="_Toc100566713"/>
      <w:bookmarkStart w:id="408" w:name="_Toc139343407"/>
      <w:bookmarkStart w:id="409" w:name="_Toc139693778"/>
      <w:r>
        <w:rPr>
          <w:rStyle w:val="CharSchNo"/>
        </w:rPr>
        <w:t>Schedule 3</w:t>
      </w:r>
      <w:bookmarkEnd w:id="406"/>
      <w:bookmarkEnd w:id="407"/>
      <w:bookmarkEnd w:id="408"/>
      <w:bookmarkEnd w:id="409"/>
    </w:p>
    <w:p>
      <w:pPr>
        <w:pStyle w:val="yShoulderClause"/>
        <w:rPr>
          <w:snapToGrid w:val="0"/>
        </w:rPr>
      </w:pPr>
      <w:r>
        <w:rPr>
          <w:snapToGrid w:val="0"/>
        </w:rPr>
        <w:t>[section 43]</w:t>
      </w:r>
    </w:p>
    <w:p>
      <w:pPr>
        <w:pStyle w:val="MiscellaneousHeading"/>
        <w:rPr>
          <w:b/>
          <w:snapToGrid w:val="0"/>
        </w:rPr>
      </w:pPr>
      <w:r>
        <w:rPr>
          <w:b/>
          <w:snapToGrid w:val="0"/>
        </w:rPr>
        <w:t>Transitional provisions</w:t>
      </w:r>
    </w:p>
    <w:p>
      <w:pPr>
        <w:pStyle w:val="yHeading5"/>
        <w:ind w:left="890" w:hanging="890"/>
        <w:outlineLvl w:val="9"/>
        <w:rPr>
          <w:snapToGrid w:val="0"/>
        </w:rPr>
      </w:pPr>
      <w:bookmarkStart w:id="410" w:name="_Toc468772829"/>
      <w:bookmarkStart w:id="411" w:name="_Toc36365180"/>
      <w:bookmarkStart w:id="412" w:name="_Toc36365319"/>
      <w:bookmarkStart w:id="413" w:name="_Toc100566714"/>
      <w:bookmarkStart w:id="414" w:name="_Toc139693779"/>
      <w:r>
        <w:rPr>
          <w:snapToGrid w:val="0"/>
        </w:rPr>
        <w:t>1.</w:t>
      </w:r>
      <w:r>
        <w:rPr>
          <w:snapToGrid w:val="0"/>
        </w:rPr>
        <w:tab/>
        <w:t>Succession by new bodies</w:t>
      </w:r>
      <w:bookmarkEnd w:id="410"/>
      <w:bookmarkEnd w:id="411"/>
      <w:bookmarkEnd w:id="412"/>
      <w:bookmarkEnd w:id="413"/>
      <w:bookmarkEnd w:id="414"/>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b/>
          <w:snapToGrid w:val="0"/>
        </w:rPr>
        <w:t>“</w:t>
      </w:r>
      <w:r>
        <w:rPr>
          <w:rStyle w:val="CharDefText"/>
        </w:rPr>
        <w:t>new body</w:t>
      </w:r>
      <w:r>
        <w:rPr>
          <w:b/>
          <w:snapToGrid w:val="0"/>
        </w:rPr>
        <w:t>”</w:t>
      </w:r>
      <w:r>
        <w:rPr>
          <w:snapToGrid w:val="0"/>
        </w:rPr>
        <w:t>) is the successor to the Goldfields</w:t>
      </w:r>
      <w:r>
        <w:rPr>
          <w:snapToGrid w:val="0"/>
        </w:rPr>
        <w:noBreakHyphen/>
        <w:t xml:space="preserve">Esperance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b/>
          <w:snapToGrid w:val="0"/>
        </w:rPr>
        <w:t>“</w:t>
      </w:r>
      <w:r>
        <w:rPr>
          <w:rStyle w:val="CharDefText"/>
        </w:rPr>
        <w:t>new body</w:t>
      </w:r>
      <w:r>
        <w:rPr>
          <w:b/>
          <w:snapToGrid w:val="0"/>
        </w:rPr>
        <w:t>”</w:t>
      </w:r>
      <w:r>
        <w:rPr>
          <w:snapToGrid w:val="0"/>
        </w:rPr>
        <w:t xml:space="preserve">) is the successor to the Great Southern Development Authority (the </w:t>
      </w:r>
      <w:r>
        <w:rPr>
          <w:b/>
          <w:snapToGrid w:val="0"/>
        </w:rPr>
        <w:t>“</w:t>
      </w:r>
      <w:r>
        <w:rPr>
          <w:rStyle w:val="CharDefText"/>
        </w:rPr>
        <w:t>existing body</w:t>
      </w:r>
      <w:r>
        <w:rPr>
          <w:b/>
          <w:snapToGrid w:val="0"/>
        </w:rPr>
        <w:t>”</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b/>
          <w:snapToGrid w:val="0"/>
        </w:rPr>
        <w:t>“</w:t>
      </w:r>
      <w:r>
        <w:rPr>
          <w:rStyle w:val="CharDefText"/>
        </w:rPr>
        <w:t>new body</w:t>
      </w:r>
      <w:r>
        <w:rPr>
          <w:b/>
          <w:snapToGrid w:val="0"/>
        </w:rPr>
        <w:t>”</w:t>
      </w:r>
      <w:r>
        <w:rPr>
          <w:snapToGrid w:val="0"/>
        </w:rPr>
        <w:t>) is the successor to the Geraldton Mid</w:t>
      </w:r>
      <w:r>
        <w:rPr>
          <w:snapToGrid w:val="0"/>
        </w:rPr>
        <w:noBreakHyphen/>
        <w:t xml:space="preserve">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b/>
          <w:snapToGrid w:val="0"/>
        </w:rPr>
        <w:t>“</w:t>
      </w:r>
      <w:r>
        <w:rPr>
          <w:rStyle w:val="CharDefText"/>
        </w:rPr>
        <w:t>new body</w:t>
      </w:r>
      <w:r>
        <w:rPr>
          <w:b/>
          <w:snapToGrid w:val="0"/>
        </w:rPr>
        <w:t>”</w:t>
      </w:r>
      <w:r>
        <w:rPr>
          <w:snapToGrid w:val="0"/>
        </w:rPr>
        <w:t xml:space="preserve">) is the successor to the Pilbara Development Commission (the </w:t>
      </w:r>
      <w:r>
        <w:rPr>
          <w:b/>
          <w:snapToGrid w:val="0"/>
        </w:rPr>
        <w:t>“</w:t>
      </w:r>
      <w:r>
        <w:rPr>
          <w:rStyle w:val="CharDefText"/>
        </w:rPr>
        <w:t>existing body</w:t>
      </w:r>
      <w:r>
        <w:rPr>
          <w:b/>
          <w:snapToGrid w:val="0"/>
        </w:rPr>
        <w:t>”</w:t>
      </w:r>
      <w:r>
        <w:rPr>
          <w:snapToGrid w:val="0"/>
        </w:rPr>
        <w:t>) as established by that Act.</w:t>
      </w:r>
    </w:p>
    <w:p>
      <w:pPr>
        <w:pStyle w:val="ySubsection"/>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b/>
          <w:snapToGrid w:val="0"/>
        </w:rPr>
        <w:t>“</w:t>
      </w:r>
      <w:r>
        <w:rPr>
          <w:rStyle w:val="CharDefText"/>
        </w:rPr>
        <w:t>new body</w:t>
      </w:r>
      <w:r>
        <w:rPr>
          <w:b/>
          <w:snapToGrid w:val="0"/>
        </w:rPr>
        <w:t>”</w:t>
      </w:r>
      <w:r>
        <w:rPr>
          <w:snapToGrid w:val="0"/>
        </w:rPr>
        <w:t xml:space="preserve">) is the successor to the South West Development Authority (the </w:t>
      </w:r>
      <w:r>
        <w:rPr>
          <w:b/>
          <w:snapToGrid w:val="0"/>
        </w:rPr>
        <w:t>“</w:t>
      </w:r>
      <w:r>
        <w:rPr>
          <w:rStyle w:val="CharDefText"/>
        </w:rPr>
        <w:t>existing body</w:t>
      </w:r>
      <w:bookmarkStart w:id="415" w:name="endcomma"/>
      <w:bookmarkEnd w:id="415"/>
      <w:r>
        <w:rPr>
          <w:b/>
          <w:snapToGrid w:val="0"/>
        </w:rPr>
        <w:t>”</w:t>
      </w:r>
      <w:r>
        <w:rPr>
          <w:snapToGrid w:val="0"/>
        </w:rPr>
        <w:t>)</w:t>
      </w:r>
      <w:bookmarkStart w:id="416" w:name="comma"/>
      <w:bookmarkEnd w:id="416"/>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417" w:name="_Toc468772830"/>
      <w:bookmarkStart w:id="418" w:name="_Toc36365181"/>
      <w:bookmarkStart w:id="419" w:name="_Toc36365320"/>
      <w:bookmarkStart w:id="420" w:name="_Toc100566715"/>
      <w:bookmarkStart w:id="421" w:name="_Toc139693780"/>
      <w:r>
        <w:rPr>
          <w:snapToGrid w:val="0"/>
        </w:rPr>
        <w:t>2.</w:t>
      </w:r>
      <w:r>
        <w:rPr>
          <w:snapToGrid w:val="0"/>
        </w:rPr>
        <w:tab/>
        <w:t>Assets, liabilities, etc.</w:t>
      </w:r>
      <w:bookmarkEnd w:id="417"/>
      <w:bookmarkEnd w:id="418"/>
      <w:bookmarkEnd w:id="419"/>
      <w:bookmarkEnd w:id="420"/>
      <w:bookmarkEnd w:id="421"/>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422" w:name="_Toc468772831"/>
      <w:bookmarkStart w:id="423" w:name="_Toc36365182"/>
      <w:bookmarkStart w:id="424" w:name="_Toc36365321"/>
      <w:bookmarkStart w:id="425" w:name="_Toc100566716"/>
      <w:bookmarkStart w:id="426" w:name="_Toc139693781"/>
      <w:r>
        <w:rPr>
          <w:snapToGrid w:val="0"/>
        </w:rPr>
        <w:t>3.</w:t>
      </w:r>
      <w:r>
        <w:rPr>
          <w:snapToGrid w:val="0"/>
        </w:rPr>
        <w:tab/>
        <w:t>Moneys in Account</w:t>
      </w:r>
      <w:bookmarkEnd w:id="422"/>
      <w:bookmarkEnd w:id="423"/>
      <w:bookmarkEnd w:id="424"/>
      <w:bookmarkEnd w:id="425"/>
      <w:bookmarkEnd w:id="426"/>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427" w:name="_Toc468772832"/>
      <w:bookmarkStart w:id="428" w:name="_Toc36365183"/>
      <w:bookmarkStart w:id="429" w:name="_Toc36365322"/>
      <w:bookmarkStart w:id="430" w:name="_Toc100566717"/>
      <w:bookmarkStart w:id="431" w:name="_Toc139693782"/>
      <w:r>
        <w:rPr>
          <w:snapToGrid w:val="0"/>
        </w:rPr>
        <w:t>4.</w:t>
      </w:r>
      <w:r>
        <w:rPr>
          <w:snapToGrid w:val="0"/>
        </w:rPr>
        <w:tab/>
        <w:t>References to repealed legislation</w:t>
      </w:r>
      <w:bookmarkEnd w:id="427"/>
      <w:bookmarkEnd w:id="428"/>
      <w:bookmarkEnd w:id="429"/>
      <w:bookmarkEnd w:id="430"/>
      <w:bookmarkEnd w:id="431"/>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432" w:name="_Toc468772833"/>
      <w:bookmarkStart w:id="433" w:name="_Toc36365184"/>
      <w:bookmarkStart w:id="434" w:name="_Toc36365323"/>
      <w:bookmarkStart w:id="435" w:name="_Toc100566718"/>
      <w:bookmarkStart w:id="436" w:name="_Toc139693783"/>
      <w:r>
        <w:rPr>
          <w:snapToGrid w:val="0"/>
        </w:rPr>
        <w:t>5.</w:t>
      </w:r>
      <w:r>
        <w:rPr>
          <w:snapToGrid w:val="0"/>
        </w:rPr>
        <w:tab/>
        <w:t>References to existing body</w:t>
      </w:r>
      <w:bookmarkEnd w:id="432"/>
      <w:bookmarkEnd w:id="433"/>
      <w:bookmarkEnd w:id="434"/>
      <w:bookmarkEnd w:id="435"/>
      <w:bookmarkEnd w:id="436"/>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437" w:name="_Toc468772834"/>
      <w:bookmarkStart w:id="438" w:name="_Toc36365185"/>
      <w:bookmarkStart w:id="439" w:name="_Toc36365324"/>
      <w:bookmarkStart w:id="440" w:name="_Toc100566719"/>
      <w:bookmarkStart w:id="441" w:name="_Toc139693784"/>
      <w:r>
        <w:rPr>
          <w:snapToGrid w:val="0"/>
        </w:rPr>
        <w:t>6.</w:t>
      </w:r>
      <w:r>
        <w:rPr>
          <w:snapToGrid w:val="0"/>
        </w:rPr>
        <w:tab/>
        <w:t>Annual report by existing bodies</w:t>
      </w:r>
      <w:bookmarkEnd w:id="437"/>
      <w:bookmarkEnd w:id="438"/>
      <w:bookmarkEnd w:id="439"/>
      <w:bookmarkEnd w:id="440"/>
      <w:bookmarkEnd w:id="441"/>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section"/>
      </w:pPr>
      <w:r>
        <w:tab/>
      </w:r>
      <w:r>
        <w:tab/>
      </w:r>
      <w:bookmarkStart w:id="442" w:name="_Toc88976389"/>
      <w:r>
        <w:t>[Schedule 4 omitted under the Reprints Act 1984 s.7(4)(e).]</w:t>
      </w:r>
      <w:bookmarkEnd w:id="442"/>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443" w:name="_Toc88976390"/>
      <w:bookmarkStart w:id="444" w:name="_Toc100457861"/>
      <w:bookmarkStart w:id="445" w:name="_Toc100566720"/>
      <w:bookmarkStart w:id="446" w:name="_Toc139343414"/>
      <w:bookmarkStart w:id="447" w:name="_Toc139693785"/>
      <w:r>
        <w:t>Notes</w:t>
      </w:r>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snapToGrid w:val="0"/>
        </w:rPr>
        <w:t>Regional Development Commissions Act 1993</w:t>
      </w:r>
      <w:r>
        <w:rPr>
          <w:snapToGrid w:val="0"/>
        </w:rPr>
        <w:t xml:space="preserve"> and includes the amendments made by the other written laws referred to in the following table.</w:t>
      </w:r>
    </w:p>
    <w:p>
      <w:pPr>
        <w:pStyle w:val="nHeading3"/>
        <w:rPr>
          <w:snapToGrid w:val="0"/>
        </w:rPr>
      </w:pPr>
      <w:bookmarkStart w:id="448" w:name="_Toc139693786"/>
      <w:bookmarkStart w:id="449" w:name="_Toc36365325"/>
      <w:bookmarkStart w:id="450" w:name="_Toc100566721"/>
      <w:r>
        <w:rPr>
          <w:snapToGrid w:val="0"/>
        </w:rPr>
        <w:t>Compilation table</w:t>
      </w:r>
      <w:bookmarkEnd w:id="448"/>
      <w:bookmarkEnd w:id="449"/>
      <w:bookmarkEnd w:id="450"/>
    </w:p>
    <w:tbl>
      <w:tblPr>
        <w:tblW w:w="7087" w:type="dxa"/>
        <w:tblInd w:w="28" w:type="dxa"/>
        <w:tblLayout w:type="fixed"/>
        <w:tblCellMar>
          <w:left w:w="56" w:type="dxa"/>
          <w:right w:w="56" w:type="dxa"/>
        </w:tblCellMar>
        <w:tblLook w:val="0000" w:firstRow="0" w:lastRow="0" w:firstColumn="0" w:lastColumn="0" w:noHBand="0" w:noVBand="0"/>
      </w:tblPr>
      <w:tblGrid>
        <w:gridCol w:w="1891"/>
        <w:gridCol w:w="959"/>
        <w:gridCol w:w="960"/>
        <w:gridCol w:w="2130"/>
        <w:gridCol w:w="1147"/>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c>
          <w:tcPr>
            <w:tcW w:w="1362" w:type="dxa"/>
            <w:tcBorders>
              <w:top w:val="single" w:sz="12" w:space="0" w:color="auto"/>
              <w:bottom w:val="single" w:sz="12" w:space="0" w:color="auto"/>
            </w:tcBorders>
            <w:cellDel w:id="451" w:author="svcMRProcess" w:date="2018-09-08T01:29:00Z"/>
          </w:tcPr>
          <w:p>
            <w:pPr>
              <w:pStyle w:val="nTable"/>
              <w:spacing w:before="120" w:after="60"/>
              <w:rPr>
                <w:b/>
                <w:sz w:val="19"/>
              </w:rPr>
            </w:pPr>
            <w:del w:id="452" w:author="svcMRProcess" w:date="2018-09-08T01:29:00Z">
              <w:r>
                <w:rPr>
                  <w:b/>
                  <w:sz w:val="19"/>
                </w:rPr>
                <w:delText>Miscellaneous</w:delText>
              </w:r>
            </w:del>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 xml:space="preserve">22 </w:t>
            </w:r>
            <w:del w:id="453" w:author="svcMRProcess" w:date="2018-09-08T01:29:00Z">
              <w:r>
                <w:rPr>
                  <w:sz w:val="19"/>
                </w:rPr>
                <w:delText>December</w:delText>
              </w:r>
            </w:del>
            <w:ins w:id="454" w:author="svcMRProcess" w:date="2018-09-08T01:29:00Z">
              <w:r>
                <w:rPr>
                  <w:sz w:val="19"/>
                </w:rPr>
                <w:t>Dec</w:t>
              </w:r>
            </w:ins>
            <w:r>
              <w:rPr>
                <w:sz w:val="19"/>
              </w:rPr>
              <w:t xml:space="preserve"> 1993</w:t>
            </w:r>
          </w:p>
        </w:tc>
        <w:tc>
          <w:tcPr>
            <w:tcW w:w="2553" w:type="dxa"/>
          </w:tcPr>
          <w:p>
            <w:pPr>
              <w:pStyle w:val="nTable"/>
              <w:spacing w:after="40"/>
              <w:rPr>
                <w:sz w:val="19"/>
              </w:rPr>
            </w:pPr>
            <w:r>
              <w:rPr>
                <w:sz w:val="19"/>
              </w:rPr>
              <w:t xml:space="preserve">8 </w:t>
            </w:r>
            <w:del w:id="455" w:author="svcMRProcess" w:date="2018-09-08T01:29:00Z">
              <w:r>
                <w:rPr>
                  <w:sz w:val="19"/>
                </w:rPr>
                <w:delText>April</w:delText>
              </w:r>
            </w:del>
            <w:ins w:id="456" w:author="svcMRProcess" w:date="2018-09-08T01:29:00Z">
              <w:r>
                <w:rPr>
                  <w:sz w:val="19"/>
                </w:rPr>
                <w:t>Apr</w:t>
              </w:r>
            </w:ins>
            <w:r>
              <w:rPr>
                <w:sz w:val="19"/>
              </w:rPr>
              <w:t xml:space="preserve"> 1994 (see </w:t>
            </w:r>
            <w:del w:id="457" w:author="svcMRProcess" w:date="2018-09-08T01:29:00Z">
              <w:r>
                <w:rPr>
                  <w:sz w:val="19"/>
                </w:rPr>
                <w:delText xml:space="preserve">section </w:delText>
              </w:r>
            </w:del>
            <w:ins w:id="458" w:author="svcMRProcess" w:date="2018-09-08T01:29:00Z">
              <w:r>
                <w:rPr>
                  <w:sz w:val="19"/>
                </w:rPr>
                <w:t>s. </w:t>
              </w:r>
            </w:ins>
            <w:r>
              <w:rPr>
                <w:sz w:val="19"/>
              </w:rPr>
              <w:t>2 and</w:t>
            </w:r>
            <w:del w:id="459" w:author="svcMRProcess" w:date="2018-09-08T01:29:00Z">
              <w:r>
                <w:rPr>
                  <w:sz w:val="19"/>
                </w:rPr>
                <w:delText> </w:delText>
              </w:r>
            </w:del>
            <w:ins w:id="460" w:author="svcMRProcess" w:date="2018-09-08T01:29:00Z">
              <w:r>
                <w:rPr>
                  <w:sz w:val="19"/>
                </w:rPr>
                <w:t xml:space="preserve"> </w:t>
              </w:r>
            </w:ins>
            <w:r>
              <w:rPr>
                <w:i/>
                <w:sz w:val="19"/>
              </w:rPr>
              <w:t>Gazette</w:t>
            </w:r>
            <w:r>
              <w:rPr>
                <w:sz w:val="19"/>
              </w:rPr>
              <w:t xml:space="preserve"> 8 </w:t>
            </w:r>
            <w:del w:id="461" w:author="svcMRProcess" w:date="2018-09-08T01:29:00Z">
              <w:r>
                <w:rPr>
                  <w:sz w:val="19"/>
                </w:rPr>
                <w:delText>April</w:delText>
              </w:r>
            </w:del>
            <w:ins w:id="462" w:author="svcMRProcess" w:date="2018-09-08T01:29:00Z">
              <w:r>
                <w:rPr>
                  <w:sz w:val="19"/>
                </w:rPr>
                <w:t>Apr</w:t>
              </w:r>
            </w:ins>
            <w:r>
              <w:rPr>
                <w:sz w:val="19"/>
              </w:rPr>
              <w:t xml:space="preserve"> 1994 </w:t>
            </w:r>
            <w:del w:id="463" w:author="svcMRProcess" w:date="2018-09-08T01:29:00Z">
              <w:r>
                <w:rPr>
                  <w:sz w:val="19"/>
                </w:rPr>
                <w:br/>
              </w:r>
            </w:del>
            <w:r>
              <w:rPr>
                <w:sz w:val="19"/>
              </w:rPr>
              <w:t>p.</w:t>
            </w:r>
            <w:ins w:id="464" w:author="svcMRProcess" w:date="2018-09-08T01:29:00Z">
              <w:r>
                <w:rPr>
                  <w:sz w:val="19"/>
                </w:rPr>
                <w:t> </w:t>
              </w:r>
            </w:ins>
            <w:r>
              <w:rPr>
                <w:sz w:val="19"/>
              </w:rPr>
              <w:t>1462)</w:t>
            </w:r>
          </w:p>
        </w:tc>
        <w:tc>
          <w:tcPr>
            <w:tcW w:w="1362" w:type="dxa"/>
            <w:cellDel w:id="465" w:author="svcMRProcess" w:date="2018-09-08T01:29:00Z"/>
          </w:tcPr>
          <w:p>
            <w:pPr>
              <w:pStyle w:val="nTable"/>
              <w:spacing w:before="120"/>
              <w:rPr>
                <w:sz w:val="19"/>
              </w:rPr>
            </w:pPr>
          </w:p>
        </w:tc>
      </w:tr>
      <w:tr>
        <w:trPr>
          <w:cantSplit/>
        </w:trPr>
        <w:tc>
          <w:tcPr>
            <w:tcW w:w="2265" w:type="dxa"/>
          </w:tcPr>
          <w:p>
            <w:pPr>
              <w:pStyle w:val="nTable"/>
              <w:spacing w:after="40"/>
              <w:ind w:right="170"/>
              <w:rPr>
                <w:sz w:val="19"/>
              </w:rPr>
            </w:pPr>
            <w:r>
              <w:rPr>
                <w:i/>
                <w:sz w:val="19"/>
              </w:rPr>
              <w:t>Acts Amendment (Public Sector Management) Act 1994</w:t>
            </w:r>
            <w:del w:id="466" w:author="svcMRProcess" w:date="2018-09-08T01:29:00Z">
              <w:r>
                <w:rPr>
                  <w:i/>
                  <w:sz w:val="19"/>
                </w:rPr>
                <w:delText xml:space="preserve">, </w:delText>
              </w:r>
              <w:r>
                <w:rPr>
                  <w:sz w:val="19"/>
                </w:rPr>
                <w:delText>section</w:delText>
              </w:r>
            </w:del>
            <w:ins w:id="467" w:author="svcMRProcess" w:date="2018-09-08T01:29:00Z">
              <w:r>
                <w:rPr>
                  <w:i/>
                  <w:sz w:val="19"/>
                </w:rPr>
                <w:t xml:space="preserve"> </w:t>
              </w:r>
              <w:r>
                <w:rPr>
                  <w:sz w:val="19"/>
                </w:rPr>
                <w:t>s.</w:t>
              </w:r>
            </w:ins>
            <w:r>
              <w:rPr>
                <w:sz w:val="19"/>
              </w:rPr>
              <w:t>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 xml:space="preserve">29 </w:t>
            </w:r>
            <w:del w:id="468" w:author="svcMRProcess" w:date="2018-09-08T01:29:00Z">
              <w:r>
                <w:rPr>
                  <w:sz w:val="19"/>
                </w:rPr>
                <w:delText>June</w:delText>
              </w:r>
            </w:del>
            <w:ins w:id="469" w:author="svcMRProcess" w:date="2018-09-08T01:29:00Z">
              <w:r>
                <w:rPr>
                  <w:sz w:val="19"/>
                </w:rPr>
                <w:t>Jun</w:t>
              </w:r>
            </w:ins>
            <w:r>
              <w:rPr>
                <w:sz w:val="19"/>
              </w:rPr>
              <w:t xml:space="preserve"> 1994</w:t>
            </w:r>
          </w:p>
        </w:tc>
        <w:tc>
          <w:tcPr>
            <w:tcW w:w="2553" w:type="dxa"/>
          </w:tcPr>
          <w:p>
            <w:pPr>
              <w:pStyle w:val="nTable"/>
              <w:spacing w:after="40"/>
              <w:rPr>
                <w:sz w:val="19"/>
              </w:rPr>
            </w:pPr>
            <w:r>
              <w:rPr>
                <w:sz w:val="19"/>
              </w:rPr>
              <w:t xml:space="preserve">1 </w:t>
            </w:r>
            <w:del w:id="470" w:author="svcMRProcess" w:date="2018-09-08T01:29:00Z">
              <w:r>
                <w:rPr>
                  <w:sz w:val="19"/>
                </w:rPr>
                <w:delText>October</w:delText>
              </w:r>
            </w:del>
            <w:ins w:id="471" w:author="svcMRProcess" w:date="2018-09-08T01:29:00Z">
              <w:r>
                <w:rPr>
                  <w:sz w:val="19"/>
                </w:rPr>
                <w:t>Oct</w:t>
              </w:r>
            </w:ins>
            <w:r>
              <w:rPr>
                <w:sz w:val="19"/>
              </w:rPr>
              <w:t xml:space="preserve"> 1994 (see </w:t>
            </w:r>
            <w:del w:id="472" w:author="svcMRProcess" w:date="2018-09-08T01:29:00Z">
              <w:r>
                <w:rPr>
                  <w:sz w:val="19"/>
                </w:rPr>
                <w:delText xml:space="preserve">section </w:delText>
              </w:r>
            </w:del>
            <w:ins w:id="473" w:author="svcMRProcess" w:date="2018-09-08T01:29:00Z">
              <w:r>
                <w:rPr>
                  <w:sz w:val="19"/>
                </w:rPr>
                <w:t>s. </w:t>
              </w:r>
            </w:ins>
            <w:r>
              <w:rPr>
                <w:sz w:val="19"/>
              </w:rPr>
              <w:t>2 and</w:t>
            </w:r>
            <w:del w:id="474" w:author="svcMRProcess" w:date="2018-09-08T01:29:00Z">
              <w:r>
                <w:rPr>
                  <w:sz w:val="19"/>
                </w:rPr>
                <w:delText> </w:delText>
              </w:r>
            </w:del>
            <w:ins w:id="475" w:author="svcMRProcess" w:date="2018-09-08T01:29:00Z">
              <w:r>
                <w:rPr>
                  <w:sz w:val="19"/>
                </w:rPr>
                <w:t xml:space="preserve"> </w:t>
              </w:r>
            </w:ins>
            <w:r>
              <w:rPr>
                <w:i/>
                <w:sz w:val="19"/>
              </w:rPr>
              <w:t>Gazette</w:t>
            </w:r>
            <w:r>
              <w:rPr>
                <w:sz w:val="19"/>
              </w:rPr>
              <w:t xml:space="preserve"> 30 </w:t>
            </w:r>
            <w:del w:id="476" w:author="svcMRProcess" w:date="2018-09-08T01:29:00Z">
              <w:r>
                <w:rPr>
                  <w:sz w:val="19"/>
                </w:rPr>
                <w:delText xml:space="preserve">September </w:delText>
              </w:r>
            </w:del>
            <w:ins w:id="477" w:author="svcMRProcess" w:date="2018-09-08T01:29:00Z">
              <w:r>
                <w:rPr>
                  <w:sz w:val="19"/>
                </w:rPr>
                <w:t>Sep </w:t>
              </w:r>
            </w:ins>
            <w:r>
              <w:rPr>
                <w:sz w:val="19"/>
              </w:rPr>
              <w:t>1994 p.</w:t>
            </w:r>
            <w:ins w:id="478" w:author="svcMRProcess" w:date="2018-09-08T01:29:00Z">
              <w:r>
                <w:rPr>
                  <w:sz w:val="19"/>
                </w:rPr>
                <w:t> </w:t>
              </w:r>
            </w:ins>
            <w:r>
              <w:rPr>
                <w:sz w:val="19"/>
              </w:rPr>
              <w:t>4948)</w:t>
            </w:r>
          </w:p>
        </w:tc>
        <w:tc>
          <w:tcPr>
            <w:tcW w:w="1362" w:type="dxa"/>
            <w:cellDel w:id="479" w:author="svcMRProcess" w:date="2018-09-08T01:29:00Z"/>
          </w:tcPr>
          <w:p>
            <w:pPr>
              <w:pStyle w:val="nTable"/>
              <w:spacing w:before="120"/>
              <w:rPr>
                <w:sz w:val="19"/>
              </w:rPr>
            </w:pPr>
          </w:p>
        </w:tc>
      </w:tr>
      <w:tr>
        <w:trPr>
          <w:cantSplit/>
        </w:trPr>
        <w:tc>
          <w:tcPr>
            <w:tcW w:w="2265" w:type="dxa"/>
          </w:tcPr>
          <w:p>
            <w:pPr>
              <w:pStyle w:val="nTable"/>
              <w:spacing w:after="40"/>
              <w:ind w:right="170"/>
              <w:rPr>
                <w:sz w:val="19"/>
              </w:rPr>
            </w:pPr>
            <w:r>
              <w:rPr>
                <w:i/>
                <w:sz w:val="19"/>
              </w:rPr>
              <w:t>Local Government (Consequential Amendments) Act 1996</w:t>
            </w:r>
            <w:del w:id="480" w:author="svcMRProcess" w:date="2018-09-08T01:29:00Z">
              <w:r>
                <w:rPr>
                  <w:sz w:val="19"/>
                </w:rPr>
                <w:delText xml:space="preserve">, </w:delText>
              </w:r>
              <w:r>
                <w:rPr>
                  <w:sz w:val="19"/>
                </w:rPr>
                <w:br/>
                <w:delText xml:space="preserve">section </w:delText>
              </w:r>
            </w:del>
            <w:ins w:id="481" w:author="svcMRProcess" w:date="2018-09-08T01:29:00Z">
              <w:r>
                <w:rPr>
                  <w:sz w:val="19"/>
                </w:rPr>
                <w:t xml:space="preserve"> s. </w:t>
              </w:r>
            </w:ins>
            <w:r>
              <w:rPr>
                <w:sz w:val="19"/>
              </w:rPr>
              <w:t>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 xml:space="preserve">28 </w:t>
            </w:r>
            <w:del w:id="482" w:author="svcMRProcess" w:date="2018-09-08T01:29:00Z">
              <w:r>
                <w:rPr>
                  <w:sz w:val="19"/>
                </w:rPr>
                <w:delText>June</w:delText>
              </w:r>
            </w:del>
            <w:ins w:id="483" w:author="svcMRProcess" w:date="2018-09-08T01:29:00Z">
              <w:r>
                <w:rPr>
                  <w:sz w:val="19"/>
                </w:rPr>
                <w:t>Jun</w:t>
              </w:r>
            </w:ins>
            <w:r>
              <w:rPr>
                <w:sz w:val="19"/>
              </w:rPr>
              <w:t xml:space="preserve"> 1996</w:t>
            </w:r>
          </w:p>
        </w:tc>
        <w:tc>
          <w:tcPr>
            <w:tcW w:w="2553" w:type="dxa"/>
          </w:tcPr>
          <w:p>
            <w:pPr>
              <w:pStyle w:val="nTable"/>
              <w:spacing w:after="40"/>
              <w:rPr>
                <w:sz w:val="19"/>
              </w:rPr>
            </w:pPr>
            <w:r>
              <w:rPr>
                <w:sz w:val="19"/>
              </w:rPr>
              <w:t xml:space="preserve">1 </w:t>
            </w:r>
            <w:del w:id="484" w:author="svcMRProcess" w:date="2018-09-08T01:29:00Z">
              <w:r>
                <w:rPr>
                  <w:sz w:val="19"/>
                </w:rPr>
                <w:delText>July</w:delText>
              </w:r>
            </w:del>
            <w:ins w:id="485" w:author="svcMRProcess" w:date="2018-09-08T01:29:00Z">
              <w:r>
                <w:rPr>
                  <w:sz w:val="19"/>
                </w:rPr>
                <w:t>Jul</w:t>
              </w:r>
            </w:ins>
            <w:r>
              <w:rPr>
                <w:sz w:val="19"/>
              </w:rPr>
              <w:t xml:space="preserve"> 1996 (see </w:t>
            </w:r>
            <w:del w:id="486" w:author="svcMRProcess" w:date="2018-09-08T01:29:00Z">
              <w:r>
                <w:rPr>
                  <w:sz w:val="19"/>
                </w:rPr>
                <w:delText>section</w:delText>
              </w:r>
            </w:del>
            <w:ins w:id="487" w:author="svcMRProcess" w:date="2018-09-08T01:29:00Z">
              <w:r>
                <w:rPr>
                  <w:sz w:val="19"/>
                </w:rPr>
                <w:t>s.</w:t>
              </w:r>
            </w:ins>
            <w:r>
              <w:rPr>
                <w:sz w:val="19"/>
              </w:rPr>
              <w:t> 2)</w:t>
            </w:r>
          </w:p>
        </w:tc>
        <w:tc>
          <w:tcPr>
            <w:tcW w:w="1362" w:type="dxa"/>
            <w:cellDel w:id="488" w:author="svcMRProcess" w:date="2018-09-08T01:29:00Z"/>
          </w:tcPr>
          <w:p>
            <w:pPr>
              <w:pStyle w:val="nTable"/>
              <w:spacing w:before="120"/>
              <w:rPr>
                <w:sz w:val="19"/>
              </w:rPr>
            </w:pPr>
          </w:p>
        </w:tc>
      </w:tr>
      <w:tr>
        <w:trPr>
          <w:cantSplit/>
        </w:trPr>
        <w:tc>
          <w:tcPr>
            <w:tcW w:w="2265" w:type="dxa"/>
          </w:tcPr>
          <w:p>
            <w:pPr>
              <w:pStyle w:val="nTable"/>
              <w:spacing w:before="120"/>
              <w:ind w:right="170"/>
              <w:rPr>
                <w:del w:id="489" w:author="svcMRProcess" w:date="2018-09-08T01:29:00Z"/>
                <w:sz w:val="19"/>
              </w:rPr>
            </w:pPr>
            <w:r>
              <w:rPr>
                <w:i/>
                <w:sz w:val="19"/>
              </w:rPr>
              <w:t>Statutory Corporations (Liability of Directors) Act 1996</w:t>
            </w:r>
            <w:del w:id="490" w:author="svcMRProcess" w:date="2018-09-08T01:29:00Z">
              <w:r>
                <w:rPr>
                  <w:sz w:val="19"/>
                </w:rPr>
                <w:delText>,</w:delText>
              </w:r>
            </w:del>
          </w:p>
          <w:p>
            <w:pPr>
              <w:pStyle w:val="nTable"/>
              <w:spacing w:after="40"/>
              <w:ind w:right="170"/>
              <w:rPr>
                <w:sz w:val="19"/>
              </w:rPr>
            </w:pPr>
            <w:del w:id="491" w:author="svcMRProcess" w:date="2018-09-08T01:29:00Z">
              <w:r>
                <w:rPr>
                  <w:sz w:val="19"/>
                </w:rPr>
                <w:delText xml:space="preserve">section </w:delText>
              </w:r>
            </w:del>
            <w:ins w:id="492" w:author="svcMRProcess" w:date="2018-09-08T01:29:00Z">
              <w:r>
                <w:rPr>
                  <w:sz w:val="19"/>
                </w:rPr>
                <w:t xml:space="preserve"> s. </w:t>
              </w:r>
            </w:ins>
            <w:r>
              <w:rPr>
                <w:sz w:val="19"/>
              </w:rPr>
              <w:t>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 xml:space="preserve">10 </w:t>
            </w:r>
            <w:del w:id="493" w:author="svcMRProcess" w:date="2018-09-08T01:29:00Z">
              <w:r>
                <w:rPr>
                  <w:sz w:val="19"/>
                </w:rPr>
                <w:delText>October</w:delText>
              </w:r>
            </w:del>
            <w:ins w:id="494" w:author="svcMRProcess" w:date="2018-09-08T01:29:00Z">
              <w:r>
                <w:rPr>
                  <w:sz w:val="19"/>
                </w:rPr>
                <w:t>Oct</w:t>
              </w:r>
            </w:ins>
            <w:r>
              <w:rPr>
                <w:sz w:val="19"/>
              </w:rPr>
              <w:t xml:space="preserve"> 1996</w:t>
            </w:r>
          </w:p>
        </w:tc>
        <w:tc>
          <w:tcPr>
            <w:tcW w:w="2553" w:type="dxa"/>
          </w:tcPr>
          <w:p>
            <w:pPr>
              <w:pStyle w:val="nTable"/>
              <w:spacing w:after="40"/>
              <w:rPr>
                <w:sz w:val="19"/>
              </w:rPr>
            </w:pPr>
            <w:r>
              <w:rPr>
                <w:sz w:val="19"/>
              </w:rPr>
              <w:t xml:space="preserve">1 </w:t>
            </w:r>
            <w:del w:id="495" w:author="svcMRProcess" w:date="2018-09-08T01:29:00Z">
              <w:r>
                <w:rPr>
                  <w:sz w:val="19"/>
                </w:rPr>
                <w:delText>December</w:delText>
              </w:r>
            </w:del>
            <w:ins w:id="496" w:author="svcMRProcess" w:date="2018-09-08T01:29:00Z">
              <w:r>
                <w:rPr>
                  <w:sz w:val="19"/>
                </w:rPr>
                <w:t>Dec</w:t>
              </w:r>
            </w:ins>
            <w:r>
              <w:rPr>
                <w:sz w:val="19"/>
              </w:rPr>
              <w:t xml:space="preserve"> 1996 (see </w:t>
            </w:r>
            <w:del w:id="497" w:author="svcMRProcess" w:date="2018-09-08T01:29:00Z">
              <w:r>
                <w:rPr>
                  <w:sz w:val="19"/>
                </w:rPr>
                <w:delText>section</w:delText>
              </w:r>
            </w:del>
            <w:ins w:id="498" w:author="svcMRProcess" w:date="2018-09-08T01:29:00Z">
              <w:r>
                <w:rPr>
                  <w:sz w:val="19"/>
                </w:rPr>
                <w:t>s.</w:t>
              </w:r>
            </w:ins>
            <w:r>
              <w:rPr>
                <w:sz w:val="19"/>
              </w:rPr>
              <w:t> 2 and </w:t>
            </w:r>
            <w:r>
              <w:rPr>
                <w:i/>
                <w:sz w:val="19"/>
              </w:rPr>
              <w:t>Gazette</w:t>
            </w:r>
            <w:r>
              <w:rPr>
                <w:sz w:val="19"/>
              </w:rPr>
              <w:t xml:space="preserve"> 12 </w:t>
            </w:r>
            <w:del w:id="499" w:author="svcMRProcess" w:date="2018-09-08T01:29:00Z">
              <w:r>
                <w:rPr>
                  <w:sz w:val="19"/>
                </w:rPr>
                <w:delText xml:space="preserve">November </w:delText>
              </w:r>
            </w:del>
            <w:ins w:id="500" w:author="svcMRProcess" w:date="2018-09-08T01:29:00Z">
              <w:r>
                <w:rPr>
                  <w:sz w:val="19"/>
                </w:rPr>
                <w:t>Nov </w:t>
              </w:r>
            </w:ins>
            <w:r>
              <w:rPr>
                <w:sz w:val="19"/>
              </w:rPr>
              <w:t>1996 p.6301)</w:t>
            </w:r>
          </w:p>
        </w:tc>
        <w:tc>
          <w:tcPr>
            <w:tcW w:w="1362" w:type="dxa"/>
            <w:cellDel w:id="501" w:author="svcMRProcess" w:date="2018-09-08T01:29:00Z"/>
          </w:tcPr>
          <w:p>
            <w:pPr>
              <w:pStyle w:val="nTable"/>
              <w:spacing w:before="120"/>
              <w:rPr>
                <w:sz w:val="19"/>
              </w:rPr>
            </w:pPr>
          </w:p>
        </w:tc>
      </w:tr>
      <w:tr>
        <w:trPr>
          <w:cantSplit/>
        </w:trPr>
        <w:tc>
          <w:tcPr>
            <w:tcW w:w="2265" w:type="dxa"/>
          </w:tcPr>
          <w:p>
            <w:pPr>
              <w:pStyle w:val="nTable"/>
              <w:spacing w:after="40"/>
              <w:ind w:right="170"/>
              <w:rPr>
                <w:iCs/>
                <w:sz w:val="19"/>
              </w:rPr>
            </w:pPr>
            <w:r>
              <w:rPr>
                <w:i/>
                <w:sz w:val="19"/>
              </w:rPr>
              <w:t>Regional Development Commissions Amendment Act 1997</w:t>
            </w:r>
            <w:ins w:id="502" w:author="svcMRProcess" w:date="2018-09-08T01:29:00Z">
              <w:r>
                <w:rPr>
                  <w:iCs/>
                  <w:sz w:val="19"/>
                  <w:vertAlign w:val="superscript"/>
                </w:rPr>
                <w:t> 2</w:t>
              </w:r>
            </w:ins>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 xml:space="preserve">8 </w:t>
            </w:r>
            <w:del w:id="503" w:author="svcMRProcess" w:date="2018-09-08T01:29:00Z">
              <w:r>
                <w:rPr>
                  <w:sz w:val="19"/>
                </w:rPr>
                <w:delText>July</w:delText>
              </w:r>
            </w:del>
            <w:ins w:id="504" w:author="svcMRProcess" w:date="2018-09-08T01:29:00Z">
              <w:r>
                <w:rPr>
                  <w:sz w:val="19"/>
                </w:rPr>
                <w:t>Jul</w:t>
              </w:r>
            </w:ins>
            <w:r>
              <w:rPr>
                <w:sz w:val="19"/>
              </w:rPr>
              <w:t xml:space="preserve"> 1997</w:t>
            </w:r>
          </w:p>
        </w:tc>
        <w:tc>
          <w:tcPr>
            <w:tcW w:w="2553" w:type="dxa"/>
          </w:tcPr>
          <w:p>
            <w:pPr>
              <w:pStyle w:val="nTable"/>
              <w:spacing w:after="40"/>
              <w:rPr>
                <w:sz w:val="19"/>
              </w:rPr>
            </w:pPr>
            <w:r>
              <w:rPr>
                <w:sz w:val="19"/>
              </w:rPr>
              <w:t xml:space="preserve">2 </w:t>
            </w:r>
            <w:del w:id="505" w:author="svcMRProcess" w:date="2018-09-08T01:29:00Z">
              <w:r>
                <w:rPr>
                  <w:sz w:val="19"/>
                </w:rPr>
                <w:delText>August</w:delText>
              </w:r>
            </w:del>
            <w:ins w:id="506" w:author="svcMRProcess" w:date="2018-09-08T01:29:00Z">
              <w:r>
                <w:rPr>
                  <w:sz w:val="19"/>
                </w:rPr>
                <w:t>Aug</w:t>
              </w:r>
            </w:ins>
            <w:r>
              <w:rPr>
                <w:sz w:val="19"/>
              </w:rPr>
              <w:t xml:space="preserve"> 1997 (see </w:t>
            </w:r>
            <w:del w:id="507" w:author="svcMRProcess" w:date="2018-09-08T01:29:00Z">
              <w:r>
                <w:rPr>
                  <w:sz w:val="19"/>
                </w:rPr>
                <w:delText>section</w:delText>
              </w:r>
            </w:del>
            <w:ins w:id="508" w:author="svcMRProcess" w:date="2018-09-08T01:29:00Z">
              <w:r>
                <w:rPr>
                  <w:sz w:val="19"/>
                </w:rPr>
                <w:t>s.</w:t>
              </w:r>
            </w:ins>
            <w:r>
              <w:rPr>
                <w:sz w:val="19"/>
              </w:rPr>
              <w:t> 2 and </w:t>
            </w:r>
            <w:r>
              <w:rPr>
                <w:i/>
                <w:sz w:val="19"/>
              </w:rPr>
              <w:t>Gazette</w:t>
            </w:r>
            <w:r>
              <w:rPr>
                <w:sz w:val="19"/>
              </w:rPr>
              <w:t xml:space="preserve"> 1 </w:t>
            </w:r>
            <w:del w:id="509" w:author="svcMRProcess" w:date="2018-09-08T01:29:00Z">
              <w:r>
                <w:rPr>
                  <w:sz w:val="19"/>
                </w:rPr>
                <w:delText>August</w:delText>
              </w:r>
            </w:del>
            <w:ins w:id="510" w:author="svcMRProcess" w:date="2018-09-08T01:29:00Z">
              <w:r>
                <w:rPr>
                  <w:sz w:val="19"/>
                </w:rPr>
                <w:t>Aug</w:t>
              </w:r>
            </w:ins>
            <w:r>
              <w:rPr>
                <w:sz w:val="19"/>
              </w:rPr>
              <w:t> 1997 p.4391)</w:t>
            </w:r>
          </w:p>
        </w:tc>
        <w:tc>
          <w:tcPr>
            <w:tcW w:w="1362" w:type="dxa"/>
            <w:cellDel w:id="511" w:author="svcMRProcess" w:date="2018-09-08T01:29:00Z"/>
          </w:tcPr>
          <w:p>
            <w:pPr>
              <w:pStyle w:val="nTable"/>
              <w:spacing w:before="120"/>
              <w:rPr>
                <w:sz w:val="19"/>
              </w:rPr>
            </w:pPr>
            <w:del w:id="512" w:author="svcMRProcess" w:date="2018-09-08T01:29:00Z">
              <w:r>
                <w:rPr>
                  <w:sz w:val="19"/>
                </w:rPr>
                <w:delText>Section 4(2): transitional</w:delText>
              </w:r>
              <w:r>
                <w:rPr>
                  <w:sz w:val="19"/>
                  <w:vertAlign w:val="superscript"/>
                </w:rPr>
                <w:delText xml:space="preserve"> 2</w:delText>
              </w:r>
            </w:del>
          </w:p>
        </w:tc>
      </w:tr>
      <w:tr>
        <w:trPr>
          <w:cantSplit/>
        </w:trPr>
        <w:tc>
          <w:tcPr>
            <w:tcW w:w="2265" w:type="dxa"/>
          </w:tcPr>
          <w:p>
            <w:pPr>
              <w:pStyle w:val="nTable"/>
              <w:spacing w:after="40"/>
              <w:ind w:right="170"/>
              <w:rPr>
                <w:sz w:val="19"/>
              </w:rPr>
            </w:pPr>
            <w:r>
              <w:rPr>
                <w:i/>
                <w:sz w:val="19"/>
              </w:rPr>
              <w:t>Acts Amendment (Land Administration) Act 1997</w:t>
            </w:r>
            <w:del w:id="513" w:author="svcMRProcess" w:date="2018-09-08T01:29:00Z">
              <w:r>
                <w:rPr>
                  <w:sz w:val="19"/>
                </w:rPr>
                <w:delText>,</w:delText>
              </w:r>
              <w:r>
                <w:rPr>
                  <w:sz w:val="19"/>
                </w:rPr>
                <w:br/>
                <w:delText xml:space="preserve">Part </w:delText>
              </w:r>
            </w:del>
            <w:ins w:id="514" w:author="svcMRProcess" w:date="2018-09-08T01:29:00Z">
              <w:r>
                <w:rPr>
                  <w:sz w:val="19"/>
                </w:rPr>
                <w:t xml:space="preserve"> Pt. </w:t>
              </w:r>
            </w:ins>
            <w:r>
              <w:rPr>
                <w:sz w:val="19"/>
              </w:rPr>
              <w:t>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 xml:space="preserve">3 </w:t>
            </w:r>
            <w:del w:id="515" w:author="svcMRProcess" w:date="2018-09-08T01:29:00Z">
              <w:r>
                <w:rPr>
                  <w:sz w:val="19"/>
                </w:rPr>
                <w:delText>October</w:delText>
              </w:r>
            </w:del>
            <w:ins w:id="516" w:author="svcMRProcess" w:date="2018-09-08T01:29:00Z">
              <w:r>
                <w:rPr>
                  <w:sz w:val="19"/>
                </w:rPr>
                <w:t>Oct</w:t>
              </w:r>
            </w:ins>
            <w:r>
              <w:rPr>
                <w:sz w:val="19"/>
              </w:rPr>
              <w:t xml:space="preserve"> 1997</w:t>
            </w:r>
          </w:p>
        </w:tc>
        <w:tc>
          <w:tcPr>
            <w:tcW w:w="2553" w:type="dxa"/>
          </w:tcPr>
          <w:p>
            <w:pPr>
              <w:pStyle w:val="nTable"/>
              <w:spacing w:after="40"/>
              <w:rPr>
                <w:sz w:val="19"/>
              </w:rPr>
            </w:pPr>
            <w:r>
              <w:rPr>
                <w:sz w:val="19"/>
              </w:rPr>
              <w:t xml:space="preserve">30 </w:t>
            </w:r>
            <w:del w:id="517" w:author="svcMRProcess" w:date="2018-09-08T01:29:00Z">
              <w:r>
                <w:rPr>
                  <w:sz w:val="19"/>
                </w:rPr>
                <w:delText>March</w:delText>
              </w:r>
            </w:del>
            <w:ins w:id="518" w:author="svcMRProcess" w:date="2018-09-08T01:29:00Z">
              <w:r>
                <w:rPr>
                  <w:sz w:val="19"/>
                </w:rPr>
                <w:t>Mar</w:t>
              </w:r>
            </w:ins>
            <w:r>
              <w:rPr>
                <w:sz w:val="19"/>
              </w:rPr>
              <w:t xml:space="preserve"> 1998 (see </w:t>
            </w:r>
            <w:del w:id="519" w:author="svcMRProcess" w:date="2018-09-08T01:29:00Z">
              <w:r>
                <w:rPr>
                  <w:sz w:val="19"/>
                </w:rPr>
                <w:delText>section</w:delText>
              </w:r>
            </w:del>
            <w:ins w:id="520" w:author="svcMRProcess" w:date="2018-09-08T01:29:00Z">
              <w:r>
                <w:rPr>
                  <w:sz w:val="19"/>
                </w:rPr>
                <w:t>s.</w:t>
              </w:r>
            </w:ins>
            <w:r>
              <w:rPr>
                <w:sz w:val="19"/>
              </w:rPr>
              <w:t> 2 and </w:t>
            </w:r>
            <w:r>
              <w:rPr>
                <w:i/>
                <w:sz w:val="19"/>
              </w:rPr>
              <w:t>Gazette</w:t>
            </w:r>
            <w:r>
              <w:rPr>
                <w:sz w:val="19"/>
              </w:rPr>
              <w:t xml:space="preserve"> 27 </w:t>
            </w:r>
            <w:del w:id="521" w:author="svcMRProcess" w:date="2018-09-08T01:29:00Z">
              <w:r>
                <w:rPr>
                  <w:sz w:val="19"/>
                </w:rPr>
                <w:delText>March</w:delText>
              </w:r>
            </w:del>
            <w:ins w:id="522" w:author="svcMRProcess" w:date="2018-09-08T01:29:00Z">
              <w:r>
                <w:rPr>
                  <w:sz w:val="19"/>
                </w:rPr>
                <w:t>Mar</w:t>
              </w:r>
            </w:ins>
            <w:r>
              <w:rPr>
                <w:sz w:val="19"/>
              </w:rPr>
              <w:t> 1998 p.1765)</w:t>
            </w:r>
          </w:p>
        </w:tc>
        <w:tc>
          <w:tcPr>
            <w:tcW w:w="1362" w:type="dxa"/>
            <w:cellDel w:id="523" w:author="svcMRProcess" w:date="2018-09-08T01:29:00Z"/>
          </w:tcPr>
          <w:p>
            <w:pPr>
              <w:pStyle w:val="nTable"/>
              <w:spacing w:before="120"/>
              <w:rPr>
                <w:sz w:val="19"/>
              </w:rPr>
            </w:pP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 xml:space="preserve">28 </w:t>
            </w:r>
            <w:del w:id="524" w:author="svcMRProcess" w:date="2018-09-08T01:29:00Z">
              <w:r>
                <w:rPr>
                  <w:sz w:val="19"/>
                </w:rPr>
                <w:delText>June</w:delText>
              </w:r>
            </w:del>
            <w:ins w:id="525" w:author="svcMRProcess" w:date="2018-09-08T01:29:00Z">
              <w:r>
                <w:rPr>
                  <w:sz w:val="19"/>
                </w:rPr>
                <w:t>Jun</w:t>
              </w:r>
            </w:ins>
            <w:r>
              <w:rPr>
                <w:sz w:val="19"/>
              </w:rPr>
              <w:t xml:space="preserve"> 2001</w:t>
            </w:r>
          </w:p>
        </w:tc>
        <w:tc>
          <w:tcPr>
            <w:tcW w:w="2553" w:type="dxa"/>
          </w:tcPr>
          <w:p>
            <w:pPr>
              <w:pStyle w:val="nTable"/>
              <w:spacing w:after="40"/>
              <w:rPr>
                <w:sz w:val="19"/>
              </w:rPr>
            </w:pPr>
            <w:r>
              <w:rPr>
                <w:sz w:val="19"/>
              </w:rPr>
              <w:t>15 </w:t>
            </w:r>
            <w:del w:id="526" w:author="svcMRProcess" w:date="2018-09-08T01:29:00Z">
              <w:r>
                <w:rPr>
                  <w:sz w:val="19"/>
                </w:rPr>
                <w:delText>July</w:delText>
              </w:r>
            </w:del>
            <w:ins w:id="527" w:author="svcMRProcess" w:date="2018-09-08T01:29:00Z">
              <w:r>
                <w:rPr>
                  <w:sz w:val="19"/>
                </w:rPr>
                <w:t>Jul</w:t>
              </w:r>
            </w:ins>
            <w:r>
              <w:rPr>
                <w:sz w:val="19"/>
              </w:rPr>
              <w:t xml:space="preserve"> 2001 (see s. 2 and </w:t>
            </w:r>
            <w:r>
              <w:rPr>
                <w:i/>
                <w:sz w:val="19"/>
              </w:rPr>
              <w:t>Gazette</w:t>
            </w:r>
            <w:r>
              <w:rPr>
                <w:sz w:val="19"/>
              </w:rPr>
              <w:t xml:space="preserve"> 29 </w:t>
            </w:r>
            <w:del w:id="528" w:author="svcMRProcess" w:date="2018-09-08T01:29:00Z">
              <w:r>
                <w:rPr>
                  <w:sz w:val="19"/>
                </w:rPr>
                <w:delText>June</w:delText>
              </w:r>
            </w:del>
            <w:ins w:id="529" w:author="svcMRProcess" w:date="2018-09-08T01:29:00Z">
              <w:r>
                <w:rPr>
                  <w:sz w:val="19"/>
                </w:rPr>
                <w:t>Jun</w:t>
              </w:r>
            </w:ins>
            <w:r>
              <w:rPr>
                <w:sz w:val="19"/>
              </w:rPr>
              <w:t xml:space="preserve"> 2001 p. 3257 and Cwlth </w:t>
            </w:r>
            <w:r>
              <w:rPr>
                <w:i/>
                <w:sz w:val="19"/>
              </w:rPr>
              <w:t>Gazette</w:t>
            </w:r>
            <w:r>
              <w:rPr>
                <w:sz w:val="19"/>
              </w:rPr>
              <w:t xml:space="preserve"> 13 </w:t>
            </w:r>
            <w:del w:id="530" w:author="svcMRProcess" w:date="2018-09-08T01:29:00Z">
              <w:r>
                <w:rPr>
                  <w:sz w:val="19"/>
                </w:rPr>
                <w:delText>July</w:delText>
              </w:r>
            </w:del>
            <w:ins w:id="531" w:author="svcMRProcess" w:date="2018-09-08T01:29:00Z">
              <w:r>
                <w:rPr>
                  <w:sz w:val="19"/>
                </w:rPr>
                <w:t>Jul</w:t>
              </w:r>
            </w:ins>
            <w:r>
              <w:rPr>
                <w:sz w:val="19"/>
              </w:rPr>
              <w:t> 2001 No. S285)</w:t>
            </w:r>
          </w:p>
        </w:tc>
        <w:tc>
          <w:tcPr>
            <w:tcW w:w="1362" w:type="dxa"/>
            <w:cellDel w:id="532" w:author="svcMRProcess" w:date="2018-09-08T01:29:00Z"/>
          </w:tcPr>
          <w:p>
            <w:pPr>
              <w:pStyle w:val="nTable"/>
              <w:spacing w:before="120"/>
              <w:rPr>
                <w:sz w:val="19"/>
              </w:rPr>
            </w:pP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 xml:space="preserve">18 </w:t>
            </w:r>
            <w:del w:id="533" w:author="svcMRProcess" w:date="2018-09-08T01:29:00Z">
              <w:r>
                <w:rPr>
                  <w:sz w:val="19"/>
                </w:rPr>
                <w:delText>September</w:delText>
              </w:r>
            </w:del>
            <w:ins w:id="534" w:author="svcMRProcess" w:date="2018-09-08T01:29:00Z">
              <w:r>
                <w:rPr>
                  <w:sz w:val="19"/>
                </w:rPr>
                <w:t>Sep</w:t>
              </w:r>
            </w:ins>
            <w:r>
              <w:rPr>
                <w:sz w:val="19"/>
              </w:rPr>
              <w:t xml:space="preserve"> 2001</w:t>
            </w:r>
          </w:p>
        </w:tc>
        <w:tc>
          <w:tcPr>
            <w:tcW w:w="2553" w:type="dxa"/>
          </w:tcPr>
          <w:p>
            <w:pPr>
              <w:pStyle w:val="nTable"/>
              <w:spacing w:after="40"/>
              <w:rPr>
                <w:sz w:val="19"/>
              </w:rPr>
            </w:pPr>
            <w:r>
              <w:rPr>
                <w:sz w:val="19"/>
              </w:rPr>
              <w:t xml:space="preserve">18 </w:t>
            </w:r>
            <w:del w:id="535" w:author="svcMRProcess" w:date="2018-09-08T01:29:00Z">
              <w:r>
                <w:rPr>
                  <w:sz w:val="19"/>
                </w:rPr>
                <w:delText>September</w:delText>
              </w:r>
            </w:del>
            <w:ins w:id="536" w:author="svcMRProcess" w:date="2018-09-08T01:29:00Z">
              <w:r>
                <w:rPr>
                  <w:sz w:val="19"/>
                </w:rPr>
                <w:t>Sep</w:t>
              </w:r>
            </w:ins>
            <w:r>
              <w:rPr>
                <w:sz w:val="19"/>
              </w:rPr>
              <w:t xml:space="preserve"> 2001 (see </w:t>
            </w:r>
            <w:del w:id="537" w:author="svcMRProcess" w:date="2018-09-08T01:29:00Z">
              <w:r>
                <w:rPr>
                  <w:sz w:val="19"/>
                </w:rPr>
                <w:delText>section</w:delText>
              </w:r>
            </w:del>
            <w:ins w:id="538" w:author="svcMRProcess" w:date="2018-09-08T01:29:00Z">
              <w:r>
                <w:rPr>
                  <w:sz w:val="19"/>
                </w:rPr>
                <w:t>s.</w:t>
              </w:r>
            </w:ins>
            <w:r>
              <w:rPr>
                <w:sz w:val="19"/>
              </w:rPr>
              <w:t> 2)</w:t>
            </w:r>
          </w:p>
        </w:tc>
        <w:tc>
          <w:tcPr>
            <w:tcW w:w="1362" w:type="dxa"/>
            <w:cellDel w:id="539" w:author="svcMRProcess" w:date="2018-09-08T01:29:00Z"/>
          </w:tcPr>
          <w:p>
            <w:pPr>
              <w:pStyle w:val="nTable"/>
              <w:spacing w:before="120"/>
              <w:rPr>
                <w:sz w:val="19"/>
              </w:rPr>
            </w:pPr>
          </w:p>
        </w:tc>
      </w:tr>
      <w:tr>
        <w:trPr>
          <w:cantSplit/>
        </w:trPr>
        <w:tc>
          <w:tcPr>
            <w:tcW w:w="2265" w:type="dxa"/>
          </w:tcPr>
          <w:p>
            <w:pPr>
              <w:pStyle w:val="nTable"/>
              <w:spacing w:after="40"/>
              <w:ind w:right="170"/>
              <w:rPr>
                <w:iCs/>
                <w:sz w:val="19"/>
              </w:rPr>
            </w:pPr>
            <w:r>
              <w:rPr>
                <w:i/>
                <w:sz w:val="19"/>
              </w:rPr>
              <w:t>Regional Development Commissions Amendment Act 2003</w:t>
            </w:r>
            <w:ins w:id="540" w:author="svcMRProcess" w:date="2018-09-08T01:29:00Z">
              <w:r>
                <w:rPr>
                  <w:iCs/>
                  <w:sz w:val="19"/>
                  <w:vertAlign w:val="superscript"/>
                </w:rPr>
                <w:t> 5</w:t>
              </w:r>
            </w:ins>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c>
          <w:tcPr>
            <w:tcW w:w="1362" w:type="dxa"/>
            <w:cellDel w:id="541" w:author="svcMRProcess" w:date="2018-09-08T01:29:00Z"/>
          </w:tcPr>
          <w:p>
            <w:pPr>
              <w:pStyle w:val="nTable"/>
              <w:spacing w:before="120"/>
              <w:rPr>
                <w:sz w:val="19"/>
              </w:rPr>
            </w:pPr>
            <w:del w:id="542" w:author="svcMRProcess" w:date="2018-09-08T01:29:00Z">
              <w:r>
                <w:rPr>
                  <w:sz w:val="19"/>
                </w:rPr>
                <w:delText xml:space="preserve">Section 4(2): validation </w:delText>
              </w:r>
              <w:r>
                <w:rPr>
                  <w:sz w:val="19"/>
                  <w:vertAlign w:val="superscript"/>
                </w:rPr>
                <w:delText>5</w:delText>
              </w:r>
            </w:del>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1"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bl>
    <w:p>
      <w:pPr>
        <w:pStyle w:val="nSubsection"/>
        <w:keepNext/>
        <w:rPr>
          <w:del w:id="543" w:author="svcMRProcess" w:date="2018-09-08T01:29:00Z"/>
          <w:vertAlign w:val="superscript"/>
        </w:rPr>
      </w:pPr>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ins w:id="544" w:author="svcMRProcess" w:date="2018-09-08T01:29:00Z"/>
        </w:trPr>
        <w:tc>
          <w:tcPr>
            <w:tcW w:w="2265" w:type="dxa"/>
            <w:tcBorders>
              <w:bottom w:val="single" w:sz="8" w:space="0" w:color="auto"/>
            </w:tcBorders>
          </w:tcPr>
          <w:p>
            <w:pPr>
              <w:pStyle w:val="nTable"/>
              <w:spacing w:after="40"/>
              <w:rPr>
                <w:ins w:id="545" w:author="svcMRProcess" w:date="2018-09-08T01:29:00Z"/>
                <w:i/>
                <w:sz w:val="19"/>
              </w:rPr>
            </w:pPr>
            <w:ins w:id="546" w:author="svcMRProcess" w:date="2018-09-08T01:29: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ins>
          </w:p>
        </w:tc>
        <w:tc>
          <w:tcPr>
            <w:tcW w:w="1134" w:type="dxa"/>
            <w:tcBorders>
              <w:bottom w:val="single" w:sz="8" w:space="0" w:color="auto"/>
            </w:tcBorders>
          </w:tcPr>
          <w:p>
            <w:pPr>
              <w:pStyle w:val="nTable"/>
              <w:spacing w:after="40"/>
              <w:rPr>
                <w:ins w:id="547" w:author="svcMRProcess" w:date="2018-09-08T01:29:00Z"/>
                <w:snapToGrid w:val="0"/>
                <w:sz w:val="19"/>
              </w:rPr>
            </w:pPr>
            <w:ins w:id="548" w:author="svcMRProcess" w:date="2018-09-08T01:29:00Z">
              <w:r>
                <w:rPr>
                  <w:snapToGrid w:val="0"/>
                  <w:sz w:val="19"/>
                  <w:lang w:val="en-US"/>
                </w:rPr>
                <w:t>28 of 2006</w:t>
              </w:r>
            </w:ins>
          </w:p>
        </w:tc>
        <w:tc>
          <w:tcPr>
            <w:tcW w:w="1135" w:type="dxa"/>
            <w:tcBorders>
              <w:bottom w:val="single" w:sz="8" w:space="0" w:color="auto"/>
            </w:tcBorders>
          </w:tcPr>
          <w:p>
            <w:pPr>
              <w:pStyle w:val="nTable"/>
              <w:spacing w:after="40"/>
              <w:rPr>
                <w:ins w:id="549" w:author="svcMRProcess" w:date="2018-09-08T01:29:00Z"/>
                <w:sz w:val="19"/>
              </w:rPr>
            </w:pPr>
            <w:ins w:id="550" w:author="svcMRProcess" w:date="2018-09-08T01:29:00Z">
              <w:r>
                <w:rPr>
                  <w:sz w:val="19"/>
                </w:rPr>
                <w:t>26 Jun 2006</w:t>
              </w:r>
            </w:ins>
          </w:p>
        </w:tc>
        <w:tc>
          <w:tcPr>
            <w:tcW w:w="2551" w:type="dxa"/>
            <w:tcBorders>
              <w:bottom w:val="single" w:sz="8" w:space="0" w:color="auto"/>
            </w:tcBorders>
          </w:tcPr>
          <w:p>
            <w:pPr>
              <w:pStyle w:val="nTable"/>
              <w:spacing w:after="40"/>
              <w:rPr>
                <w:ins w:id="551" w:author="svcMRProcess" w:date="2018-09-08T01:29:00Z"/>
                <w:sz w:val="19"/>
              </w:rPr>
            </w:pPr>
            <w:ins w:id="552" w:author="svcMRProcess" w:date="2018-09-08T01:29:00Z">
              <w:r>
                <w:rPr>
                  <w:sz w:val="19"/>
                </w:rPr>
                <w:t xml:space="preserve">1 Jul 2006 (see s. 2 and </w:t>
              </w:r>
              <w:r>
                <w:rPr>
                  <w:i/>
                  <w:iCs/>
                  <w:sz w:val="19"/>
                </w:rPr>
                <w:t>Gazette</w:t>
              </w:r>
              <w:r>
                <w:rPr>
                  <w:sz w:val="19"/>
                </w:rPr>
                <w:t xml:space="preserve"> 27 Jun 2006 p. 2347)</w:t>
              </w:r>
            </w:ins>
          </w:p>
        </w:tc>
      </w:tr>
    </w:tbl>
    <w:p>
      <w:pPr>
        <w:pStyle w:val="nSubsection"/>
        <w:keepNext/>
      </w:pPr>
      <w:r>
        <w:rPr>
          <w:vertAlign w:val="superscript"/>
        </w:rPr>
        <w:t>2</w:t>
      </w:r>
      <w:r>
        <w:tab/>
        <w:t xml:space="preserve">Section 4(2) of the </w:t>
      </w:r>
      <w:r>
        <w:rPr>
          <w:i/>
        </w:rPr>
        <w:t>Regional Development Commissions Amendment Act 1997</w:t>
      </w:r>
      <w:r>
        <w:t xml:space="preserve"> (No. 16 of 1997) reads as follows — </w:t>
      </w:r>
    </w:p>
    <w:p>
      <w:pPr>
        <w:pStyle w:val="MiscOpen"/>
        <w:rPr>
          <w:sz w:val="20"/>
        </w:rPr>
      </w:pPr>
      <w:r>
        <w:rPr>
          <w:sz w:val="20"/>
        </w:rPr>
        <w:t>“</w:t>
      </w:r>
    </w:p>
    <w:p>
      <w:pPr>
        <w:pStyle w:val="nzSubsection"/>
        <w:spacing w:before="0"/>
      </w:pPr>
      <w:r>
        <w:tab/>
        <w:t>(2)</w:t>
      </w:r>
      <w:r>
        <w:tab/>
        <w:t>The requirement that a member of a Board referred to in section 16(b) of the principal Act be a member of a council of a local government applies only in respect of appointments made under section 15 of the principal Act after the commencement of this Act and that requirement has no effect in respect of a Board constituted before the commencement of this Act.</w:t>
      </w:r>
    </w:p>
    <w:p>
      <w:pPr>
        <w:pStyle w:val="MiscClose"/>
        <w:rPr>
          <w:sz w:val="20"/>
        </w:rPr>
      </w:pPr>
      <w:r>
        <w:rPr>
          <w:sz w:val="20"/>
        </w:rP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Commissioner may be construed as references to the Minister for Public Sector Management.</w:t>
      </w:r>
    </w:p>
    <w:p>
      <w:pPr>
        <w:pStyle w:val="nSubsection"/>
      </w:pPr>
      <w:r>
        <w:rPr>
          <w:vertAlign w:val="superscript"/>
        </w:rPr>
        <w:t>4</w:t>
      </w:r>
      <w:r>
        <w:tab/>
        <w:t xml:space="preserve">Under section 112(1) of the </w:t>
      </w:r>
      <w:r>
        <w:rPr>
          <w:i/>
        </w:rPr>
        <w:t>Public Sector Management Act 1994</w:t>
      </w:r>
      <w:r>
        <w:t xml:space="preserve"> (No. 31 of 1994) references to the </w:t>
      </w:r>
      <w:r>
        <w:rPr>
          <w:i/>
        </w:rPr>
        <w:t>Public Services Act 1978</w:t>
      </w:r>
      <w:r>
        <w:t xml:space="preserve"> may be construed as references to the </w:t>
      </w:r>
      <w:r>
        <w:rPr>
          <w:i/>
        </w:rPr>
        <w:t>Public Sector Management Act 1994</w:t>
      </w:r>
      <w:r>
        <w:t>.</w:t>
      </w:r>
    </w:p>
    <w:p>
      <w:pPr>
        <w:pStyle w:val="nSubsection"/>
      </w:pPr>
      <w:r>
        <w:rPr>
          <w:vertAlign w:val="superscript"/>
        </w:rPr>
        <w:t>5</w:t>
      </w:r>
      <w:r>
        <w:tab/>
        <w:t xml:space="preserve">Section 4(2) of the </w:t>
      </w:r>
      <w:r>
        <w:rPr>
          <w:i/>
        </w:rPr>
        <w:t>Regional Development Commissions Amendment Act 2003</w:t>
      </w:r>
      <w:r>
        <w:t xml:space="preserve"> reads as follows —</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rPr>
          <w:snapToGrid w:val="0"/>
        </w:rPr>
      </w:pPr>
      <w:bookmarkStart w:id="553" w:name="AutoSch"/>
      <w:bookmarkEnd w:id="553"/>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E84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819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32D4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9C8F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FA58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4856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44D8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D4B3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4FEB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C8D8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EFEA1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3472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702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D861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47"/>
    <w:docVar w:name="WAFER_20151209115447" w:val="RemoveTrackChanges"/>
    <w:docVar w:name="WAFER_20151209115447_GUID" w:val="12bb9faf-a319-44fa-8d75-765bb0579e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7426</Words>
  <Characters>36537</Characters>
  <Application>Microsoft Office Word</Application>
  <DocSecurity>0</DocSecurity>
  <Lines>1014</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01-d0-03 - 01-e0-03</dc:title>
  <dc:subject/>
  <dc:creator/>
  <cp:keywords/>
  <dc:description/>
  <cp:lastModifiedBy>svcMRProcess</cp:lastModifiedBy>
  <cp:revision>2</cp:revision>
  <cp:lastPrinted>1999-12-02T04:42:00Z</cp:lastPrinted>
  <dcterms:created xsi:type="dcterms:W3CDTF">2018-09-07T17:29:00Z</dcterms:created>
  <dcterms:modified xsi:type="dcterms:W3CDTF">2018-09-07T17:29:00Z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680</vt:i4>
  </property>
  <property fmtid="{D5CDD505-2E9C-101B-9397-08002B2CF9AE}" pid="6" name="FromSuffix">
    <vt:lpwstr>01-d0-03</vt:lpwstr>
  </property>
  <property fmtid="{D5CDD505-2E9C-101B-9397-08002B2CF9AE}" pid="7" name="FromAsAtDate">
    <vt:lpwstr>01 Apr 2005</vt:lpwstr>
  </property>
  <property fmtid="{D5CDD505-2E9C-101B-9397-08002B2CF9AE}" pid="8" name="ToSuffix">
    <vt:lpwstr>01-e0-03</vt:lpwstr>
  </property>
  <property fmtid="{D5CDD505-2E9C-101B-9397-08002B2CF9AE}" pid="9" name="ToAsAtDate">
    <vt:lpwstr>01 Jul 2006</vt:lpwstr>
  </property>
</Properties>
</file>