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Debits Tax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26 Jun 2010</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960"/>
      </w:pPr>
      <w:r>
        <w:t>Debits Tax Act 2002</w:t>
      </w:r>
    </w:p>
    <w:p>
      <w:pPr>
        <w:pStyle w:val="LongTitle"/>
        <w:suppressLineNumbers/>
        <w:rPr>
          <w:snapToGrid w:val="0"/>
        </w:rPr>
      </w:pPr>
      <w:bookmarkStart w:id="1" w:name="BillCited"/>
      <w:bookmarkEnd w:id="1"/>
      <w:r>
        <w:rPr>
          <w:snapToGrid w:val="0"/>
        </w:rPr>
        <w:t>A</w:t>
      </w:r>
      <w:bookmarkStart w:id="2" w:name="_GoBack"/>
      <w:bookmarkEnd w:id="2"/>
      <w:r>
        <w:rPr>
          <w:snapToGrid w:val="0"/>
        </w:rPr>
        <w:t>n Act to impose a tax on certain debits made to accounts kept with financial institutions.</w:t>
      </w:r>
    </w:p>
    <w:p>
      <w:pPr>
        <w:pStyle w:val="Heading5"/>
        <w:spacing w:before="520"/>
        <w:rPr>
          <w:snapToGrid w:val="0"/>
        </w:rPr>
      </w:pPr>
      <w:bookmarkStart w:id="3" w:name="_Toc378164703"/>
      <w:bookmarkStart w:id="4" w:name="_Toc425513192"/>
      <w:bookmarkStart w:id="5" w:name="_Toc471793481"/>
      <w:bookmarkStart w:id="6" w:name="_Toc512746194"/>
      <w:bookmarkStart w:id="7" w:name="_Toc515958175"/>
      <w:bookmarkStart w:id="8" w:name="_Toc27484985"/>
      <w:bookmarkStart w:id="9" w:name="_Toc44729955"/>
      <w:bookmarkStart w:id="10" w:name="_Toc161628299"/>
      <w:r>
        <w:rPr>
          <w:rStyle w:val="CharSectno"/>
        </w:rPr>
        <w:t>1</w:t>
      </w:r>
      <w:r>
        <w:rPr>
          <w:snapToGrid w:val="0"/>
        </w:rPr>
        <w:t>.</w:t>
      </w:r>
      <w:r>
        <w:rPr>
          <w:snapToGrid w:val="0"/>
        </w:rPr>
        <w:tab/>
        <w:t>Short title</w:t>
      </w:r>
      <w:bookmarkEnd w:id="3"/>
      <w:bookmarkEnd w:id="4"/>
      <w:bookmarkEnd w:id="5"/>
      <w:bookmarkEnd w:id="6"/>
      <w:bookmarkEnd w:id="7"/>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Debits Tax Act 2002</w:t>
      </w:r>
      <w:r>
        <w:rPr>
          <w:snapToGrid w:val="0"/>
        </w:rPr>
        <w:t xml:space="preserve">. </w:t>
      </w:r>
    </w:p>
    <w:p>
      <w:pPr>
        <w:pStyle w:val="Heading5"/>
        <w:pageBreakBefore/>
        <w:rPr>
          <w:snapToGrid w:val="0"/>
        </w:rPr>
      </w:pPr>
      <w:bookmarkStart w:id="11" w:name="Start_Cursor"/>
      <w:bookmarkStart w:id="12" w:name="_Toc378164704"/>
      <w:bookmarkStart w:id="13" w:name="_Toc425513193"/>
      <w:bookmarkStart w:id="14" w:name="_Toc471793482"/>
      <w:bookmarkStart w:id="15" w:name="_Toc512746195"/>
      <w:bookmarkStart w:id="16" w:name="_Toc515958176"/>
      <w:bookmarkStart w:id="17" w:name="_Toc27484986"/>
      <w:bookmarkStart w:id="18" w:name="_Toc44729956"/>
      <w:bookmarkStart w:id="19" w:name="_Toc161628300"/>
      <w:bookmarkEnd w:id="11"/>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p>
    <w:p>
      <w:pPr>
        <w:pStyle w:val="Subsection"/>
      </w:pPr>
      <w:r>
        <w:tab/>
      </w:r>
      <w:r>
        <w:tab/>
        <w:t xml:space="preserve">This Act comes into operation on the day on which the </w:t>
      </w:r>
      <w:r>
        <w:rPr>
          <w:i/>
        </w:rPr>
        <w:t xml:space="preserve">Taxation Administration Act 2003 </w:t>
      </w:r>
      <w:r>
        <w:t>comes into operation.</w:t>
      </w:r>
    </w:p>
    <w:p>
      <w:pPr>
        <w:pStyle w:val="Heading5"/>
      </w:pPr>
      <w:bookmarkStart w:id="20" w:name="_Toc378164705"/>
      <w:bookmarkStart w:id="21" w:name="_Toc425513194"/>
      <w:bookmarkStart w:id="22" w:name="_Toc520530844"/>
      <w:bookmarkStart w:id="23" w:name="_Toc27484987"/>
      <w:bookmarkStart w:id="24" w:name="_Toc44729957"/>
      <w:bookmarkStart w:id="25" w:name="_Toc161628301"/>
      <w:r>
        <w:rPr>
          <w:rStyle w:val="CharSectno"/>
        </w:rPr>
        <w:t>3</w:t>
      </w:r>
      <w:r>
        <w:t>.</w:t>
      </w:r>
      <w:r>
        <w:tab/>
        <w:t>Relationship with other Acts</w:t>
      </w:r>
      <w:bookmarkEnd w:id="20"/>
      <w:bookmarkEnd w:id="21"/>
      <w:bookmarkEnd w:id="22"/>
      <w:bookmarkEnd w:id="23"/>
      <w:bookmarkEnd w:id="24"/>
      <w:bookmarkEnd w:id="25"/>
    </w:p>
    <w:p>
      <w:pPr>
        <w:pStyle w:val="Subsection"/>
      </w:pPr>
      <w:r>
        <w:tab/>
      </w:r>
      <w:r>
        <w:tab/>
        <w:t xml:space="preserve">The </w:t>
      </w:r>
      <w:r>
        <w:rPr>
          <w:i/>
        </w:rPr>
        <w:t xml:space="preserve">Taxation Administration Act 2003 </w:t>
      </w:r>
      <w:r>
        <w:t xml:space="preserve">and the </w:t>
      </w:r>
      <w:r>
        <w:rPr>
          <w:i/>
        </w:rPr>
        <w:t xml:space="preserve">Debits Tax Assessment Act 2002 </w:t>
      </w:r>
      <w:r>
        <w:t>are to be read with this Act as if they formed a single Act.</w:t>
      </w:r>
    </w:p>
    <w:p>
      <w:pPr>
        <w:pStyle w:val="Heading5"/>
      </w:pPr>
      <w:bookmarkStart w:id="26" w:name="_Toc378164706"/>
      <w:bookmarkStart w:id="27" w:name="_Toc425513195"/>
      <w:bookmarkStart w:id="28" w:name="_Toc27484988"/>
      <w:bookmarkStart w:id="29" w:name="_Toc44729958"/>
      <w:bookmarkStart w:id="30" w:name="_Toc161628302"/>
      <w:r>
        <w:rPr>
          <w:rStyle w:val="CharSectno"/>
        </w:rPr>
        <w:t>4</w:t>
      </w:r>
      <w:r>
        <w:t>.</w:t>
      </w:r>
      <w:r>
        <w:tab/>
        <w:t>Meaning of terms</w:t>
      </w:r>
      <w:bookmarkEnd w:id="26"/>
      <w:bookmarkEnd w:id="27"/>
      <w:bookmarkEnd w:id="28"/>
      <w:bookmarkEnd w:id="29"/>
      <w:bookmarkEnd w:id="30"/>
    </w:p>
    <w:p>
      <w:pPr>
        <w:pStyle w:val="Subsection"/>
      </w:pPr>
      <w:r>
        <w:tab/>
      </w:r>
      <w:bookmarkStart w:id="31" w:name="_Hlt528057531"/>
      <w:bookmarkEnd w:id="31"/>
      <w:r>
        <w:tab/>
        <w:t xml:space="preserve">The Glossaries at the end of the </w:t>
      </w:r>
      <w:r>
        <w:rPr>
          <w:i/>
        </w:rPr>
        <w:t>Debits Tax Assessment Act 2002</w:t>
      </w:r>
      <w:r>
        <w:t xml:space="preserve"> and the </w:t>
      </w:r>
      <w:r>
        <w:rPr>
          <w:i/>
        </w:rPr>
        <w:t xml:space="preserve">Taxation Administration Act 2003 </w:t>
      </w:r>
      <w:r>
        <w:t>define or affect the meaning of some of the words and expressions used in this Act and also affect the operation of other provisions.</w:t>
      </w:r>
    </w:p>
    <w:p>
      <w:pPr>
        <w:pStyle w:val="Heading5"/>
      </w:pPr>
      <w:bookmarkStart w:id="32" w:name="_Toc378164707"/>
      <w:bookmarkStart w:id="33" w:name="_Toc425513196"/>
      <w:bookmarkStart w:id="34" w:name="_Toc27484989"/>
      <w:bookmarkStart w:id="35" w:name="_Toc44729959"/>
      <w:bookmarkStart w:id="36" w:name="_Toc161628303"/>
      <w:r>
        <w:rPr>
          <w:rStyle w:val="CharSectno"/>
        </w:rPr>
        <w:t>5</w:t>
      </w:r>
      <w:r>
        <w:t>.</w:t>
      </w:r>
      <w:r>
        <w:tab/>
        <w:t>Rates of tax</w:t>
      </w:r>
      <w:bookmarkEnd w:id="32"/>
      <w:bookmarkEnd w:id="33"/>
      <w:bookmarkEnd w:id="34"/>
      <w:bookmarkEnd w:id="35"/>
      <w:bookmarkEnd w:id="36"/>
    </w:p>
    <w:p>
      <w:pPr>
        <w:pStyle w:val="Subsection"/>
      </w:pPr>
      <w:r>
        <w:tab/>
      </w:r>
      <w:r>
        <w:tab/>
        <w:t>Debits tax is imposed at the rates shown in the table to this subsection according to the amount of the debit.</w:t>
      </w:r>
    </w:p>
    <w:p>
      <w:pPr>
        <w:pStyle w:val="MiscellaneousHeading"/>
        <w:rPr>
          <w:b/>
        </w:rPr>
      </w:pPr>
      <w:r>
        <w:rPr>
          <w:b/>
        </w:rPr>
        <w:t>Debits tax rates</w:t>
      </w:r>
    </w:p>
    <w:tbl>
      <w:tblPr>
        <w:tblW w:w="0" w:type="auto"/>
        <w:tblInd w:w="959" w:type="dxa"/>
        <w:tblLayout w:type="fixed"/>
        <w:tblLook w:val="0000" w:firstRow="0" w:lastRow="0" w:firstColumn="0" w:lastColumn="0" w:noHBand="0" w:noVBand="0"/>
      </w:tblPr>
      <w:tblGrid>
        <w:gridCol w:w="3686"/>
        <w:gridCol w:w="1559"/>
      </w:tblGrid>
      <w:tr>
        <w:tc>
          <w:tcPr>
            <w:tcW w:w="3686" w:type="dxa"/>
            <w:tcBorders>
              <w:bottom w:val="single" w:sz="4" w:space="0" w:color="auto"/>
            </w:tcBorders>
          </w:tcPr>
          <w:p>
            <w:pPr>
              <w:pStyle w:val="Table"/>
              <w:tabs>
                <w:tab w:val="right" w:leader="dot" w:pos="2835"/>
              </w:tabs>
              <w:rPr>
                <w:b/>
              </w:rPr>
            </w:pPr>
            <w:r>
              <w:rPr>
                <w:b/>
              </w:rPr>
              <w:t>Amount of debit</w:t>
            </w:r>
          </w:p>
        </w:tc>
        <w:tc>
          <w:tcPr>
            <w:tcW w:w="1559" w:type="dxa"/>
            <w:tcBorders>
              <w:bottom w:val="single" w:sz="4" w:space="0" w:color="auto"/>
            </w:tcBorders>
          </w:tcPr>
          <w:p>
            <w:pPr>
              <w:pStyle w:val="Table"/>
              <w:rPr>
                <w:b/>
              </w:rPr>
            </w:pPr>
            <w:r>
              <w:rPr>
                <w:b/>
              </w:rPr>
              <w:t xml:space="preserve">Amount of debits tax </w:t>
            </w:r>
          </w:p>
        </w:tc>
      </w:tr>
      <w:tr>
        <w:tc>
          <w:tcPr>
            <w:tcW w:w="3686" w:type="dxa"/>
          </w:tcPr>
          <w:p>
            <w:pPr>
              <w:pStyle w:val="Table"/>
            </w:pPr>
            <w:r>
              <w:t>less than $1 .........................................</w:t>
            </w:r>
          </w:p>
        </w:tc>
        <w:tc>
          <w:tcPr>
            <w:tcW w:w="1559" w:type="dxa"/>
          </w:tcPr>
          <w:p>
            <w:pPr>
              <w:pStyle w:val="Table"/>
            </w:pPr>
            <w:r>
              <w:t>nil</w:t>
            </w:r>
          </w:p>
        </w:tc>
      </w:tr>
      <w:tr>
        <w:tc>
          <w:tcPr>
            <w:tcW w:w="3686" w:type="dxa"/>
          </w:tcPr>
          <w:p>
            <w:pPr>
              <w:pStyle w:val="Table"/>
            </w:pPr>
            <w:r>
              <w:t>$1 — $99.99 .......................................</w:t>
            </w:r>
          </w:p>
        </w:tc>
        <w:tc>
          <w:tcPr>
            <w:tcW w:w="1559" w:type="dxa"/>
          </w:tcPr>
          <w:p>
            <w:pPr>
              <w:pStyle w:val="Table"/>
            </w:pPr>
            <w:r>
              <w:t xml:space="preserve">$0.30 </w:t>
            </w:r>
          </w:p>
        </w:tc>
      </w:tr>
      <w:tr>
        <w:tc>
          <w:tcPr>
            <w:tcW w:w="3686" w:type="dxa"/>
          </w:tcPr>
          <w:p>
            <w:pPr>
              <w:pStyle w:val="Table"/>
            </w:pPr>
            <w:r>
              <w:t>$100 — $499.99 .................................</w:t>
            </w:r>
          </w:p>
        </w:tc>
        <w:tc>
          <w:tcPr>
            <w:tcW w:w="1559" w:type="dxa"/>
          </w:tcPr>
          <w:p>
            <w:pPr>
              <w:pStyle w:val="Table"/>
            </w:pPr>
            <w:r>
              <w:t>$0.70</w:t>
            </w:r>
          </w:p>
        </w:tc>
      </w:tr>
      <w:tr>
        <w:tc>
          <w:tcPr>
            <w:tcW w:w="3686" w:type="dxa"/>
          </w:tcPr>
          <w:p>
            <w:pPr>
              <w:pStyle w:val="Table"/>
            </w:pPr>
            <w:r>
              <w:t>$500 — $4 999.99 ..............................</w:t>
            </w:r>
          </w:p>
        </w:tc>
        <w:tc>
          <w:tcPr>
            <w:tcW w:w="1559" w:type="dxa"/>
          </w:tcPr>
          <w:p>
            <w:pPr>
              <w:pStyle w:val="Table"/>
            </w:pPr>
            <w:r>
              <w:t>$1.50</w:t>
            </w:r>
          </w:p>
        </w:tc>
      </w:tr>
      <w:tr>
        <w:tc>
          <w:tcPr>
            <w:tcW w:w="3686" w:type="dxa"/>
          </w:tcPr>
          <w:p>
            <w:pPr>
              <w:pStyle w:val="Table"/>
            </w:pPr>
            <w:r>
              <w:t>$5 000 — $9 999.99 ...........................</w:t>
            </w:r>
          </w:p>
        </w:tc>
        <w:tc>
          <w:tcPr>
            <w:tcW w:w="1559" w:type="dxa"/>
          </w:tcPr>
          <w:p>
            <w:pPr>
              <w:pStyle w:val="Table"/>
            </w:pPr>
            <w:r>
              <w:t>$3.00</w:t>
            </w:r>
          </w:p>
        </w:tc>
      </w:tr>
      <w:tr>
        <w:tc>
          <w:tcPr>
            <w:tcW w:w="3686" w:type="dxa"/>
          </w:tcPr>
          <w:p>
            <w:pPr>
              <w:pStyle w:val="Table"/>
            </w:pPr>
            <w:r>
              <w:t>$10 000 or more ..................................</w:t>
            </w:r>
          </w:p>
        </w:tc>
        <w:tc>
          <w:tcPr>
            <w:tcW w:w="1559" w:type="dxa"/>
          </w:tcPr>
          <w:p>
            <w:pPr>
              <w:pStyle w:val="Table"/>
            </w:pPr>
            <w:r>
              <w:t>$4.00</w:t>
            </w:r>
          </w:p>
        </w:tc>
      </w:tr>
    </w:tbl>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7" w:name="_Toc378164708"/>
      <w:bookmarkStart w:id="38" w:name="_Toc425513197"/>
      <w:bookmarkStart w:id="39" w:name="_Toc161039106"/>
      <w:bookmarkStart w:id="40" w:name="_Toc161113560"/>
      <w:bookmarkStart w:id="41" w:name="_Toc161569629"/>
      <w:bookmarkStart w:id="42" w:name="_Toc161628304"/>
      <w:r>
        <w:t>Notes</w:t>
      </w:r>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Act 2002</w:t>
      </w:r>
      <w:r>
        <w:rPr>
          <w:snapToGrid w:val="0"/>
        </w:rPr>
        <w:t>.  The following table contains information about that Act</w:t>
      </w:r>
      <w:r>
        <w:rPr>
          <w:snapToGrid w:val="0"/>
          <w:vertAlign w:val="superscript"/>
        </w:rPr>
        <w:t> 2, 3</w:t>
      </w:r>
      <w:r>
        <w:rPr>
          <w:snapToGrid w:val="0"/>
        </w:rPr>
        <w:t xml:space="preserve">. </w:t>
      </w:r>
    </w:p>
    <w:p>
      <w:pPr>
        <w:pStyle w:val="nHeading3"/>
        <w:rPr>
          <w:snapToGrid w:val="0"/>
        </w:rPr>
      </w:pPr>
      <w:bookmarkStart w:id="43" w:name="_Toc378164709"/>
      <w:bookmarkStart w:id="44" w:name="_Toc425513198"/>
      <w:bookmarkStart w:id="45" w:name="_Toc512403484"/>
      <w:bookmarkStart w:id="46" w:name="_Toc512403627"/>
      <w:bookmarkStart w:id="47" w:name="_Toc36369351"/>
      <w:bookmarkStart w:id="48" w:name="_Toc44729960"/>
      <w:bookmarkStart w:id="49" w:name="_Toc161628305"/>
      <w:r>
        <w:rPr>
          <w:snapToGrid w:val="0"/>
        </w:rPr>
        <w:t>Compilation table</w:t>
      </w:r>
      <w:bookmarkEnd w:id="43"/>
      <w:bookmarkEnd w:id="44"/>
      <w:bookmarkEnd w:id="45"/>
      <w:bookmarkEnd w:id="46"/>
      <w:bookmarkEnd w:id="47"/>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Debits Tax Act 2002</w:t>
            </w:r>
          </w:p>
        </w:tc>
        <w:tc>
          <w:tcPr>
            <w:tcW w:w="1134" w:type="dxa"/>
            <w:tcBorders>
              <w:top w:val="single" w:sz="4" w:space="0" w:color="auto"/>
            </w:tcBorders>
          </w:tcPr>
          <w:p>
            <w:pPr>
              <w:pStyle w:val="nTable"/>
              <w:spacing w:before="100"/>
            </w:pPr>
            <w:r>
              <w:t>49 of 2002</w:t>
            </w:r>
          </w:p>
        </w:tc>
        <w:tc>
          <w:tcPr>
            <w:tcW w:w="1134" w:type="dxa"/>
            <w:tcBorders>
              <w:top w:val="single" w:sz="4" w:space="0" w:color="auto"/>
            </w:tcBorders>
          </w:tcPr>
          <w:p>
            <w:pPr>
              <w:pStyle w:val="nTable"/>
              <w:spacing w:before="100"/>
            </w:pPr>
            <w:r>
              <w:t>20 Mar 2003</w:t>
            </w:r>
          </w:p>
        </w:tc>
        <w:tc>
          <w:tcPr>
            <w:tcW w:w="2552" w:type="dxa"/>
            <w:tcBorders>
              <w:top w:val="single" w:sz="4" w:space="0" w:color="auto"/>
            </w:tcBorders>
          </w:tcPr>
          <w:p>
            <w:pPr>
              <w:pStyle w:val="nTable"/>
              <w:spacing w:before="100"/>
              <w:rPr>
                <w:i/>
              </w:rPr>
            </w:pPr>
            <w:r>
              <w:t xml:space="preserve">1 Jul 2003 (see s. 2 and </w:t>
            </w:r>
            <w:r>
              <w:rPr>
                <w:i/>
              </w:rPr>
              <w:t xml:space="preserve">Gazette </w:t>
            </w:r>
            <w:r>
              <w:t>27 Jun 2003 p. 2383)</w:t>
            </w:r>
          </w:p>
        </w:tc>
      </w:tr>
      <w:tr>
        <w:trPr>
          <w:cantSplit/>
          <w:ins w:id="50" w:author="svcMRProcess" w:date="2015-11-16T16:50:00Z"/>
        </w:trPr>
        <w:tc>
          <w:tcPr>
            <w:tcW w:w="7088" w:type="dxa"/>
            <w:gridSpan w:val="4"/>
            <w:tcBorders>
              <w:bottom w:val="single" w:sz="4" w:space="0" w:color="auto"/>
            </w:tcBorders>
          </w:tcPr>
          <w:p>
            <w:pPr>
              <w:pStyle w:val="nTable"/>
              <w:spacing w:before="100"/>
              <w:rPr>
                <w:ins w:id="51" w:author="svcMRProcess" w:date="2015-11-16T16:50:00Z"/>
                <w:b/>
                <w:bCs/>
                <w:color w:val="FF0000"/>
              </w:rPr>
            </w:pPr>
            <w:ins w:id="52" w:author="svcMRProcess" w:date="2015-11-16T16:50:00Z">
              <w:r>
                <w:rPr>
                  <w:b/>
                  <w:bCs/>
                  <w:color w:val="FF0000"/>
                </w:rPr>
                <w:t xml:space="preserve">This Act was repealed by the </w:t>
              </w:r>
              <w:r>
                <w:rPr>
                  <w:b/>
                  <w:bCs/>
                  <w:i/>
                  <w:iCs/>
                  <w:color w:val="FF0000"/>
                </w:rPr>
                <w:t xml:space="preserve">Revenue Laws Amendment and Repeal Act 2010 </w:t>
              </w:r>
              <w:r>
                <w:rPr>
                  <w:b/>
                  <w:bCs/>
                  <w:color w:val="FF0000"/>
                </w:rPr>
                <w:t>s. 29(a) (No. 17 of 2010) as at 26 Jun 2010 (see s. 2(b))</w:t>
              </w:r>
            </w:ins>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2 Div. 1 of those regulations read as follows:</w:t>
      </w:r>
    </w:p>
    <w:p>
      <w:pPr>
        <w:pStyle w:val="MiscOpen"/>
      </w:pPr>
      <w:r>
        <w:t>“</w:t>
      </w:r>
    </w:p>
    <w:p>
      <w:pPr>
        <w:pStyle w:val="nz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515958686"/>
      <w:bookmarkStart w:id="60" w:name="_Toc156617931"/>
      <w:r>
        <w:t>1.</w:t>
      </w:r>
      <w:r>
        <w:tab/>
        <w:t>Citation</w:t>
      </w:r>
      <w:bookmarkEnd w:id="53"/>
      <w:bookmarkEnd w:id="54"/>
      <w:bookmarkEnd w:id="55"/>
      <w:bookmarkEnd w:id="56"/>
      <w:bookmarkEnd w:id="57"/>
      <w:bookmarkEnd w:id="58"/>
      <w:bookmarkEnd w:id="59"/>
      <w:bookmarkEnd w:id="60"/>
    </w:p>
    <w:p>
      <w:pPr>
        <w:pStyle w:val="nzSubsection"/>
      </w:pPr>
      <w:r>
        <w:tab/>
      </w:r>
      <w:r>
        <w:tab/>
        <w:t xml:space="preserve">These regulations are the </w:t>
      </w:r>
      <w:r>
        <w:rPr>
          <w:i/>
          <w:iCs/>
        </w:rPr>
        <w:t>Commonwealth Places (Mirror Taxes Administration) Regulations 2007</w:t>
      </w:r>
      <w:r>
        <w:t>.</w:t>
      </w:r>
    </w:p>
    <w:p>
      <w:pPr>
        <w:pStyle w:val="nzHeading5"/>
      </w:pPr>
      <w:bookmarkStart w:id="61" w:name="_Toc423332723"/>
      <w:bookmarkStart w:id="62" w:name="_Toc425219442"/>
      <w:bookmarkStart w:id="63" w:name="_Toc426249309"/>
      <w:bookmarkStart w:id="64" w:name="_Toc449924705"/>
      <w:bookmarkStart w:id="65" w:name="_Toc449947723"/>
      <w:bookmarkStart w:id="66" w:name="_Toc454185714"/>
      <w:bookmarkStart w:id="67" w:name="_Toc515958687"/>
      <w:bookmarkStart w:id="68" w:name="_Toc156617932"/>
      <w:r>
        <w:t>2.</w:t>
      </w:r>
      <w:r>
        <w:tab/>
        <w:t>Commencement</w:t>
      </w:r>
      <w:bookmarkEnd w:id="61"/>
      <w:bookmarkEnd w:id="62"/>
      <w:bookmarkEnd w:id="63"/>
      <w:bookmarkEnd w:id="64"/>
      <w:bookmarkEnd w:id="65"/>
      <w:bookmarkEnd w:id="66"/>
      <w:bookmarkEnd w:id="67"/>
      <w:bookmarkEnd w:id="6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69" w:name="_Toc125188319"/>
      <w:bookmarkStart w:id="70" w:name="_Toc156617933"/>
      <w:r>
        <w:t>3.</w:t>
      </w:r>
      <w:r>
        <w:tab/>
        <w:t>When certain modifications have effect</w:t>
      </w:r>
      <w:bookmarkEnd w:id="69"/>
      <w:bookmarkEnd w:id="7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rPr>
          <w:ins w:id="71" w:author="svcMRProcess" w:date="2015-11-16T16:50:00Z"/>
        </w:rPr>
      </w:pPr>
      <w:ins w:id="72" w:author="svcMRProcess" w:date="2015-11-16T16:50:00Z">
        <w:r>
          <w:tab/>
        </w:r>
      </w:ins>
      <w:r>
        <w:t>Note:</w:t>
      </w:r>
    </w:p>
    <w:p>
      <w:pPr>
        <w:pStyle w:val="nzPermNoteText"/>
      </w:pPr>
      <w:ins w:id="73" w:author="svcMRProcess" w:date="2015-11-16T16:50:00Z">
        <w:r>
          <w:tab/>
        </w:r>
      </w:ins>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74" w:name="_Toc25468872"/>
      <w:bookmarkStart w:id="75" w:name="_Toc31620063"/>
      <w:bookmarkStart w:id="76" w:name="_Toc156617934"/>
      <w:r>
        <w:t>4.</w:t>
      </w:r>
      <w:r>
        <w:tab/>
        <w:t>Modification of State taxing laws</w:t>
      </w:r>
      <w:bookmarkEnd w:id="74"/>
      <w:bookmarkEnd w:id="75"/>
      <w:bookmarkEnd w:id="7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77" w:name="_Toc144539538"/>
      <w:bookmarkStart w:id="78" w:name="_Toc144540254"/>
      <w:bookmarkStart w:id="79" w:name="_Toc144541765"/>
      <w:bookmarkStart w:id="80" w:name="_Toc144541851"/>
      <w:bookmarkStart w:id="81" w:name="_Toc144541935"/>
      <w:bookmarkStart w:id="82" w:name="_Toc144548735"/>
      <w:bookmarkStart w:id="83" w:name="_Toc144718431"/>
      <w:bookmarkStart w:id="84" w:name="_Toc144809127"/>
      <w:bookmarkStart w:id="85" w:name="_Toc144880959"/>
      <w:bookmarkStart w:id="86" w:name="_Toc145135855"/>
      <w:bookmarkStart w:id="87" w:name="_Toc145240286"/>
      <w:bookmarkStart w:id="88" w:name="_Toc145328471"/>
      <w:bookmarkStart w:id="89" w:name="_Toc145392227"/>
      <w:bookmarkStart w:id="90" w:name="_Toc145392861"/>
      <w:bookmarkStart w:id="91" w:name="_Toc145468593"/>
      <w:bookmarkStart w:id="92" w:name="_Toc145826920"/>
      <w:bookmarkStart w:id="93" w:name="_Toc145827067"/>
      <w:bookmarkStart w:id="94" w:name="_Toc145827191"/>
      <w:bookmarkStart w:id="95" w:name="_Toc145830353"/>
      <w:bookmarkStart w:id="96" w:name="_Toc145830462"/>
      <w:bookmarkStart w:id="97" w:name="_Toc145830906"/>
      <w:bookmarkStart w:id="98" w:name="_Toc145831465"/>
      <w:bookmarkStart w:id="99" w:name="_Toc145839529"/>
      <w:bookmarkStart w:id="100" w:name="_Toc145839622"/>
      <w:bookmarkStart w:id="101" w:name="_Toc145842595"/>
      <w:bookmarkStart w:id="102" w:name="_Toc145843127"/>
      <w:bookmarkStart w:id="103" w:name="_Toc145843414"/>
      <w:bookmarkStart w:id="104" w:name="_Toc145909020"/>
      <w:bookmarkStart w:id="105" w:name="_Toc145909711"/>
      <w:bookmarkStart w:id="106" w:name="_Toc145999307"/>
      <w:bookmarkStart w:id="107" w:name="_Toc146351927"/>
      <w:bookmarkStart w:id="108" w:name="_Toc146353085"/>
      <w:bookmarkStart w:id="109" w:name="_Toc146353199"/>
      <w:bookmarkStart w:id="110" w:name="_Toc146353545"/>
      <w:bookmarkStart w:id="111" w:name="_Toc146354019"/>
      <w:bookmarkStart w:id="112" w:name="_Toc146354565"/>
      <w:bookmarkStart w:id="113" w:name="_Toc146432511"/>
      <w:bookmarkStart w:id="114" w:name="_Toc146449867"/>
      <w:bookmarkStart w:id="115" w:name="_Toc146968860"/>
      <w:bookmarkStart w:id="116" w:name="_Toc147055842"/>
      <w:bookmarkStart w:id="117" w:name="_Toc147141281"/>
      <w:bookmarkStart w:id="118" w:name="_Toc147311374"/>
      <w:bookmarkStart w:id="119" w:name="_Toc147655476"/>
      <w:bookmarkStart w:id="120" w:name="_Toc147657707"/>
      <w:bookmarkStart w:id="121" w:name="_Toc147746202"/>
      <w:bookmarkStart w:id="122" w:name="_Toc148264670"/>
      <w:bookmarkStart w:id="123" w:name="_Toc148437893"/>
      <w:bookmarkStart w:id="124" w:name="_Toc148502679"/>
      <w:bookmarkStart w:id="125" w:name="_Toc148512887"/>
      <w:bookmarkStart w:id="126" w:name="_Toc148516498"/>
      <w:bookmarkStart w:id="127" w:name="_Toc150917008"/>
      <w:bookmarkStart w:id="128" w:name="_Toc150926117"/>
      <w:bookmarkStart w:id="129" w:name="_Toc150926619"/>
      <w:bookmarkStart w:id="130" w:name="_Toc150931274"/>
      <w:bookmarkStart w:id="131" w:name="_Toc150933893"/>
      <w:bookmarkStart w:id="132" w:name="_Toc151182281"/>
      <w:bookmarkStart w:id="133" w:name="_Toc151182400"/>
      <w:bookmarkStart w:id="134" w:name="_Toc151182494"/>
      <w:bookmarkStart w:id="135" w:name="_Toc151182588"/>
      <w:bookmarkStart w:id="136" w:name="_Toc151182883"/>
      <w:bookmarkStart w:id="137" w:name="_Toc151516940"/>
      <w:bookmarkStart w:id="138" w:name="_Toc153939238"/>
      <w:bookmarkStart w:id="139" w:name="_Toc153942055"/>
      <w:bookmarkStart w:id="140" w:name="_Toc153942149"/>
      <w:bookmarkStart w:id="141" w:name="_Toc156361745"/>
      <w:bookmarkStart w:id="142" w:name="_Toc156369082"/>
      <w:bookmarkStart w:id="143" w:name="_Toc156379955"/>
      <w:bookmarkStart w:id="144" w:name="_Toc156380654"/>
      <w:bookmarkStart w:id="145" w:name="_Toc156617823"/>
      <w:bookmarkStart w:id="146" w:name="_Toc156617936"/>
      <w:bookmarkStart w:id="147" w:name="_Toc160958651"/>
      <w:bookmarkStart w:id="148" w:name="_Toc160961550"/>
      <w:bookmarkStart w:id="149" w:name="_Toc144527158"/>
      <w:bookmarkStart w:id="150" w:name="_Toc144529126"/>
      <w:bookmarkStart w:id="151" w:name="_Toc144529701"/>
      <w:bookmarkStart w:id="152" w:name="_Toc144538014"/>
      <w:r>
        <w:t>Part 2 — Debits tax</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zHeading3"/>
      </w:pPr>
      <w:bookmarkStart w:id="153" w:name="_Toc144539539"/>
      <w:bookmarkStart w:id="154" w:name="_Toc144540255"/>
      <w:bookmarkStart w:id="155" w:name="_Toc144541766"/>
      <w:bookmarkStart w:id="156" w:name="_Toc144541852"/>
      <w:bookmarkStart w:id="157" w:name="_Toc144541936"/>
      <w:bookmarkStart w:id="158" w:name="_Toc144548736"/>
      <w:bookmarkStart w:id="159" w:name="_Toc144718432"/>
      <w:bookmarkStart w:id="160" w:name="_Toc144809128"/>
      <w:bookmarkStart w:id="161" w:name="_Toc144880960"/>
      <w:bookmarkStart w:id="162" w:name="_Toc145135856"/>
      <w:bookmarkStart w:id="163" w:name="_Toc145240287"/>
      <w:bookmarkStart w:id="164" w:name="_Toc145328472"/>
      <w:bookmarkStart w:id="165" w:name="_Toc145392228"/>
      <w:bookmarkStart w:id="166" w:name="_Toc145392862"/>
      <w:bookmarkStart w:id="167" w:name="_Toc145468594"/>
      <w:bookmarkStart w:id="168" w:name="_Toc145826921"/>
      <w:bookmarkStart w:id="169" w:name="_Toc145827068"/>
      <w:bookmarkStart w:id="170" w:name="_Toc145827192"/>
      <w:bookmarkStart w:id="171" w:name="_Toc145830354"/>
      <w:bookmarkStart w:id="172" w:name="_Toc145830463"/>
      <w:bookmarkStart w:id="173" w:name="_Toc145830907"/>
      <w:bookmarkStart w:id="174" w:name="_Toc145831466"/>
      <w:bookmarkStart w:id="175" w:name="_Toc145839530"/>
      <w:bookmarkStart w:id="176" w:name="_Toc145839623"/>
      <w:bookmarkStart w:id="177" w:name="_Toc145842596"/>
      <w:bookmarkStart w:id="178" w:name="_Toc145843128"/>
      <w:bookmarkStart w:id="179" w:name="_Toc145843415"/>
      <w:bookmarkStart w:id="180" w:name="_Toc145909021"/>
      <w:bookmarkStart w:id="181" w:name="_Toc145909712"/>
      <w:bookmarkStart w:id="182" w:name="_Toc145999308"/>
      <w:bookmarkStart w:id="183" w:name="_Toc146351928"/>
      <w:bookmarkStart w:id="184" w:name="_Toc146353086"/>
      <w:bookmarkStart w:id="185" w:name="_Toc146353200"/>
      <w:bookmarkStart w:id="186" w:name="_Toc146353546"/>
      <w:bookmarkStart w:id="187" w:name="_Toc146354020"/>
      <w:bookmarkStart w:id="188" w:name="_Toc146354566"/>
      <w:bookmarkStart w:id="189" w:name="_Toc146432512"/>
      <w:bookmarkStart w:id="190" w:name="_Toc146449868"/>
      <w:bookmarkStart w:id="191" w:name="_Toc146968861"/>
      <w:bookmarkStart w:id="192" w:name="_Toc147055843"/>
      <w:bookmarkStart w:id="193" w:name="_Toc147141282"/>
      <w:bookmarkStart w:id="194" w:name="_Toc147311375"/>
      <w:bookmarkStart w:id="195" w:name="_Toc147655477"/>
      <w:bookmarkStart w:id="196" w:name="_Toc147657708"/>
      <w:bookmarkStart w:id="197" w:name="_Toc147746203"/>
      <w:bookmarkStart w:id="198" w:name="_Toc148264671"/>
      <w:bookmarkStart w:id="199" w:name="_Toc148437894"/>
      <w:bookmarkStart w:id="200" w:name="_Toc148502680"/>
      <w:bookmarkStart w:id="201" w:name="_Toc148512888"/>
      <w:bookmarkStart w:id="202" w:name="_Toc148516499"/>
      <w:bookmarkStart w:id="203" w:name="_Toc150917009"/>
      <w:bookmarkStart w:id="204" w:name="_Toc150926118"/>
      <w:bookmarkStart w:id="205" w:name="_Toc150926620"/>
      <w:bookmarkStart w:id="206" w:name="_Toc150931275"/>
      <w:bookmarkStart w:id="207" w:name="_Toc150933894"/>
      <w:bookmarkStart w:id="208" w:name="_Toc151182282"/>
      <w:bookmarkStart w:id="209" w:name="_Toc151182401"/>
      <w:bookmarkStart w:id="210" w:name="_Toc151182495"/>
      <w:bookmarkStart w:id="211" w:name="_Toc151182589"/>
      <w:bookmarkStart w:id="212" w:name="_Toc151182884"/>
      <w:bookmarkStart w:id="213" w:name="_Toc151516941"/>
      <w:bookmarkStart w:id="214" w:name="_Toc153939239"/>
      <w:bookmarkStart w:id="215" w:name="_Toc153942056"/>
      <w:bookmarkStart w:id="216" w:name="_Toc153942150"/>
      <w:bookmarkStart w:id="217" w:name="_Toc156361746"/>
      <w:bookmarkStart w:id="218" w:name="_Toc156369083"/>
      <w:bookmarkStart w:id="219" w:name="_Toc156379956"/>
      <w:bookmarkStart w:id="220" w:name="_Toc156380655"/>
      <w:bookmarkStart w:id="221" w:name="_Toc156617824"/>
      <w:bookmarkStart w:id="222" w:name="_Toc156617937"/>
      <w:bookmarkStart w:id="223" w:name="_Toc160958652"/>
      <w:bookmarkStart w:id="224" w:name="_Toc160961551"/>
      <w:bookmarkStart w:id="225" w:name="_Toc144527159"/>
      <w:bookmarkStart w:id="226" w:name="_Toc144529127"/>
      <w:bookmarkStart w:id="227" w:name="_Toc144529702"/>
      <w:bookmarkStart w:id="228" w:name="_Toc144538015"/>
      <w:bookmarkEnd w:id="149"/>
      <w:bookmarkEnd w:id="150"/>
      <w:bookmarkEnd w:id="151"/>
      <w:bookmarkEnd w:id="152"/>
      <w:r>
        <w:t xml:space="preserve">Division 1 — The </w:t>
      </w:r>
      <w:r>
        <w:rPr>
          <w:i/>
          <w:iCs/>
        </w:rPr>
        <w:t>Debits Tax Act 2002</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zHeading5"/>
      </w:pPr>
      <w:bookmarkStart w:id="229" w:name="_Toc144529703"/>
      <w:bookmarkStart w:id="230" w:name="_Toc156617938"/>
      <w:bookmarkEnd w:id="225"/>
      <w:bookmarkEnd w:id="226"/>
      <w:bookmarkEnd w:id="227"/>
      <w:bookmarkEnd w:id="228"/>
      <w:r>
        <w:t>6.</w:t>
      </w:r>
      <w:r>
        <w:tab/>
        <w:t xml:space="preserve">Modification of the </w:t>
      </w:r>
      <w:r>
        <w:rPr>
          <w:i/>
          <w:iCs/>
        </w:rPr>
        <w:t>Debits Tax Act 2002</w:t>
      </w:r>
      <w:bookmarkEnd w:id="229"/>
      <w:bookmarkEnd w:id="230"/>
    </w:p>
    <w:p>
      <w:pPr>
        <w:pStyle w:val="nzSubsection"/>
      </w:pPr>
      <w:r>
        <w:tab/>
      </w:r>
      <w:r>
        <w:tab/>
        <w:t xml:space="preserve">This Division sets out modifications of the </w:t>
      </w:r>
      <w:r>
        <w:rPr>
          <w:i/>
          <w:iCs/>
        </w:rPr>
        <w:t>Debits Tax Act 2002</w:t>
      </w:r>
      <w:r>
        <w:t xml:space="preserve"> in its application as a law of Western Australia.</w:t>
      </w:r>
    </w:p>
    <w:p>
      <w:pPr>
        <w:pStyle w:val="nzHeading5"/>
      </w:pPr>
      <w:bookmarkStart w:id="231" w:name="_Toc144529704"/>
      <w:bookmarkStart w:id="232" w:name="_Toc156617939"/>
      <w:r>
        <w:t>7.</w:t>
      </w:r>
      <w:r>
        <w:tab/>
        <w:t>Section 4A inserted</w:t>
      </w:r>
      <w:bookmarkEnd w:id="231"/>
      <w:bookmarkEnd w:id="232"/>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1701"/>
        </w:tabs>
        <w:ind w:left="1701" w:hanging="1134"/>
        <w:jc w:val="left"/>
        <w:rPr>
          <w:b/>
        </w:rPr>
      </w:pPr>
      <w:bookmarkStart w:id="233" w:name="_Toc144529705"/>
      <w:bookmarkStart w:id="234" w:name="_Toc156617940"/>
      <w:r>
        <w:rPr>
          <w:b/>
        </w:rPr>
        <w:tab/>
        <w:t>4A.</w:t>
      </w:r>
      <w:r>
        <w:rPr>
          <w:b/>
        </w:rPr>
        <w:tab/>
        <w:t>Application of Act in non</w:t>
      </w:r>
      <w:r>
        <w:rPr>
          <w:b/>
        </w:rPr>
        <w:noBreakHyphen/>
        <w:t>Commonwealth places</w:t>
      </w:r>
      <w:bookmarkEnd w:id="233"/>
      <w:bookmarkEnd w:id="234"/>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w:t>
      </w:r>
      <w:r>
        <w:rPr>
          <w:i/>
          <w:iCs/>
        </w:rPr>
        <w:t>Debits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Debits Tax Act as a single body of law.</w:t>
      </w:r>
    </w:p>
    <w:p>
      <w:pPr>
        <w:pStyle w:val="MiscClose"/>
        <w:ind w:right="575"/>
      </w:pPr>
      <w:r>
        <w:t>”.</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2 Div. 1 of that notice read as follows:</w:t>
      </w:r>
    </w:p>
    <w:p>
      <w:pPr>
        <w:pStyle w:val="MiscOpen"/>
      </w:pPr>
      <w:r>
        <w:t>“</w:t>
      </w:r>
    </w:p>
    <w:p>
      <w:pPr>
        <w:pStyle w:val="nzHeading5"/>
      </w:pPr>
      <w:bookmarkStart w:id="235" w:name="_Toc156621577"/>
      <w:bookmarkStart w:id="236" w:name="_Toc161561296"/>
      <w:bookmarkStart w:id="237" w:name="_Toc31794758"/>
      <w:bookmarkStart w:id="238" w:name="_Toc156621581"/>
      <w:bookmarkStart w:id="239" w:name="_Toc161561300"/>
      <w:r>
        <w:rPr>
          <w:rStyle w:val="CharSectno"/>
        </w:rPr>
        <w:t>1</w:t>
      </w:r>
      <w:r>
        <w:t>.</w:t>
      </w:r>
      <w:r>
        <w:tab/>
        <w:t>Citation</w:t>
      </w:r>
      <w:bookmarkEnd w:id="235"/>
      <w:bookmarkEnd w:id="23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40" w:name="_Toc156621578"/>
      <w:bookmarkStart w:id="241" w:name="_Toc161561297"/>
      <w:r>
        <w:rPr>
          <w:rStyle w:val="CharSectno"/>
        </w:rPr>
        <w:t>2</w:t>
      </w:r>
      <w:r>
        <w:rPr>
          <w:spacing w:val="-2"/>
        </w:rPr>
        <w:t>.</w:t>
      </w:r>
      <w:r>
        <w:rPr>
          <w:spacing w:val="-2"/>
        </w:rPr>
        <w:tab/>
        <w:t>Commencement</w:t>
      </w:r>
      <w:bookmarkEnd w:id="240"/>
      <w:bookmarkEnd w:id="24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42" w:name="_Toc156621579"/>
      <w:bookmarkStart w:id="243" w:name="_Toc161561298"/>
      <w:r>
        <w:rPr>
          <w:rStyle w:val="CharSectno"/>
        </w:rPr>
        <w:t>3</w:t>
      </w:r>
      <w:r>
        <w:t>.</w:t>
      </w:r>
      <w:r>
        <w:tab/>
        <w:t>When certain modifications have effect</w:t>
      </w:r>
      <w:bookmarkEnd w:id="242"/>
      <w:bookmarkEnd w:id="24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rPr>
          <w:ins w:id="244" w:author="svcMRProcess" w:date="2015-11-16T16:50:00Z"/>
        </w:rPr>
      </w:pPr>
      <w:ins w:id="245" w:author="svcMRProcess" w:date="2015-11-16T16:50:00Z">
        <w:r>
          <w:tab/>
        </w:r>
      </w:ins>
      <w:r>
        <w:t>Note:</w:t>
      </w:r>
    </w:p>
    <w:p>
      <w:pPr>
        <w:pStyle w:val="nzSectAltNote"/>
      </w:pPr>
      <w:ins w:id="246" w:author="svcMRProcess" w:date="2015-11-16T16:50:00Z">
        <w:r>
          <w:tab/>
        </w:r>
      </w:ins>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47" w:name="_Toc31794757"/>
      <w:bookmarkStart w:id="248" w:name="_Toc156621580"/>
      <w:bookmarkStart w:id="249" w:name="_Toc161561299"/>
      <w:r>
        <w:rPr>
          <w:rStyle w:val="CharSectno"/>
        </w:rPr>
        <w:t>4</w:t>
      </w:r>
      <w:r>
        <w:t>.</w:t>
      </w:r>
      <w:r>
        <w:tab/>
        <w:t>Definitions</w:t>
      </w:r>
      <w:bookmarkEnd w:id="247"/>
      <w:bookmarkEnd w:id="248"/>
      <w:bookmarkEnd w:id="249"/>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37"/>
      <w:bookmarkEnd w:id="238"/>
      <w:bookmarkEnd w:id="23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250" w:name="_Toc144705772"/>
      <w:bookmarkStart w:id="251" w:name="_Toc144706639"/>
      <w:bookmarkStart w:id="252" w:name="_Toc144707062"/>
      <w:bookmarkStart w:id="253" w:name="_Toc144718517"/>
      <w:bookmarkStart w:id="254" w:name="_Toc144809028"/>
      <w:bookmarkStart w:id="255" w:name="_Toc144880860"/>
      <w:bookmarkStart w:id="256" w:name="_Toc145136018"/>
      <w:bookmarkStart w:id="257" w:name="_Toc145240372"/>
      <w:bookmarkStart w:id="258" w:name="_Toc145319338"/>
      <w:bookmarkStart w:id="259" w:name="_Toc145328374"/>
      <w:bookmarkStart w:id="260" w:name="_Toc145392313"/>
      <w:bookmarkStart w:id="261" w:name="_Toc145392763"/>
      <w:bookmarkStart w:id="262" w:name="_Toc145468679"/>
      <w:bookmarkStart w:id="263" w:name="_Toc145739098"/>
      <w:bookmarkStart w:id="264" w:name="_Toc145740195"/>
      <w:bookmarkStart w:id="265" w:name="_Toc145740804"/>
      <w:bookmarkStart w:id="266" w:name="_Toc145743786"/>
      <w:bookmarkStart w:id="267" w:name="_Toc145743905"/>
      <w:bookmarkStart w:id="268" w:name="_Toc145744353"/>
      <w:bookmarkStart w:id="269" w:name="_Toc145752405"/>
      <w:bookmarkStart w:id="270" w:name="_Toc145754425"/>
      <w:bookmarkStart w:id="271" w:name="_Toc145754566"/>
      <w:bookmarkStart w:id="272" w:name="_Toc145754665"/>
      <w:bookmarkStart w:id="273" w:name="_Toc145756009"/>
      <w:bookmarkStart w:id="274" w:name="_Toc145757566"/>
      <w:bookmarkStart w:id="275" w:name="_Toc145814082"/>
      <w:bookmarkStart w:id="276" w:name="_Toc145815395"/>
      <w:bookmarkStart w:id="277" w:name="_Toc145819841"/>
      <w:bookmarkStart w:id="278" w:name="_Toc145822109"/>
      <w:bookmarkStart w:id="279" w:name="_Toc145822674"/>
      <w:bookmarkStart w:id="280" w:name="_Toc145823453"/>
      <w:bookmarkStart w:id="281" w:name="_Toc145823616"/>
      <w:bookmarkStart w:id="282" w:name="_Toc145823737"/>
      <w:bookmarkStart w:id="283" w:name="_Toc145824318"/>
      <w:bookmarkStart w:id="284" w:name="_Toc145999452"/>
      <w:bookmarkStart w:id="285" w:name="_Toc146017369"/>
      <w:bookmarkStart w:id="286" w:name="_Toc146017468"/>
      <w:bookmarkStart w:id="287" w:name="_Toc146017567"/>
      <w:bookmarkStart w:id="288" w:name="_Toc146017666"/>
      <w:bookmarkStart w:id="289" w:name="_Toc146345948"/>
      <w:bookmarkStart w:id="290" w:name="_Toc147055930"/>
      <w:bookmarkStart w:id="291" w:name="_Toc147311276"/>
      <w:bookmarkStart w:id="292" w:name="_Toc147746104"/>
      <w:bookmarkStart w:id="293" w:name="_Toc148257794"/>
      <w:bookmarkStart w:id="294" w:name="_Toc148259133"/>
      <w:bookmarkStart w:id="295" w:name="_Toc148264564"/>
      <w:bookmarkStart w:id="296" w:name="_Toc148437788"/>
      <w:bookmarkStart w:id="297" w:name="_Toc148502773"/>
      <w:bookmarkStart w:id="298" w:name="_Toc148512782"/>
      <w:bookmarkStart w:id="299" w:name="_Toc148516393"/>
      <w:bookmarkStart w:id="300" w:name="_Toc150655905"/>
      <w:bookmarkStart w:id="301" w:name="_Toc150656424"/>
      <w:bookmarkStart w:id="302" w:name="_Toc150761735"/>
      <w:bookmarkStart w:id="303" w:name="_Toc150931395"/>
      <w:bookmarkStart w:id="304" w:name="_Toc150931575"/>
      <w:bookmarkStart w:id="305" w:name="_Toc151193096"/>
      <w:bookmarkStart w:id="306" w:name="_Toc151193457"/>
      <w:bookmarkStart w:id="307" w:name="_Toc151193831"/>
      <w:bookmarkStart w:id="308" w:name="_Toc151194392"/>
      <w:bookmarkStart w:id="309" w:name="_Toc151194498"/>
      <w:bookmarkStart w:id="310" w:name="_Toc151517204"/>
      <w:bookmarkStart w:id="311" w:name="_Toc153939133"/>
      <w:bookmarkStart w:id="312" w:name="_Toc153941844"/>
      <w:bookmarkStart w:id="313" w:name="_Toc153941950"/>
      <w:bookmarkStart w:id="314" w:name="_Toc156361640"/>
      <w:bookmarkStart w:id="315" w:name="_Toc156368290"/>
      <w:bookmarkStart w:id="316" w:name="_Toc156369177"/>
      <w:bookmarkStart w:id="317" w:name="_Toc156380549"/>
      <w:bookmarkStart w:id="318" w:name="_Toc156619084"/>
      <w:bookmarkStart w:id="319" w:name="_Toc156619190"/>
      <w:bookmarkStart w:id="320" w:name="_Toc156619296"/>
      <w:bookmarkStart w:id="321" w:name="_Toc156621583"/>
      <w:bookmarkStart w:id="322" w:name="_Toc161561302"/>
      <w:bookmarkStart w:id="323" w:name="_Toc144284678"/>
      <w:bookmarkStart w:id="324" w:name="_Toc144290520"/>
      <w:bookmarkStart w:id="325" w:name="_Toc144290725"/>
      <w:bookmarkStart w:id="326" w:name="_Toc144527082"/>
      <w:bookmarkStart w:id="327" w:name="_Toc144529619"/>
      <w:bookmarkStart w:id="328" w:name="_Toc144529660"/>
      <w:bookmarkStart w:id="329" w:name="_Toc144538192"/>
      <w:bookmarkStart w:id="330" w:name="_Toc144548630"/>
      <w:bookmarkStart w:id="331" w:name="_Toc144705181"/>
      <w:r>
        <w:rPr>
          <w:rStyle w:val="CharPartNo"/>
        </w:rPr>
        <w:t>Part 2</w:t>
      </w:r>
      <w:r>
        <w:t> — </w:t>
      </w:r>
      <w:r>
        <w:rPr>
          <w:rStyle w:val="CharPartText"/>
        </w:rPr>
        <w:t>Debits tax</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nzHeading3"/>
      </w:pPr>
      <w:bookmarkStart w:id="332" w:name="_Toc144284679"/>
      <w:bookmarkStart w:id="333" w:name="_Toc144290521"/>
      <w:bookmarkStart w:id="334" w:name="_Toc144290726"/>
      <w:bookmarkStart w:id="335" w:name="_Toc144527083"/>
      <w:bookmarkStart w:id="336" w:name="_Toc144529620"/>
      <w:bookmarkStart w:id="337" w:name="_Toc144529661"/>
      <w:bookmarkStart w:id="338" w:name="_Toc144538193"/>
      <w:bookmarkStart w:id="339" w:name="_Toc144548631"/>
      <w:bookmarkStart w:id="340" w:name="_Toc144705182"/>
      <w:bookmarkStart w:id="341" w:name="_Toc144705773"/>
      <w:bookmarkStart w:id="342" w:name="_Toc144706640"/>
      <w:bookmarkStart w:id="343" w:name="_Toc144707063"/>
      <w:bookmarkStart w:id="344" w:name="_Toc144718518"/>
      <w:bookmarkStart w:id="345" w:name="_Toc144809029"/>
      <w:bookmarkStart w:id="346" w:name="_Toc144880861"/>
      <w:bookmarkStart w:id="347" w:name="_Toc145136019"/>
      <w:bookmarkStart w:id="348" w:name="_Toc145240373"/>
      <w:bookmarkStart w:id="349" w:name="_Toc145319339"/>
      <w:bookmarkStart w:id="350" w:name="_Toc145328375"/>
      <w:bookmarkStart w:id="351" w:name="_Toc145392314"/>
      <w:bookmarkStart w:id="352" w:name="_Toc145392764"/>
      <w:bookmarkStart w:id="353" w:name="_Toc145468680"/>
      <w:bookmarkStart w:id="354" w:name="_Toc145739099"/>
      <w:bookmarkStart w:id="355" w:name="_Toc145740196"/>
      <w:bookmarkStart w:id="356" w:name="_Toc145740805"/>
      <w:bookmarkStart w:id="357" w:name="_Toc145743787"/>
      <w:bookmarkStart w:id="358" w:name="_Toc145743906"/>
      <w:bookmarkStart w:id="359" w:name="_Toc145744354"/>
      <w:bookmarkStart w:id="360" w:name="_Toc145752406"/>
      <w:bookmarkStart w:id="361" w:name="_Toc145754426"/>
      <w:bookmarkStart w:id="362" w:name="_Toc145754567"/>
      <w:bookmarkStart w:id="363" w:name="_Toc145754666"/>
      <w:bookmarkStart w:id="364" w:name="_Toc145756010"/>
      <w:bookmarkStart w:id="365" w:name="_Toc145757567"/>
      <w:bookmarkStart w:id="366" w:name="_Toc145814083"/>
      <w:bookmarkStart w:id="367" w:name="_Toc145815396"/>
      <w:bookmarkStart w:id="368" w:name="_Toc145819842"/>
      <w:bookmarkStart w:id="369" w:name="_Toc145822110"/>
      <w:bookmarkStart w:id="370" w:name="_Toc145822675"/>
      <w:bookmarkStart w:id="371" w:name="_Toc145823454"/>
      <w:bookmarkStart w:id="372" w:name="_Toc145823617"/>
      <w:bookmarkStart w:id="373" w:name="_Toc145823738"/>
      <w:bookmarkStart w:id="374" w:name="_Toc145824319"/>
      <w:bookmarkStart w:id="375" w:name="_Toc145999453"/>
      <w:bookmarkStart w:id="376" w:name="_Toc146017370"/>
      <w:bookmarkStart w:id="377" w:name="_Toc146017469"/>
      <w:bookmarkStart w:id="378" w:name="_Toc146017568"/>
      <w:bookmarkStart w:id="379" w:name="_Toc146017667"/>
      <w:bookmarkStart w:id="380" w:name="_Toc146345949"/>
      <w:bookmarkStart w:id="381" w:name="_Toc147055931"/>
      <w:bookmarkStart w:id="382" w:name="_Toc147311277"/>
      <w:bookmarkStart w:id="383" w:name="_Toc147746105"/>
      <w:bookmarkStart w:id="384" w:name="_Toc148257795"/>
      <w:bookmarkStart w:id="385" w:name="_Toc148259134"/>
      <w:bookmarkStart w:id="386" w:name="_Toc148264565"/>
      <w:bookmarkStart w:id="387" w:name="_Toc148437789"/>
      <w:bookmarkStart w:id="388" w:name="_Toc148502774"/>
      <w:bookmarkStart w:id="389" w:name="_Toc148512783"/>
      <w:bookmarkStart w:id="390" w:name="_Toc148516394"/>
      <w:bookmarkStart w:id="391" w:name="_Toc150655906"/>
      <w:bookmarkStart w:id="392" w:name="_Toc150656425"/>
      <w:bookmarkStart w:id="393" w:name="_Toc150761736"/>
      <w:bookmarkStart w:id="394" w:name="_Toc150931396"/>
      <w:bookmarkStart w:id="395" w:name="_Toc150931576"/>
      <w:bookmarkStart w:id="396" w:name="_Toc151193097"/>
      <w:bookmarkStart w:id="397" w:name="_Toc151193458"/>
      <w:bookmarkStart w:id="398" w:name="_Toc151193832"/>
      <w:bookmarkStart w:id="399" w:name="_Toc151194393"/>
      <w:bookmarkStart w:id="400" w:name="_Toc151194499"/>
      <w:bookmarkStart w:id="401" w:name="_Toc151517205"/>
      <w:bookmarkStart w:id="402" w:name="_Toc153939134"/>
      <w:bookmarkStart w:id="403" w:name="_Toc153941845"/>
      <w:bookmarkStart w:id="404" w:name="_Toc153941951"/>
      <w:bookmarkStart w:id="405" w:name="_Toc156361641"/>
      <w:bookmarkStart w:id="406" w:name="_Toc156368291"/>
      <w:bookmarkStart w:id="407" w:name="_Toc156369178"/>
      <w:bookmarkStart w:id="408" w:name="_Toc156380550"/>
      <w:bookmarkStart w:id="409" w:name="_Toc156619085"/>
      <w:bookmarkStart w:id="410" w:name="_Toc156619191"/>
      <w:bookmarkStart w:id="411" w:name="_Toc156619297"/>
      <w:bookmarkStart w:id="412" w:name="_Toc156621584"/>
      <w:bookmarkStart w:id="413" w:name="_Toc161561303"/>
      <w:bookmarkEnd w:id="323"/>
      <w:bookmarkEnd w:id="324"/>
      <w:bookmarkEnd w:id="325"/>
      <w:bookmarkEnd w:id="326"/>
      <w:bookmarkEnd w:id="327"/>
      <w:bookmarkEnd w:id="328"/>
      <w:bookmarkEnd w:id="329"/>
      <w:bookmarkEnd w:id="330"/>
      <w:bookmarkEnd w:id="331"/>
      <w:r>
        <w:rPr>
          <w:rStyle w:val="CharDivNo"/>
        </w:rPr>
        <w:t>Division 1</w:t>
      </w:r>
      <w:r>
        <w:t> — </w:t>
      </w:r>
      <w:r>
        <w:rPr>
          <w:rStyle w:val="CharDivText"/>
        </w:rPr>
        <w:t xml:space="preserve">The applied </w:t>
      </w:r>
      <w:r>
        <w:rPr>
          <w:rStyle w:val="CharDivText"/>
          <w:i/>
          <w:iCs/>
        </w:rPr>
        <w:t>Debits Tax Act 2002</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nzHeading5"/>
      </w:pPr>
      <w:bookmarkStart w:id="414" w:name="_Toc144529662"/>
      <w:bookmarkStart w:id="415" w:name="_Toc156621585"/>
      <w:bookmarkStart w:id="416" w:name="_Toc161561304"/>
      <w:r>
        <w:rPr>
          <w:rStyle w:val="CharSectno"/>
        </w:rPr>
        <w:t>7</w:t>
      </w:r>
      <w:r>
        <w:t>.</w:t>
      </w:r>
      <w:r>
        <w:tab/>
        <w:t xml:space="preserve">Modification of the applied </w:t>
      </w:r>
      <w:r>
        <w:rPr>
          <w:i/>
          <w:iCs/>
        </w:rPr>
        <w:t>Debits Tax Act 2002</w:t>
      </w:r>
      <w:bookmarkEnd w:id="414"/>
      <w:bookmarkEnd w:id="415"/>
      <w:bookmarkEnd w:id="416"/>
    </w:p>
    <w:p>
      <w:pPr>
        <w:pStyle w:val="nzSubsection"/>
      </w:pPr>
      <w:r>
        <w:tab/>
      </w:r>
      <w:r>
        <w:tab/>
        <w:t xml:space="preserve">This Division sets out modifications of the </w:t>
      </w:r>
      <w:r>
        <w:rPr>
          <w:i/>
        </w:rPr>
        <w:t>Debits Tax Act 2002</w:t>
      </w:r>
      <w:r>
        <w:t xml:space="preserve"> of Western Australia in its application as a law of the Commonwealth in or in relation to Commonwealth places in Western Australia.</w:t>
      </w:r>
    </w:p>
    <w:p>
      <w:pPr>
        <w:pStyle w:val="nzHeading5"/>
      </w:pPr>
      <w:bookmarkStart w:id="417" w:name="_Toc144529663"/>
      <w:bookmarkStart w:id="418" w:name="_Toc156621586"/>
      <w:bookmarkStart w:id="419" w:name="_Toc161561305"/>
      <w:r>
        <w:rPr>
          <w:rStyle w:val="CharSectno"/>
        </w:rPr>
        <w:t>8</w:t>
      </w:r>
      <w:r>
        <w:t>.</w:t>
      </w:r>
      <w:r>
        <w:tab/>
        <w:t>Section 4A inserted</w:t>
      </w:r>
      <w:bookmarkEnd w:id="417"/>
      <w:bookmarkEnd w:id="418"/>
      <w:bookmarkEnd w:id="419"/>
    </w:p>
    <w:p>
      <w:pPr>
        <w:pStyle w:val="nzSubsection"/>
      </w:pPr>
      <w:r>
        <w:tab/>
      </w:r>
      <w:r>
        <w:tab/>
        <w:t xml:space="preserve">After section 4 the following section is inserted — </w:t>
      </w:r>
    </w:p>
    <w:p>
      <w:pPr>
        <w:pStyle w:val="MiscOpen"/>
        <w:spacing w:before="80"/>
      </w:pPr>
      <w:r>
        <w:t xml:space="preserve">“    </w:t>
      </w:r>
    </w:p>
    <w:p>
      <w:pPr>
        <w:pStyle w:val="nzHeading5"/>
      </w:pPr>
      <w:bookmarkStart w:id="420" w:name="_Toc144529664"/>
      <w:bookmarkStart w:id="421" w:name="_Toc156621587"/>
      <w:bookmarkStart w:id="422" w:name="_Toc161561306"/>
      <w:r>
        <w:t>4A.</w:t>
      </w:r>
      <w:r>
        <w:tab/>
        <w:t>Application of Act in Commonwealth places</w:t>
      </w:r>
      <w:bookmarkEnd w:id="420"/>
      <w:bookmarkEnd w:id="421"/>
      <w:bookmarkEnd w:id="422"/>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pPr>
        <w:pStyle w:val="nzIndenta"/>
        <w:rPr>
          <w:iCs/>
        </w:rPr>
      </w:pPr>
      <w:r>
        <w:tab/>
        <w:t>(b)</w:t>
      </w:r>
      <w:r>
        <w:tab/>
        <w:t xml:space="preserve">a reference to the </w:t>
      </w:r>
      <w:r>
        <w:rPr>
          <w:i/>
        </w:rPr>
        <w:t>Debits Tax Assessment Act 2002</w:t>
      </w:r>
      <w:r>
        <w:t xml:space="preserve"> is to be read as a reference to </w:t>
      </w:r>
      <w:r>
        <w:rPr>
          <w:spacing w:val="-4"/>
        </w:rPr>
        <w:t xml:space="preserve">the </w:t>
      </w:r>
      <w:r>
        <w:rPr>
          <w:i/>
        </w:rPr>
        <w:t>Debits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pPr>
        <w:pStyle w:val="nzSubsection"/>
      </w:pPr>
      <w:r>
        <w:tab/>
        <w:t>(2)</w:t>
      </w:r>
      <w:r>
        <w:tab/>
        <w:t>This Act is to be read with the corresponding Debits Tax Act as a single body of law.</w:t>
      </w:r>
    </w:p>
    <w:p>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Debits Tax Act is as nearly as possible the same as the taxpayer’s liability would be under the corresponding Debits Tax Act alone if the Commonwealth places in Western Australia were not Commonwealth places.</w:t>
      </w:r>
    </w:p>
    <w:p>
      <w:pPr>
        <w:pStyle w:val="MiscClose"/>
      </w:pPr>
      <w:r>
        <w:t xml:space="preserve">    ”.</w:t>
      </w:r>
    </w:p>
    <w:p>
      <w:pPr>
        <w:pStyle w:val="MiscClose"/>
      </w:pPr>
      <w:r>
        <w:t>”.</w:t>
      </w:r>
    </w:p>
    <w:p>
      <w:bookmarkStart w:id="423" w:name="UpToHere"/>
      <w:bookmarkEnd w:id="423"/>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5" w:name="Coversheet"/>
    <w:bookmarkEnd w:id="4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Debits Tax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Debits Tax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C6E7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CAA2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0C09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DCD2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1888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DA83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E00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8C11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5E9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F8627B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06D6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4038"/>
    <w:docVar w:name="WAFER_20140122142546" w:val="RemoveTocBookmarks,RemoveUnusedBookmarks,RemoveLanguageTags,UsedStyles,ResetPageSize,UpdateArrangement"/>
    <w:docVar w:name="WAFER_20140122142546_GUID" w:val="d646221c-96da-4e2f-a21b-f172831e025c"/>
    <w:docVar w:name="WAFER_20140122142946" w:val="RemoveTocBookmarks,RunningHeaders"/>
    <w:docVar w:name="WAFER_20140122142946_GUID" w:val="c8fe835a-68f9-4d35-acd8-1d6e7b675110"/>
    <w:docVar w:name="WAFER_20150724134228" w:val="ResetPageSize,UpdateArrangement,UpdateNTable"/>
    <w:docVar w:name="WAFER_20150724134228_GUID" w:val="4180d34f-621c-4325-96dc-e0249f2ec85a"/>
    <w:docVar w:name="WAFER_20151116162733" w:val="UpdateStyles"/>
    <w:docVar w:name="WAFER_20151116162733_GUID" w:val="a3a7d3af-38dc-43d8-918c-6cb11609002c"/>
    <w:docVar w:name="WAFER_20151116164038" w:val="UsedStyles"/>
    <w:docVar w:name="WAFER_20151116164038_GUID" w:val="0f57db08-5ec9-4fa9-a5b1-03f96e4a28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9303</Characters>
  <Application>Microsoft Office Word</Application>
  <DocSecurity>0</DocSecurity>
  <Lines>258</Lines>
  <Paragraphs>149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11095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Act 2002 00-b0-06 - 00-c0-04</dc:title>
  <dc:subject/>
  <dc:creator/>
  <cp:keywords/>
  <dc:description/>
  <cp:lastModifiedBy>svcMRProcess</cp:lastModifiedBy>
  <cp:revision>2</cp:revision>
  <cp:lastPrinted>2003-06-28T03:39:00Z</cp:lastPrinted>
  <dcterms:created xsi:type="dcterms:W3CDTF">2015-11-16T08:50:00Z</dcterms:created>
  <dcterms:modified xsi:type="dcterms:W3CDTF">2015-11-16T08:50:00Z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2002</vt:lpwstr>
  </property>
  <property fmtid="{D5CDD505-2E9C-101B-9397-08002B2CF9AE}" pid="3" name="CommencementDate">
    <vt:lpwstr>20100626</vt:lpwstr>
  </property>
  <property fmtid="{D5CDD505-2E9C-101B-9397-08002B2CF9AE}" pid="4" name="DocumentType">
    <vt:lpwstr>Act</vt:lpwstr>
  </property>
  <property fmtid="{D5CDD505-2E9C-101B-9397-08002B2CF9AE}" pid="5" name="OwlsUID">
    <vt:i4>6337</vt:i4>
  </property>
  <property fmtid="{D5CDD505-2E9C-101B-9397-08002B2CF9AE}" pid="6" name="Status">
    <vt:lpwstr>NIF</vt:lpwstr>
  </property>
  <property fmtid="{D5CDD505-2E9C-101B-9397-08002B2CF9AE}" pid="7" name="FromSuffix">
    <vt:lpwstr>00-b0-06</vt:lpwstr>
  </property>
  <property fmtid="{D5CDD505-2E9C-101B-9397-08002B2CF9AE}" pid="8" name="FromAsAtDate">
    <vt:lpwstr>05 Feb 2007</vt:lpwstr>
  </property>
  <property fmtid="{D5CDD505-2E9C-101B-9397-08002B2CF9AE}" pid="9" name="ToSuffix">
    <vt:lpwstr>00-c0-04</vt:lpwstr>
  </property>
  <property fmtid="{D5CDD505-2E9C-101B-9397-08002B2CF9AE}" pid="10" name="ToAsAtDate">
    <vt:lpwstr>26 Jun 2010</vt:lpwstr>
  </property>
</Properties>
</file>