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Mar 2010</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5T03:48:00Z"/>
        </w:trPr>
        <w:tc>
          <w:tcPr>
            <w:tcW w:w="2434" w:type="dxa"/>
            <w:vMerge w:val="restart"/>
          </w:tcPr>
          <w:p>
            <w:pPr>
              <w:rPr>
                <w:del w:id="1" w:author="svcMRProcess" w:date="2015-12-15T03:48:00Z"/>
              </w:rPr>
            </w:pPr>
          </w:p>
        </w:tc>
        <w:tc>
          <w:tcPr>
            <w:tcW w:w="2434" w:type="dxa"/>
            <w:vMerge w:val="restart"/>
          </w:tcPr>
          <w:p>
            <w:pPr>
              <w:jc w:val="center"/>
              <w:rPr>
                <w:del w:id="2" w:author="svcMRProcess" w:date="2015-12-15T03:48:00Z"/>
              </w:rPr>
            </w:pPr>
            <w:del w:id="3" w:author="svcMRProcess" w:date="2015-12-15T03: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5T03:48:00Z"/>
              </w:rPr>
            </w:pPr>
            <w:del w:id="5" w:author="svcMRProcess" w:date="2015-12-15T03: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5T03:48:00Z"/>
        </w:trPr>
        <w:tc>
          <w:tcPr>
            <w:tcW w:w="2434" w:type="dxa"/>
            <w:vMerge/>
          </w:tcPr>
          <w:p>
            <w:pPr>
              <w:rPr>
                <w:del w:id="7" w:author="svcMRProcess" w:date="2015-12-15T03:48:00Z"/>
              </w:rPr>
            </w:pPr>
          </w:p>
        </w:tc>
        <w:tc>
          <w:tcPr>
            <w:tcW w:w="2434" w:type="dxa"/>
            <w:vMerge/>
          </w:tcPr>
          <w:p>
            <w:pPr>
              <w:jc w:val="center"/>
              <w:rPr>
                <w:del w:id="8" w:author="svcMRProcess" w:date="2015-12-15T03:48:00Z"/>
              </w:rPr>
            </w:pPr>
          </w:p>
        </w:tc>
        <w:tc>
          <w:tcPr>
            <w:tcW w:w="2434" w:type="dxa"/>
          </w:tcPr>
          <w:p>
            <w:pPr>
              <w:keepNext/>
              <w:rPr>
                <w:del w:id="9" w:author="svcMRProcess" w:date="2015-12-15T03:48:00Z"/>
                <w:b/>
                <w:sz w:val="22"/>
              </w:rPr>
            </w:pPr>
            <w:del w:id="10" w:author="svcMRProcess" w:date="2015-12-15T03:48:00Z">
              <w:r>
                <w:rPr>
                  <w:b/>
                  <w:sz w:val="22"/>
                </w:rPr>
                <w:delText>at 5</w:delText>
              </w:r>
              <w:r>
                <w:rPr>
                  <w:b/>
                  <w:snapToGrid w:val="0"/>
                  <w:sz w:val="22"/>
                </w:rPr>
                <w:delText xml:space="preserve"> March 2010</w:delText>
              </w:r>
            </w:del>
          </w:p>
        </w:tc>
      </w:tr>
    </w:tbl>
    <w:p>
      <w:pPr>
        <w:pStyle w:val="WA"/>
        <w:spacing w:before="120"/>
      </w:pPr>
      <w:r>
        <w:t>Western Australia</w:t>
      </w:r>
    </w:p>
    <w:p>
      <w:pPr>
        <w:pStyle w:val="NameofActReg"/>
      </w:pPr>
      <w:r>
        <w:t xml:space="preserve">State Trading Concerns Act 1916 </w:t>
      </w:r>
    </w:p>
    <w:p>
      <w:pPr>
        <w:pStyle w:val="LongTitle"/>
        <w:rPr>
          <w:snapToGrid w:val="0"/>
        </w:rPr>
      </w:pPr>
      <w:r>
        <w:rPr>
          <w:snapToGrid w:val="0"/>
        </w:rPr>
        <w:t>A</w:t>
      </w:r>
      <w:bookmarkStart w:id="11" w:name="_GoBack"/>
      <w:bookmarkEnd w:id="11"/>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2" w:name="_Toc512313157"/>
      <w:bookmarkStart w:id="13" w:name="_Toc512419112"/>
      <w:bookmarkStart w:id="14" w:name="_Toc66692740"/>
      <w:bookmarkStart w:id="15" w:name="_Toc125346857"/>
      <w:bookmarkStart w:id="16" w:name="_Toc265588845"/>
      <w:bookmarkStart w:id="17" w:name="_Toc252784440"/>
      <w:r>
        <w:rPr>
          <w:rStyle w:val="CharSectno"/>
        </w:rPr>
        <w:t>1</w:t>
      </w:r>
      <w:r>
        <w:t>.</w:t>
      </w:r>
      <w:r>
        <w:tab/>
        <w:t>Short title and commencement</w:t>
      </w:r>
      <w:bookmarkEnd w:id="12"/>
      <w:bookmarkEnd w:id="13"/>
      <w:bookmarkEnd w:id="14"/>
      <w:bookmarkEnd w:id="15"/>
      <w:bookmarkEnd w:id="16"/>
      <w:bookmarkEnd w:id="17"/>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18" w:name="_Toc66692742"/>
      <w:bookmarkStart w:id="19" w:name="_Toc125346859"/>
      <w:bookmarkStart w:id="20" w:name="_Toc158009377"/>
      <w:bookmarkStart w:id="21" w:name="_Toc265588846"/>
      <w:bookmarkStart w:id="22" w:name="_Toc252784441"/>
      <w:r>
        <w:rPr>
          <w:rStyle w:val="CharSectno"/>
        </w:rPr>
        <w:t>3</w:t>
      </w:r>
      <w:r>
        <w:rPr>
          <w:snapToGrid w:val="0"/>
        </w:rPr>
        <w:t>.</w:t>
      </w:r>
      <w:r>
        <w:rPr>
          <w:snapToGrid w:val="0"/>
        </w:rPr>
        <w:tab/>
        <w:t>Continuance of specified concerns authorised</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23" w:name="_Toc512313160"/>
      <w:bookmarkStart w:id="24" w:name="_Toc512419115"/>
      <w:bookmarkStart w:id="25" w:name="_Toc66692743"/>
      <w:bookmarkStart w:id="26" w:name="_Toc125346860"/>
      <w:bookmarkStart w:id="27" w:name="_Toc158009378"/>
      <w:bookmarkStart w:id="28" w:name="_Toc265588847"/>
      <w:bookmarkStart w:id="29" w:name="_Toc252784442"/>
      <w:r>
        <w:rPr>
          <w:rStyle w:val="CharSectno"/>
        </w:rPr>
        <w:t>4</w:t>
      </w:r>
      <w:r>
        <w:rPr>
          <w:snapToGrid w:val="0"/>
        </w:rPr>
        <w:t>.</w:t>
      </w:r>
      <w:r>
        <w:rPr>
          <w:snapToGrid w:val="0"/>
        </w:rPr>
        <w:tab/>
        <w:t>Application of Act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30" w:name="_Toc512313161"/>
      <w:bookmarkStart w:id="31" w:name="_Toc512419116"/>
      <w:bookmarkStart w:id="32" w:name="_Toc66692744"/>
      <w:bookmarkStart w:id="33" w:name="_Toc125346861"/>
      <w:bookmarkStart w:id="34" w:name="_Toc265588848"/>
      <w:bookmarkStart w:id="35" w:name="_Toc252784443"/>
      <w:r>
        <w:rPr>
          <w:rStyle w:val="CharSectno"/>
        </w:rPr>
        <w:t>4A</w:t>
      </w:r>
      <w:r>
        <w:rPr>
          <w:snapToGrid w:val="0"/>
        </w:rPr>
        <w:t>.</w:t>
      </w:r>
      <w:r>
        <w:rPr>
          <w:snapToGrid w:val="0"/>
        </w:rPr>
        <w:tab/>
        <w:t>Certain activities may be authorised by regulation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36" w:name="_Toc512313162"/>
      <w:bookmarkStart w:id="37" w:name="_Toc512419117"/>
      <w:bookmarkStart w:id="38" w:name="_Toc66692745"/>
      <w:bookmarkStart w:id="39" w:name="_Toc125346862"/>
      <w:bookmarkStart w:id="40" w:name="_Toc265588849"/>
      <w:bookmarkStart w:id="41" w:name="_Toc252784444"/>
      <w:r>
        <w:rPr>
          <w:rStyle w:val="CharSectno"/>
        </w:rPr>
        <w:t>4B</w:t>
      </w:r>
      <w:r>
        <w:t>.</w:t>
      </w:r>
      <w:r>
        <w:tab/>
        <w:t>Extension of statutory functions by regulation</w:t>
      </w:r>
      <w:bookmarkEnd w:id="36"/>
      <w:bookmarkEnd w:id="37"/>
      <w:bookmarkEnd w:id="38"/>
      <w:bookmarkEnd w:id="39"/>
      <w:bookmarkEnd w:id="40"/>
      <w:bookmarkEnd w:id="41"/>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rPr>
          <w:ins w:id="42" w:author="svcMRProcess" w:date="2015-12-15T03:48:00Z"/>
        </w:rPr>
      </w:pPr>
      <w:bookmarkStart w:id="43" w:name="_Toc264547384"/>
      <w:bookmarkStart w:id="44" w:name="_Toc265490702"/>
      <w:bookmarkStart w:id="45" w:name="_Toc265499845"/>
      <w:bookmarkStart w:id="46" w:name="_Toc265588850"/>
      <w:bookmarkStart w:id="47" w:name="_Toc512313163"/>
      <w:bookmarkStart w:id="48" w:name="_Toc512419118"/>
      <w:bookmarkStart w:id="49" w:name="_Toc66692746"/>
      <w:bookmarkStart w:id="50" w:name="_Toc125346863"/>
      <w:ins w:id="51" w:author="svcMRProcess" w:date="2015-12-15T03:48:00Z">
        <w:r>
          <w:rPr>
            <w:rStyle w:val="CharSectno"/>
          </w:rPr>
          <w:t>5A</w:t>
        </w:r>
        <w:r>
          <w:t>.</w:t>
        </w:r>
        <w:r>
          <w:tab/>
          <w:t>Credit card and debit card administration fee</w:t>
        </w:r>
        <w:bookmarkEnd w:id="43"/>
        <w:bookmarkEnd w:id="44"/>
        <w:bookmarkEnd w:id="45"/>
        <w:bookmarkEnd w:id="46"/>
      </w:ins>
    </w:p>
    <w:p>
      <w:pPr>
        <w:pStyle w:val="Subsection"/>
        <w:rPr>
          <w:ins w:id="52" w:author="svcMRProcess" w:date="2015-12-15T03:48:00Z"/>
        </w:rPr>
      </w:pPr>
      <w:ins w:id="53" w:author="svcMRProcess" w:date="2015-12-15T03:48:00Z">
        <w:r>
          <w:tab/>
          <w:t>(1)</w:t>
        </w:r>
        <w:r>
          <w:tab/>
          <w:t xml:space="preserve">In this section — </w:t>
        </w:r>
      </w:ins>
    </w:p>
    <w:p>
      <w:pPr>
        <w:pStyle w:val="Defstart"/>
        <w:rPr>
          <w:ins w:id="54" w:author="svcMRProcess" w:date="2015-12-15T03:48:00Z"/>
        </w:rPr>
      </w:pPr>
      <w:ins w:id="55" w:author="svcMRProcess" w:date="2015-12-15T03:48:00Z">
        <w:r>
          <w:tab/>
        </w:r>
        <w:r>
          <w:rPr>
            <w:rStyle w:val="CharDefText"/>
          </w:rPr>
          <w:t>credit card</w:t>
        </w:r>
        <w:r>
          <w:t xml:space="preserve"> means — </w:t>
        </w:r>
      </w:ins>
    </w:p>
    <w:p>
      <w:pPr>
        <w:pStyle w:val="Defpara"/>
        <w:rPr>
          <w:ins w:id="56" w:author="svcMRProcess" w:date="2015-12-15T03:48:00Z"/>
        </w:rPr>
      </w:pPr>
      <w:ins w:id="57" w:author="svcMRProcess" w:date="2015-12-15T03:48:00Z">
        <w:r>
          <w:tab/>
          <w:t>(a)</w:t>
        </w:r>
        <w:r>
          <w:tab/>
          <w:t>an article of a kind commonly known as a credit card; or</w:t>
        </w:r>
      </w:ins>
    </w:p>
    <w:p>
      <w:pPr>
        <w:pStyle w:val="Defpara"/>
        <w:rPr>
          <w:ins w:id="58" w:author="svcMRProcess" w:date="2015-12-15T03:48:00Z"/>
        </w:rPr>
      </w:pPr>
      <w:ins w:id="59" w:author="svcMRProcess" w:date="2015-12-15T03:48:00Z">
        <w:r>
          <w:tab/>
          <w:t>(b)</w:t>
        </w:r>
        <w:r>
          <w:tab/>
          <w:t>any similar article intended for use in obtaining cash, goods or services on credit;</w:t>
        </w:r>
      </w:ins>
    </w:p>
    <w:p>
      <w:pPr>
        <w:pStyle w:val="Defstart"/>
        <w:rPr>
          <w:ins w:id="60" w:author="svcMRProcess" w:date="2015-12-15T03:48:00Z"/>
        </w:rPr>
      </w:pPr>
      <w:ins w:id="61" w:author="svcMRProcess" w:date="2015-12-15T03:48:00Z">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ins>
    </w:p>
    <w:p>
      <w:pPr>
        <w:pStyle w:val="Defstart"/>
        <w:rPr>
          <w:ins w:id="62" w:author="svcMRProcess" w:date="2015-12-15T03:48:00Z"/>
        </w:rPr>
      </w:pPr>
      <w:ins w:id="63" w:author="svcMRProcess" w:date="2015-12-15T03:48:00Z">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ins>
    </w:p>
    <w:p>
      <w:pPr>
        <w:pStyle w:val="Defstart"/>
        <w:rPr>
          <w:ins w:id="64" w:author="svcMRProcess" w:date="2015-12-15T03:48:00Z"/>
        </w:rPr>
      </w:pPr>
      <w:ins w:id="65" w:author="svcMRProcess" w:date="2015-12-15T03:48:00Z">
        <w:r>
          <w:tab/>
        </w:r>
        <w:r>
          <w:rPr>
            <w:rStyle w:val="CharDefText"/>
          </w:rPr>
          <w:t>statutory corporation</w:t>
        </w:r>
        <w:r>
          <w:t xml:space="preserve"> has the meaning given in section 4B(1).</w:t>
        </w:r>
      </w:ins>
    </w:p>
    <w:p>
      <w:pPr>
        <w:pStyle w:val="Subsection"/>
        <w:rPr>
          <w:ins w:id="66" w:author="svcMRProcess" w:date="2015-12-15T03:48:00Z"/>
        </w:rPr>
      </w:pPr>
      <w:ins w:id="67" w:author="svcMRProcess" w:date="2015-12-15T03:48:00Z">
        <w:r>
          <w:tab/>
          <w:t>(2)</w:t>
        </w:r>
        <w:r>
          <w:tab/>
          <w:t>The imposition of a credit or debit card administration fee is authorised for the purposes of section 4(2).</w:t>
        </w:r>
      </w:ins>
    </w:p>
    <w:p>
      <w:pPr>
        <w:pStyle w:val="Subsection"/>
        <w:rPr>
          <w:ins w:id="68" w:author="svcMRProcess" w:date="2015-12-15T03:48:00Z"/>
        </w:rPr>
      </w:pPr>
      <w:ins w:id="69" w:author="svcMRProcess" w:date="2015-12-15T03:48:00Z">
        <w:r>
          <w:tab/>
          <w:t>(3)</w:t>
        </w:r>
        <w:r>
          <w:tab/>
          <w:t>A credit or debit card administration fee can be imposed by a statutory corporation on a person making a payment to the statutory corporation by means of a credit card or debit card.</w:t>
        </w:r>
      </w:ins>
    </w:p>
    <w:p>
      <w:pPr>
        <w:pStyle w:val="Subsection"/>
        <w:rPr>
          <w:ins w:id="70" w:author="svcMRProcess" w:date="2015-12-15T03:48:00Z"/>
        </w:rPr>
      </w:pPr>
      <w:ins w:id="71" w:author="svcMRProcess" w:date="2015-12-15T03:48:00Z">
        <w:r>
          <w:tab/>
          <w:t>(4)</w:t>
        </w:r>
        <w:r>
          <w:tab/>
          <w:t>A credit or debit card administration fee must not exceed the amount approved by the Treasurer.</w:t>
        </w:r>
      </w:ins>
    </w:p>
    <w:p>
      <w:pPr>
        <w:pStyle w:val="Subsection"/>
        <w:rPr>
          <w:ins w:id="72" w:author="svcMRProcess" w:date="2015-12-15T03:48:00Z"/>
        </w:rPr>
      </w:pPr>
      <w:ins w:id="73" w:author="svcMRProcess" w:date="2015-12-15T03:48:00Z">
        <w:r>
          <w:tab/>
          <w:t>(5)</w:t>
        </w:r>
        <w:r>
          <w:tab/>
          <w:t>Different amounts can be approved in relation to different types of credit cards or debit cards.</w:t>
        </w:r>
      </w:ins>
    </w:p>
    <w:p>
      <w:pPr>
        <w:pStyle w:val="Subsection"/>
        <w:rPr>
          <w:ins w:id="74" w:author="svcMRProcess" w:date="2015-12-15T03:48:00Z"/>
        </w:rPr>
      </w:pPr>
      <w:ins w:id="75" w:author="svcMRProcess" w:date="2015-12-15T03:48:00Z">
        <w:r>
          <w:tab/>
          <w:t>(6)</w:t>
        </w:r>
        <w:r>
          <w:tab/>
          <w:t>The amount of a credit or debit card administration fee that is determined in a manner that has been approved by the Treasurer is to be regarded as having been approved by the Treasurer.</w:t>
        </w:r>
      </w:ins>
    </w:p>
    <w:p>
      <w:pPr>
        <w:pStyle w:val="Footnotesection"/>
        <w:rPr>
          <w:ins w:id="76" w:author="svcMRProcess" w:date="2015-12-15T03:48:00Z"/>
        </w:rPr>
      </w:pPr>
      <w:ins w:id="77" w:author="svcMRProcess" w:date="2015-12-15T03:48:00Z">
        <w:r>
          <w:tab/>
          <w:t>[Section 5A inserted by No. 17 of 2010 s. 21.]</w:t>
        </w:r>
      </w:ins>
    </w:p>
    <w:p>
      <w:pPr>
        <w:pStyle w:val="Heading5"/>
        <w:rPr>
          <w:snapToGrid w:val="0"/>
        </w:rPr>
      </w:pPr>
      <w:bookmarkStart w:id="78" w:name="_Toc265588851"/>
      <w:bookmarkStart w:id="79" w:name="_Toc252784445"/>
      <w:r>
        <w:rPr>
          <w:rStyle w:val="CharSectno"/>
        </w:rPr>
        <w:t>5</w:t>
      </w:r>
      <w:r>
        <w:rPr>
          <w:snapToGrid w:val="0"/>
        </w:rPr>
        <w:t>.</w:t>
      </w:r>
      <w:r>
        <w:rPr>
          <w:snapToGrid w:val="0"/>
        </w:rPr>
        <w:tab/>
        <w:t>Funds</w:t>
      </w:r>
      <w:bookmarkEnd w:id="47"/>
      <w:bookmarkEnd w:id="48"/>
      <w:bookmarkEnd w:id="49"/>
      <w:bookmarkEnd w:id="50"/>
      <w:bookmarkEnd w:id="78"/>
      <w:bookmarkEnd w:id="79"/>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80" w:name="_Toc512313164"/>
      <w:bookmarkStart w:id="81" w:name="_Toc512419119"/>
      <w:bookmarkStart w:id="82" w:name="_Toc66692747"/>
      <w:bookmarkStart w:id="83" w:name="_Toc125346864"/>
      <w:bookmarkStart w:id="84" w:name="_Toc265588852"/>
      <w:bookmarkStart w:id="85" w:name="_Toc252784446"/>
      <w:r>
        <w:rPr>
          <w:rStyle w:val="CharSectno"/>
        </w:rPr>
        <w:t>6</w:t>
      </w:r>
      <w:r>
        <w:rPr>
          <w:snapToGrid w:val="0"/>
        </w:rPr>
        <w:t>.</w:t>
      </w:r>
      <w:r>
        <w:rPr>
          <w:snapToGrid w:val="0"/>
        </w:rPr>
        <w:tab/>
        <w:t>Administration — trading concerns to be under the control of Minister</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86" w:name="_Toc512313165"/>
      <w:bookmarkStart w:id="87" w:name="_Toc512419120"/>
      <w:bookmarkStart w:id="88" w:name="_Toc66692748"/>
      <w:bookmarkStart w:id="89" w:name="_Toc125346865"/>
      <w:bookmarkStart w:id="90" w:name="_Toc265588853"/>
      <w:bookmarkStart w:id="91" w:name="_Toc252784447"/>
      <w:r>
        <w:rPr>
          <w:rStyle w:val="CharSectno"/>
        </w:rPr>
        <w:t>7</w:t>
      </w:r>
      <w:r>
        <w:rPr>
          <w:snapToGrid w:val="0"/>
        </w:rPr>
        <w:t>.</w:t>
      </w:r>
      <w:r>
        <w:rPr>
          <w:snapToGrid w:val="0"/>
        </w:rPr>
        <w:tab/>
        <w:t>Agency special purpose account for each concern to be kept in Treasury</w:t>
      </w:r>
      <w:bookmarkEnd w:id="86"/>
      <w:bookmarkEnd w:id="87"/>
      <w:bookmarkEnd w:id="88"/>
      <w:bookmarkEnd w:id="89"/>
      <w:bookmarkEnd w:id="90"/>
      <w:bookmarkEnd w:id="91"/>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92" w:name="_Toc512313166"/>
      <w:bookmarkStart w:id="93" w:name="_Toc512419121"/>
      <w:bookmarkStart w:id="94" w:name="_Toc66692749"/>
      <w:bookmarkStart w:id="95" w:name="_Toc125346866"/>
      <w:bookmarkStart w:id="96" w:name="_Toc265588854"/>
      <w:bookmarkStart w:id="97" w:name="_Toc252784448"/>
      <w:r>
        <w:rPr>
          <w:rStyle w:val="CharSectno"/>
        </w:rPr>
        <w:t>8</w:t>
      </w:r>
      <w:r>
        <w:rPr>
          <w:snapToGrid w:val="0"/>
        </w:rPr>
        <w:t>.</w:t>
      </w:r>
      <w:r>
        <w:rPr>
          <w:snapToGrid w:val="0"/>
        </w:rPr>
        <w:tab/>
        <w:t>Contribution of interest and sinking fund</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98" w:name="_Toc512313167"/>
      <w:bookmarkStart w:id="99" w:name="_Toc512419122"/>
      <w:bookmarkStart w:id="100" w:name="_Toc66692750"/>
      <w:bookmarkStart w:id="101" w:name="_Toc125346867"/>
      <w:bookmarkStart w:id="102" w:name="_Toc265588855"/>
      <w:bookmarkStart w:id="103" w:name="_Toc252784449"/>
      <w:r>
        <w:rPr>
          <w:rStyle w:val="CharSectno"/>
        </w:rPr>
        <w:t>9</w:t>
      </w:r>
      <w:r>
        <w:rPr>
          <w:snapToGrid w:val="0"/>
        </w:rPr>
        <w:t>.</w:t>
      </w:r>
      <w:r>
        <w:rPr>
          <w:snapToGrid w:val="0"/>
        </w:rPr>
        <w:tab/>
        <w:t xml:space="preserve">Interest on capital expenditure from </w:t>
      </w:r>
      <w:bookmarkEnd w:id="98"/>
      <w:bookmarkEnd w:id="99"/>
      <w:bookmarkEnd w:id="100"/>
      <w:bookmarkEnd w:id="101"/>
      <w:r>
        <w:rPr>
          <w:snapToGrid w:val="0"/>
        </w:rPr>
        <w:t>Consolidated Account</w:t>
      </w:r>
      <w:bookmarkEnd w:id="102"/>
      <w:bookmarkEnd w:id="103"/>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104" w:name="_Toc512313168"/>
      <w:bookmarkStart w:id="105" w:name="_Toc512419123"/>
      <w:bookmarkStart w:id="106" w:name="_Toc66692751"/>
      <w:bookmarkStart w:id="107" w:name="_Toc125346868"/>
      <w:bookmarkStart w:id="108" w:name="_Toc265588856"/>
      <w:bookmarkStart w:id="109" w:name="_Toc252784450"/>
      <w:r>
        <w:rPr>
          <w:rStyle w:val="CharSectno"/>
        </w:rPr>
        <w:t>10</w:t>
      </w:r>
      <w:r>
        <w:rPr>
          <w:snapToGrid w:val="0"/>
        </w:rPr>
        <w:t>.</w:t>
      </w:r>
      <w:r>
        <w:rPr>
          <w:snapToGrid w:val="0"/>
        </w:rPr>
        <w:tab/>
        <w:t>Charges for use of property and services</w:t>
      </w:r>
      <w:bookmarkEnd w:id="104"/>
      <w:bookmarkEnd w:id="105"/>
      <w:bookmarkEnd w:id="106"/>
      <w:bookmarkEnd w:id="107"/>
      <w:bookmarkEnd w:id="108"/>
      <w:bookmarkEnd w:id="109"/>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110" w:name="_Toc512313169"/>
      <w:bookmarkStart w:id="111" w:name="_Toc512419124"/>
      <w:bookmarkStart w:id="112" w:name="_Toc66692752"/>
      <w:bookmarkStart w:id="113" w:name="_Toc125346869"/>
      <w:bookmarkStart w:id="114" w:name="_Toc265588857"/>
      <w:bookmarkStart w:id="115" w:name="_Toc252784451"/>
      <w:r>
        <w:rPr>
          <w:rStyle w:val="CharSectno"/>
        </w:rPr>
        <w:t>12</w:t>
      </w:r>
      <w:r>
        <w:rPr>
          <w:snapToGrid w:val="0"/>
        </w:rPr>
        <w:t>.</w:t>
      </w:r>
      <w:r>
        <w:rPr>
          <w:snapToGrid w:val="0"/>
        </w:rPr>
        <w:tab/>
        <w:t>Temporary investment of moneys</w:t>
      </w:r>
      <w:bookmarkEnd w:id="110"/>
      <w:bookmarkEnd w:id="111"/>
      <w:bookmarkEnd w:id="112"/>
      <w:bookmarkEnd w:id="113"/>
      <w:bookmarkEnd w:id="114"/>
      <w:bookmarkEnd w:id="115"/>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116" w:name="_Toc512313170"/>
      <w:bookmarkStart w:id="117" w:name="_Toc512419125"/>
      <w:bookmarkStart w:id="118" w:name="_Toc66692753"/>
      <w:bookmarkStart w:id="119" w:name="_Toc125346870"/>
      <w:bookmarkStart w:id="120" w:name="_Toc265588858"/>
      <w:bookmarkStart w:id="121" w:name="_Toc252784452"/>
      <w:r>
        <w:rPr>
          <w:rStyle w:val="CharSectno"/>
        </w:rPr>
        <w:t>13</w:t>
      </w:r>
      <w:r>
        <w:rPr>
          <w:snapToGrid w:val="0"/>
        </w:rPr>
        <w:t>.</w:t>
      </w:r>
      <w:r>
        <w:rPr>
          <w:snapToGrid w:val="0"/>
        </w:rPr>
        <w:tab/>
        <w:t>Balance to be carried forward</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122" w:name="_Toc512313171"/>
      <w:bookmarkStart w:id="123" w:name="_Toc512419126"/>
      <w:bookmarkStart w:id="124" w:name="_Toc66692754"/>
      <w:bookmarkStart w:id="125" w:name="_Toc125346871"/>
      <w:bookmarkStart w:id="126" w:name="_Toc265588859"/>
      <w:bookmarkStart w:id="127" w:name="_Toc252784453"/>
      <w:r>
        <w:rPr>
          <w:rStyle w:val="CharSectno"/>
        </w:rPr>
        <w:t>14</w:t>
      </w:r>
      <w:r>
        <w:rPr>
          <w:snapToGrid w:val="0"/>
        </w:rPr>
        <w:t>.</w:t>
      </w:r>
      <w:r>
        <w:rPr>
          <w:snapToGrid w:val="0"/>
        </w:rPr>
        <w:tab/>
        <w:t>Application of</w:t>
      </w:r>
      <w:bookmarkEnd w:id="122"/>
      <w:bookmarkEnd w:id="123"/>
      <w:bookmarkEnd w:id="124"/>
      <w:bookmarkEnd w:id="125"/>
      <w:r>
        <w:rPr>
          <w:snapToGrid w:val="0"/>
        </w:rPr>
        <w:t xml:space="preserve"> </w:t>
      </w:r>
      <w:r>
        <w:rPr>
          <w:i/>
          <w:iCs/>
        </w:rPr>
        <w:t>Financial Management Act 2006</w:t>
      </w:r>
      <w:r>
        <w:t xml:space="preserve"> and </w:t>
      </w:r>
      <w:r>
        <w:rPr>
          <w:i/>
          <w:iCs/>
        </w:rPr>
        <w:t>Auditor General Act 2006</w:t>
      </w:r>
      <w:bookmarkEnd w:id="126"/>
      <w:bookmarkEnd w:id="127"/>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128" w:name="_Toc512313172"/>
      <w:bookmarkStart w:id="129" w:name="_Toc512419127"/>
      <w:bookmarkStart w:id="130" w:name="_Toc66692755"/>
      <w:bookmarkStart w:id="131" w:name="_Toc125346872"/>
      <w:bookmarkStart w:id="132" w:name="_Toc265588860"/>
      <w:bookmarkStart w:id="133" w:name="_Toc252784454"/>
      <w:r>
        <w:rPr>
          <w:rStyle w:val="CharSectno"/>
        </w:rPr>
        <w:t>15</w:t>
      </w:r>
      <w:r>
        <w:rPr>
          <w:snapToGrid w:val="0"/>
        </w:rPr>
        <w:t>.</w:t>
      </w:r>
      <w:r>
        <w:rPr>
          <w:snapToGrid w:val="0"/>
        </w:rPr>
        <w:tab/>
        <w:t>Depreciation</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134" w:name="_Toc512313173"/>
      <w:bookmarkStart w:id="135" w:name="_Toc512419128"/>
      <w:bookmarkStart w:id="136" w:name="_Toc66692756"/>
      <w:bookmarkStart w:id="137" w:name="_Toc125346873"/>
      <w:bookmarkStart w:id="138" w:name="_Toc265588861"/>
      <w:bookmarkStart w:id="139" w:name="_Toc252784455"/>
      <w:r>
        <w:rPr>
          <w:rStyle w:val="CharSectno"/>
        </w:rPr>
        <w:t>17</w:t>
      </w:r>
      <w:r>
        <w:rPr>
          <w:snapToGrid w:val="0"/>
        </w:rPr>
        <w:t>.</w:t>
      </w:r>
      <w:r>
        <w:rPr>
          <w:snapToGrid w:val="0"/>
        </w:rPr>
        <w:tab/>
        <w:t>Provision to meet deficiency pending appropriation</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140" w:name="_Toc512313174"/>
      <w:bookmarkStart w:id="141" w:name="_Toc512419129"/>
      <w:bookmarkStart w:id="142" w:name="_Toc66692757"/>
      <w:bookmarkStart w:id="143" w:name="_Toc125346874"/>
      <w:bookmarkStart w:id="144" w:name="_Toc265588862"/>
      <w:bookmarkStart w:id="145" w:name="_Toc252784456"/>
      <w:r>
        <w:rPr>
          <w:rStyle w:val="CharSectno"/>
        </w:rPr>
        <w:t>18</w:t>
      </w:r>
      <w:r>
        <w:rPr>
          <w:snapToGrid w:val="0"/>
        </w:rPr>
        <w:t>.</w:t>
      </w:r>
      <w:r>
        <w:rPr>
          <w:snapToGrid w:val="0"/>
        </w:rPr>
        <w:tab/>
        <w:t>Treatment of profit and loss</w:t>
      </w:r>
      <w:bookmarkEnd w:id="140"/>
      <w:bookmarkEnd w:id="141"/>
      <w:bookmarkEnd w:id="142"/>
      <w:bookmarkEnd w:id="143"/>
      <w:bookmarkEnd w:id="144"/>
      <w:bookmarkEnd w:id="145"/>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146" w:name="_Toc512313175"/>
      <w:bookmarkStart w:id="147" w:name="_Toc512419130"/>
      <w:bookmarkStart w:id="148" w:name="_Toc66692758"/>
      <w:bookmarkStart w:id="149" w:name="_Toc125346875"/>
      <w:bookmarkStart w:id="150" w:name="_Toc265588863"/>
      <w:bookmarkStart w:id="151" w:name="_Toc252784457"/>
      <w:r>
        <w:rPr>
          <w:rStyle w:val="CharSectno"/>
        </w:rPr>
        <w:t>23</w:t>
      </w:r>
      <w:r>
        <w:rPr>
          <w:snapToGrid w:val="0"/>
        </w:rPr>
        <w:t>.</w:t>
      </w:r>
      <w:r>
        <w:rPr>
          <w:snapToGrid w:val="0"/>
        </w:rPr>
        <w:tab/>
        <w:t>Transfer of assets to a trading concern</w:t>
      </w:r>
      <w:bookmarkEnd w:id="146"/>
      <w:bookmarkEnd w:id="147"/>
      <w:bookmarkEnd w:id="148"/>
      <w:bookmarkEnd w:id="149"/>
      <w:bookmarkEnd w:id="150"/>
      <w:bookmarkEnd w:id="151"/>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152" w:name="_Toc512313176"/>
      <w:bookmarkStart w:id="153" w:name="_Toc512419131"/>
      <w:bookmarkStart w:id="154" w:name="_Toc66692759"/>
      <w:bookmarkStart w:id="155" w:name="_Toc125346876"/>
      <w:bookmarkStart w:id="156" w:name="_Toc265588864"/>
      <w:bookmarkStart w:id="157" w:name="_Toc252784458"/>
      <w:r>
        <w:rPr>
          <w:rStyle w:val="CharSectno"/>
        </w:rPr>
        <w:t>24</w:t>
      </w:r>
      <w:r>
        <w:rPr>
          <w:snapToGrid w:val="0"/>
        </w:rPr>
        <w:t>.</w:t>
      </w:r>
      <w:r>
        <w:rPr>
          <w:snapToGrid w:val="0"/>
        </w:rPr>
        <w:tab/>
        <w:t>Transfer of assets between trading concerns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58" w:name="_Toc512313177"/>
      <w:bookmarkStart w:id="159" w:name="_Toc512419132"/>
      <w:bookmarkStart w:id="160" w:name="_Toc66692760"/>
      <w:bookmarkStart w:id="161" w:name="_Toc125346877"/>
      <w:bookmarkStart w:id="162" w:name="_Toc265588865"/>
      <w:bookmarkStart w:id="163" w:name="_Toc252784459"/>
      <w:r>
        <w:rPr>
          <w:rStyle w:val="CharSectno"/>
        </w:rPr>
        <w:t>25</w:t>
      </w:r>
      <w:r>
        <w:rPr>
          <w:snapToGrid w:val="0"/>
        </w:rPr>
        <w:t>.</w:t>
      </w:r>
      <w:r>
        <w:rPr>
          <w:snapToGrid w:val="0"/>
        </w:rPr>
        <w:tab/>
        <w:t>Power to sell or lease trading concerns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64" w:name="_Toc265588866"/>
      <w:bookmarkStart w:id="165" w:name="_Toc252784460"/>
      <w:r>
        <w:rPr>
          <w:snapToGrid w:val="0"/>
        </w:rPr>
        <w:t>26.</w:t>
      </w:r>
      <w:r>
        <w:rPr>
          <w:snapToGrid w:val="0"/>
        </w:rPr>
        <w:tab/>
        <w:t>Application of proceeds of sale of assets</w:t>
      </w:r>
      <w:bookmarkEnd w:id="164"/>
      <w:bookmarkEnd w:id="165"/>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66" w:name="_Toc512313179"/>
      <w:bookmarkStart w:id="167" w:name="_Toc512419134"/>
      <w:bookmarkStart w:id="168" w:name="_Toc66692762"/>
      <w:bookmarkStart w:id="169" w:name="_Toc125346879"/>
      <w:bookmarkStart w:id="170" w:name="_Toc158009397"/>
      <w:bookmarkStart w:id="171" w:name="_Toc265588867"/>
      <w:bookmarkStart w:id="172" w:name="_Toc252784461"/>
      <w:r>
        <w:rPr>
          <w:rStyle w:val="CharSectno"/>
        </w:rPr>
        <w:t>26A</w:t>
      </w:r>
      <w:r>
        <w:rPr>
          <w:snapToGrid w:val="0"/>
        </w:rPr>
        <w:t>.</w:t>
      </w:r>
      <w:r>
        <w:rPr>
          <w:snapToGrid w:val="0"/>
        </w:rPr>
        <w:tab/>
        <w:t>Discontinuance of State Quarry, Boya</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73" w:name="_Toc512313180"/>
      <w:bookmarkStart w:id="174" w:name="_Toc512419135"/>
      <w:bookmarkStart w:id="175" w:name="_Toc66692763"/>
      <w:bookmarkStart w:id="176" w:name="_Toc125346880"/>
      <w:bookmarkStart w:id="177" w:name="_Toc158009398"/>
      <w:bookmarkStart w:id="178" w:name="_Toc265588868"/>
      <w:bookmarkStart w:id="179" w:name="_Toc252784462"/>
      <w:r>
        <w:rPr>
          <w:rStyle w:val="CharSectno"/>
        </w:rPr>
        <w:t>26B</w:t>
      </w:r>
      <w:r>
        <w:rPr>
          <w:snapToGrid w:val="0"/>
        </w:rPr>
        <w:t>.</w:t>
      </w:r>
      <w:r>
        <w:rPr>
          <w:snapToGrid w:val="0"/>
        </w:rPr>
        <w:tab/>
        <w:t>Amalgamation of State Saw Mills and State Brick Works into one trading concern as State Building Supplies</w:t>
      </w:r>
      <w:bookmarkEnd w:id="173"/>
      <w:bookmarkEnd w:id="174"/>
      <w:bookmarkEnd w:id="175"/>
      <w:bookmarkEnd w:id="176"/>
      <w:bookmarkEnd w:id="177"/>
      <w:bookmarkEnd w:id="178"/>
      <w:bookmarkEnd w:id="179"/>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80" w:name="_Toc512313181"/>
      <w:bookmarkStart w:id="181" w:name="_Toc512419136"/>
      <w:bookmarkStart w:id="182" w:name="_Toc66692764"/>
      <w:bookmarkStart w:id="183" w:name="_Toc125346881"/>
      <w:bookmarkStart w:id="184" w:name="_Toc158009399"/>
      <w:bookmarkStart w:id="185" w:name="_Toc265588869"/>
      <w:bookmarkStart w:id="186" w:name="_Toc252784463"/>
      <w:r>
        <w:rPr>
          <w:rStyle w:val="CharSectno"/>
        </w:rPr>
        <w:t>26C</w:t>
      </w:r>
      <w:r>
        <w:rPr>
          <w:snapToGrid w:val="0"/>
        </w:rPr>
        <w:t>.</w:t>
      </w:r>
      <w:r>
        <w:rPr>
          <w:snapToGrid w:val="0"/>
        </w:rPr>
        <w:tab/>
        <w:t>The West Australian Meat Export Works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87" w:name="_Toc512313182"/>
      <w:bookmarkStart w:id="188" w:name="_Toc512419137"/>
      <w:bookmarkStart w:id="189" w:name="_Toc66692765"/>
      <w:bookmarkStart w:id="190" w:name="_Toc125346882"/>
      <w:bookmarkStart w:id="191" w:name="_Toc265588870"/>
      <w:bookmarkStart w:id="192" w:name="_Toc252784464"/>
      <w:r>
        <w:rPr>
          <w:rStyle w:val="CharSectno"/>
        </w:rPr>
        <w:t>27</w:t>
      </w:r>
      <w:r>
        <w:rPr>
          <w:snapToGrid w:val="0"/>
        </w:rPr>
        <w:t>.</w:t>
      </w:r>
      <w:r>
        <w:rPr>
          <w:snapToGrid w:val="0"/>
        </w:rPr>
        <w:tab/>
        <w:t>Settlement of disputes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93" w:name="_Toc512313183"/>
      <w:bookmarkStart w:id="194" w:name="_Toc512419138"/>
      <w:bookmarkStart w:id="195" w:name="_Toc66692766"/>
      <w:bookmarkStart w:id="196" w:name="_Toc125346883"/>
      <w:bookmarkStart w:id="197" w:name="_Toc265588871"/>
      <w:bookmarkStart w:id="198" w:name="_Toc252784465"/>
      <w:r>
        <w:rPr>
          <w:rStyle w:val="CharSectno"/>
        </w:rPr>
        <w:t>28</w:t>
      </w:r>
      <w:r>
        <w:rPr>
          <w:snapToGrid w:val="0"/>
        </w:rPr>
        <w:t>.</w:t>
      </w:r>
      <w:r>
        <w:rPr>
          <w:snapToGrid w:val="0"/>
        </w:rPr>
        <w:tab/>
        <w:t>Regulations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99" w:name="_Toc512419139"/>
      <w:bookmarkStart w:id="200" w:name="_Toc66692767"/>
      <w:bookmarkStart w:id="201" w:name="_Toc125346884"/>
      <w:bookmarkStart w:id="202" w:name="_Toc156982917"/>
      <w:bookmarkStart w:id="203" w:name="_Toc158009353"/>
      <w:bookmarkStart w:id="204" w:name="_Toc158009402"/>
      <w:bookmarkStart w:id="205" w:name="_Toc252434624"/>
    </w:p>
    <w:p>
      <w:pPr>
        <w:pStyle w:val="yScheduleHeading"/>
      </w:pPr>
      <w:bookmarkStart w:id="206" w:name="_Toc252437134"/>
      <w:bookmarkStart w:id="207" w:name="_Toc252784466"/>
      <w:bookmarkStart w:id="208" w:name="_Toc265588872"/>
      <w:r>
        <w:rPr>
          <w:rStyle w:val="CharSchNo"/>
        </w:rPr>
        <w:t>The Schedule</w:t>
      </w:r>
      <w:bookmarkEnd w:id="199"/>
      <w:bookmarkEnd w:id="200"/>
      <w:bookmarkEnd w:id="201"/>
      <w:bookmarkEnd w:id="202"/>
      <w:bookmarkEnd w:id="203"/>
      <w:bookmarkEnd w:id="204"/>
      <w:bookmarkEnd w:id="205"/>
      <w:bookmarkEnd w:id="206"/>
      <w:bookmarkEnd w:id="207"/>
      <w:bookmarkEnd w:id="208"/>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pStyle w:val="CentredBaseLine"/>
        <w:jc w:val="center"/>
        <w:rPr>
          <w:del w:id="209" w:author="svcMRProcess" w:date="2015-12-15T03:48:00Z"/>
        </w:rPr>
      </w:pPr>
      <w:bookmarkStart w:id="210" w:name="_Toc125346885"/>
      <w:bookmarkStart w:id="211" w:name="_Toc156982918"/>
      <w:bookmarkStart w:id="212" w:name="_Toc158009354"/>
      <w:bookmarkStart w:id="213" w:name="_Toc158009403"/>
      <w:bookmarkStart w:id="214" w:name="_Toc241052429"/>
      <w:bookmarkStart w:id="215" w:name="_Toc241052539"/>
      <w:bookmarkStart w:id="216" w:name="_Toc241297983"/>
      <w:bookmarkStart w:id="217" w:name="_Toc247602907"/>
      <w:del w:id="218" w:author="svcMRProcess" w:date="2015-12-15T03:4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right" w:pos="482"/>
        </w:tabs>
        <w:sectPr>
          <w:headerReference w:type="even" r:id="rId23"/>
          <w:headerReference w:type="first" r:id="rId24"/>
          <w:pgSz w:w="11906" w:h="16838" w:code="9"/>
          <w:pgMar w:top="2376" w:right="2405" w:bottom="3542" w:left="2405" w:header="706" w:footer="3380" w:gutter="0"/>
          <w:cols w:space="720"/>
          <w:noEndnote/>
          <w:docGrid w:linePitch="326"/>
        </w:sectPr>
      </w:pPr>
    </w:p>
    <w:p>
      <w:pPr>
        <w:pStyle w:val="nHeading2"/>
      </w:pPr>
      <w:bookmarkStart w:id="219" w:name="_Toc247622767"/>
      <w:bookmarkStart w:id="220" w:name="_Toc252434625"/>
      <w:bookmarkStart w:id="221" w:name="_Toc252437135"/>
      <w:bookmarkStart w:id="222" w:name="_Toc252784467"/>
      <w:bookmarkStart w:id="223" w:name="_Toc265588873"/>
      <w:r>
        <w:t>Notes</w:t>
      </w:r>
      <w:bookmarkEnd w:id="210"/>
      <w:bookmarkEnd w:id="211"/>
      <w:bookmarkEnd w:id="212"/>
      <w:bookmarkEnd w:id="213"/>
      <w:bookmarkEnd w:id="214"/>
      <w:bookmarkEnd w:id="215"/>
      <w:bookmarkEnd w:id="216"/>
      <w:bookmarkEnd w:id="217"/>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w:t>
      </w:r>
      <w:del w:id="224" w:author="svcMRProcess" w:date="2015-12-15T03:48:00Z">
        <w:r>
          <w:rPr>
            <w:snapToGrid w:val="0"/>
          </w:rPr>
          <w:delText xml:space="preserve">reprint </w:delText>
        </w:r>
      </w:del>
      <w:r>
        <w:rPr>
          <w:snapToGrid w:val="0"/>
        </w:rPr>
        <w:t>is a compilation</w:t>
      </w:r>
      <w:del w:id="225" w:author="svcMRProcess" w:date="2015-12-15T03:48:00Z">
        <w:r>
          <w:rPr>
            <w:snapToGrid w:val="0"/>
          </w:rPr>
          <w:delText xml:space="preserve"> as at 5 March 2010</w:delText>
        </w:r>
      </w:del>
      <w:r>
        <w:rPr>
          <w:snapToGrid w:val="0"/>
        </w:rPr>
        <w:t xml:space="preserve">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spacing w:before="120"/>
        <w:rPr>
          <w:snapToGrid w:val="0"/>
          <w:u w:val="single"/>
        </w:rPr>
      </w:pPr>
      <w:bookmarkStart w:id="226" w:name="_Toc265588874"/>
      <w:bookmarkStart w:id="227" w:name="_Toc252784468"/>
      <w:r>
        <w:rPr>
          <w:snapToGrid w:val="0"/>
        </w:rPr>
        <w:t>Compilation table</w:t>
      </w:r>
      <w:bookmarkEnd w:id="226"/>
      <w:bookmarkEnd w:id="2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ins w:id="228" w:author="svcMRProcess" w:date="2015-12-15T03:48:00Z"/>
        </w:trPr>
        <w:tc>
          <w:tcPr>
            <w:tcW w:w="2268" w:type="dxa"/>
            <w:tcBorders>
              <w:bottom w:val="single" w:sz="4" w:space="0" w:color="auto"/>
            </w:tcBorders>
          </w:tcPr>
          <w:p>
            <w:pPr>
              <w:pStyle w:val="nTable"/>
              <w:spacing w:after="40"/>
              <w:rPr>
                <w:ins w:id="229" w:author="svcMRProcess" w:date="2015-12-15T03:48:00Z"/>
                <w:sz w:val="19"/>
              </w:rPr>
            </w:pPr>
            <w:ins w:id="230" w:author="svcMRProcess" w:date="2015-12-15T03:48:00Z">
              <w:r>
                <w:rPr>
                  <w:i/>
                  <w:iCs/>
                  <w:sz w:val="19"/>
                </w:rPr>
                <w:t>Revenue Laws Amendment and Repeal Act 2010</w:t>
              </w:r>
              <w:r>
                <w:rPr>
                  <w:sz w:val="19"/>
                </w:rPr>
                <w:t xml:space="preserve"> Pt. 4</w:t>
              </w:r>
            </w:ins>
          </w:p>
        </w:tc>
        <w:tc>
          <w:tcPr>
            <w:tcW w:w="1134" w:type="dxa"/>
            <w:tcBorders>
              <w:bottom w:val="single" w:sz="4" w:space="0" w:color="auto"/>
            </w:tcBorders>
          </w:tcPr>
          <w:p>
            <w:pPr>
              <w:pStyle w:val="nTable"/>
              <w:spacing w:after="40"/>
              <w:rPr>
                <w:ins w:id="231" w:author="svcMRProcess" w:date="2015-12-15T03:48:00Z"/>
                <w:sz w:val="19"/>
              </w:rPr>
            </w:pPr>
            <w:ins w:id="232" w:author="svcMRProcess" w:date="2015-12-15T03:48:00Z">
              <w:r>
                <w:rPr>
                  <w:sz w:val="19"/>
                </w:rPr>
                <w:t>17 of 2010</w:t>
              </w:r>
            </w:ins>
          </w:p>
        </w:tc>
        <w:tc>
          <w:tcPr>
            <w:tcW w:w="1134" w:type="dxa"/>
            <w:tcBorders>
              <w:bottom w:val="single" w:sz="4" w:space="0" w:color="auto"/>
            </w:tcBorders>
          </w:tcPr>
          <w:p>
            <w:pPr>
              <w:pStyle w:val="nTable"/>
              <w:spacing w:after="40"/>
              <w:rPr>
                <w:ins w:id="233" w:author="svcMRProcess" w:date="2015-12-15T03:48:00Z"/>
                <w:sz w:val="19"/>
              </w:rPr>
            </w:pPr>
            <w:ins w:id="234" w:author="svcMRProcess" w:date="2015-12-15T03:48:00Z">
              <w:r>
                <w:rPr>
                  <w:sz w:val="19"/>
                </w:rPr>
                <w:t>25 Jun 2010</w:t>
              </w:r>
            </w:ins>
          </w:p>
        </w:tc>
        <w:tc>
          <w:tcPr>
            <w:tcW w:w="2551" w:type="dxa"/>
            <w:tcBorders>
              <w:bottom w:val="single" w:sz="4" w:space="0" w:color="auto"/>
            </w:tcBorders>
          </w:tcPr>
          <w:p>
            <w:pPr>
              <w:pStyle w:val="nTable"/>
              <w:spacing w:after="40"/>
              <w:rPr>
                <w:ins w:id="235" w:author="svcMRProcess" w:date="2015-12-15T03:48:00Z"/>
                <w:sz w:val="19"/>
              </w:rPr>
            </w:pPr>
            <w:ins w:id="236" w:author="svcMRProcess" w:date="2015-12-15T03:48:00Z">
              <w:r>
                <w:rPr>
                  <w:sz w:val="19"/>
                </w:rPr>
                <w:t>26 Jun 2010 (see s. 2(b))</w:t>
              </w:r>
            </w:ins>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37" w:name="UpToHere"/>
      <w:bookmarkEnd w:id="237"/>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E81A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F44E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4CB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7079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E0C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12B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089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6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541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CE43C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4CDA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A4E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03"/>
    <w:docVar w:name="WAFER_20151211092203" w:val="RemoveTrackChanges"/>
    <w:docVar w:name="WAFER_20151211092203_GUID" w:val="6fe4f556-0614-4249-aa1c-e03362ed7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5657</Words>
  <Characters>26930</Characters>
  <Application>Microsoft Office Word</Application>
  <DocSecurity>0</DocSecurity>
  <Lines>897</Lines>
  <Paragraphs>440</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32147</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04-a0-02 - 04-b0-02</dc:title>
  <dc:subject/>
  <dc:creator/>
  <cp:keywords/>
  <dc:description/>
  <cp:lastModifiedBy>svcMRProcess</cp:lastModifiedBy>
  <cp:revision>2</cp:revision>
  <cp:lastPrinted>2010-03-05T07:15:00Z</cp:lastPrinted>
  <dcterms:created xsi:type="dcterms:W3CDTF">2015-12-14T19:48:00Z</dcterms:created>
  <dcterms:modified xsi:type="dcterms:W3CDTF">2015-12-14T19:48:00Z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778</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05 Mar 2010</vt:lpwstr>
  </property>
  <property fmtid="{D5CDD505-2E9C-101B-9397-08002B2CF9AE}" pid="9" name="ToSuffix">
    <vt:lpwstr>04-b0-02</vt:lpwstr>
  </property>
  <property fmtid="{D5CDD505-2E9C-101B-9397-08002B2CF9AE}" pid="10" name="ToAsAtDate">
    <vt:lpwstr>26 Jun 2010</vt:lpwstr>
  </property>
</Properties>
</file>