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Murdoch University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11 Jun 2010</w:t>
      </w:r>
      <w:r>
        <w:fldChar w:fldCharType="end"/>
      </w:r>
      <w:r>
        <w:t xml:space="preserve">, </w:t>
      </w:r>
      <w:r>
        <w:fldChar w:fldCharType="begin"/>
      </w:r>
      <w:r>
        <w:instrText xml:space="preserve"> DocProperty ToSuffix</w:instrText>
      </w:r>
      <w:r>
        <w:fldChar w:fldCharType="separate"/>
      </w:r>
      <w:r>
        <w:t>03-a0-05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5T15:32:00Z"/>
        </w:trPr>
        <w:tc>
          <w:tcPr>
            <w:tcW w:w="2434" w:type="dxa"/>
            <w:vMerge w:val="restart"/>
          </w:tcPr>
          <w:p>
            <w:pPr>
              <w:rPr>
                <w:ins w:id="2" w:author="svcMRProcess" w:date="2018-09-05T15:32:00Z"/>
              </w:rPr>
            </w:pPr>
          </w:p>
        </w:tc>
        <w:tc>
          <w:tcPr>
            <w:tcW w:w="2434" w:type="dxa"/>
            <w:vMerge w:val="restart"/>
          </w:tcPr>
          <w:p>
            <w:pPr>
              <w:jc w:val="center"/>
              <w:rPr>
                <w:ins w:id="3" w:author="svcMRProcess" w:date="2018-09-05T15:32:00Z"/>
              </w:rPr>
            </w:pPr>
            <w:ins w:id="4" w:author="svcMRProcess" w:date="2018-09-05T15:32: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5T15:32:00Z"/>
              </w:rPr>
            </w:pPr>
            <w:ins w:id="6" w:author="svcMRProcess" w:date="2018-09-05T15:32:00Z">
              <w:r>
                <w:rPr>
                  <w:b/>
                  <w:sz w:val="22"/>
                </w:rPr>
                <w:t xml:space="preserve">Reprinted under the </w:t>
              </w:r>
              <w:r>
                <w:rPr>
                  <w:b/>
                  <w:i/>
                  <w:sz w:val="22"/>
                </w:rPr>
                <w:t>Reprints Act 1984</w:t>
              </w:r>
              <w:r>
                <w:rPr>
                  <w:b/>
                  <w:sz w:val="22"/>
                </w:rPr>
                <w:t xml:space="preserve"> as</w:t>
              </w:r>
            </w:ins>
          </w:p>
        </w:tc>
      </w:tr>
      <w:tr>
        <w:trPr>
          <w:cantSplit/>
          <w:ins w:id="7" w:author="svcMRProcess" w:date="2018-09-05T15:32:00Z"/>
        </w:trPr>
        <w:tc>
          <w:tcPr>
            <w:tcW w:w="2434" w:type="dxa"/>
            <w:vMerge/>
          </w:tcPr>
          <w:p>
            <w:pPr>
              <w:rPr>
                <w:ins w:id="8" w:author="svcMRProcess" w:date="2018-09-05T15:32:00Z"/>
              </w:rPr>
            </w:pPr>
          </w:p>
        </w:tc>
        <w:tc>
          <w:tcPr>
            <w:tcW w:w="2434" w:type="dxa"/>
            <w:vMerge/>
          </w:tcPr>
          <w:p>
            <w:pPr>
              <w:jc w:val="center"/>
              <w:rPr>
                <w:ins w:id="9" w:author="svcMRProcess" w:date="2018-09-05T15:32:00Z"/>
              </w:rPr>
            </w:pPr>
          </w:p>
        </w:tc>
        <w:tc>
          <w:tcPr>
            <w:tcW w:w="2434" w:type="dxa"/>
          </w:tcPr>
          <w:p>
            <w:pPr>
              <w:keepNext/>
              <w:rPr>
                <w:ins w:id="10" w:author="svcMRProcess" w:date="2018-09-05T15:32:00Z"/>
                <w:b/>
                <w:sz w:val="22"/>
              </w:rPr>
            </w:pPr>
            <w:ins w:id="11" w:author="svcMRProcess" w:date="2018-09-05T15:32:00Z">
              <w:r>
                <w:rPr>
                  <w:b/>
                  <w:sz w:val="22"/>
                </w:rPr>
                <w:t>at 11 June 2010</w:t>
              </w:r>
            </w:ins>
          </w:p>
        </w:tc>
      </w:tr>
    </w:tbl>
    <w:p>
      <w:pPr>
        <w:pStyle w:val="WA"/>
        <w:spacing w:before="12"/>
      </w:pPr>
      <w:r>
        <w:t>Western Australia</w:t>
      </w:r>
    </w:p>
    <w:p>
      <w:pPr>
        <w:pStyle w:val="NameofActReg"/>
      </w:pPr>
      <w:r>
        <w:t>Murdoch University Act 1973</w:t>
      </w:r>
    </w:p>
    <w:p>
      <w:pPr>
        <w:pStyle w:val="LongTitle"/>
        <w:rPr>
          <w:snapToGrid w:val="0"/>
        </w:rPr>
      </w:pPr>
      <w:r>
        <w:rPr>
          <w:snapToGrid w:val="0"/>
        </w:rPr>
        <w:t>A</w:t>
      </w:r>
      <w:bookmarkStart w:id="12" w:name="_GoBack"/>
      <w:bookmarkEnd w:id="12"/>
      <w:r>
        <w:rPr>
          <w:snapToGrid w:val="0"/>
        </w:rPr>
        <w:t>n Act to establish and incorporate Murdoch University, to make provision for the government of the University, and for incidental and other purposes.</w:t>
      </w:r>
      <w:del w:id="13" w:author="svcMRProcess" w:date="2018-09-05T15:32:00Z">
        <w:r>
          <w:rPr>
            <w:snapToGrid w:val="0"/>
          </w:rPr>
          <w:delText xml:space="preserve"> </w:delText>
        </w:r>
      </w:del>
    </w:p>
    <w:p>
      <w:pPr>
        <w:pStyle w:val="Heading5"/>
        <w:rPr>
          <w:snapToGrid w:val="0"/>
        </w:rPr>
      </w:pPr>
      <w:bookmarkStart w:id="14" w:name="_Toc378076000"/>
      <w:bookmarkStart w:id="15" w:name="_Toc421548283"/>
      <w:bookmarkStart w:id="16" w:name="_Toc31098225"/>
      <w:bookmarkStart w:id="17" w:name="_Toc109200603"/>
      <w:bookmarkStart w:id="18" w:name="_Toc111623005"/>
      <w:bookmarkStart w:id="19" w:name="_Toc241053449"/>
      <w:r>
        <w:rPr>
          <w:rStyle w:val="CharSectno"/>
        </w:rPr>
        <w:t>1</w:t>
      </w:r>
      <w:r>
        <w:rPr>
          <w:snapToGrid w:val="0"/>
        </w:rPr>
        <w:t>.</w:t>
      </w:r>
      <w:r>
        <w:rPr>
          <w:snapToGrid w:val="0"/>
        </w:rPr>
        <w:tab/>
        <w:t>Short title</w:t>
      </w:r>
      <w:bookmarkEnd w:id="14"/>
      <w:bookmarkEnd w:id="15"/>
      <w:bookmarkEnd w:id="16"/>
      <w:bookmarkEnd w:id="17"/>
      <w:bookmarkEnd w:id="18"/>
      <w:bookmarkEnd w:id="19"/>
      <w:del w:id="20" w:author="svcMRProcess" w:date="2018-09-05T15:32: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21" w:name="_Toc378076001"/>
      <w:bookmarkStart w:id="22" w:name="_Toc421548284"/>
      <w:bookmarkStart w:id="23" w:name="_Toc31098226"/>
      <w:bookmarkStart w:id="24" w:name="_Toc109200604"/>
      <w:bookmarkStart w:id="25" w:name="_Toc111623006"/>
      <w:bookmarkStart w:id="26" w:name="_Toc241053450"/>
      <w:r>
        <w:rPr>
          <w:rStyle w:val="CharSectno"/>
        </w:rPr>
        <w:t>2</w:t>
      </w:r>
      <w:r>
        <w:rPr>
          <w:snapToGrid w:val="0"/>
        </w:rPr>
        <w:t>.</w:t>
      </w:r>
      <w:r>
        <w:rPr>
          <w:snapToGrid w:val="0"/>
        </w:rPr>
        <w:tab/>
        <w:t>Commencement</w:t>
      </w:r>
      <w:bookmarkEnd w:id="21"/>
      <w:bookmarkEnd w:id="22"/>
      <w:bookmarkEnd w:id="23"/>
      <w:bookmarkEnd w:id="24"/>
      <w:bookmarkEnd w:id="25"/>
      <w:bookmarkEnd w:id="26"/>
      <w:del w:id="27" w:author="svcMRProcess" w:date="2018-09-05T15:32: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8" w:name="_Toc31098227"/>
      <w:bookmarkStart w:id="29" w:name="_Toc109200605"/>
      <w:bookmarkStart w:id="30" w:name="_Toc111623007"/>
      <w:bookmarkStart w:id="31" w:name="_Toc241053451"/>
      <w:bookmarkStart w:id="32" w:name="_Toc378076002"/>
      <w:bookmarkStart w:id="33" w:name="_Toc421548285"/>
      <w:r>
        <w:rPr>
          <w:rStyle w:val="CharSectno"/>
        </w:rPr>
        <w:t>3</w:t>
      </w:r>
      <w:r>
        <w:rPr>
          <w:snapToGrid w:val="0"/>
        </w:rPr>
        <w:t>.</w:t>
      </w:r>
      <w:r>
        <w:rPr>
          <w:snapToGrid w:val="0"/>
        </w:rPr>
        <w:tab/>
      </w:r>
      <w:del w:id="34" w:author="svcMRProcess" w:date="2018-09-05T15:32:00Z">
        <w:r>
          <w:rPr>
            <w:snapToGrid w:val="0"/>
          </w:rPr>
          <w:delText>Interpretation</w:delText>
        </w:r>
        <w:bookmarkEnd w:id="28"/>
        <w:bookmarkEnd w:id="29"/>
        <w:bookmarkEnd w:id="30"/>
        <w:bookmarkEnd w:id="31"/>
        <w:r>
          <w:rPr>
            <w:snapToGrid w:val="0"/>
          </w:rPr>
          <w:delText xml:space="preserve"> </w:delText>
        </w:r>
      </w:del>
      <w:ins w:id="35" w:author="svcMRProcess" w:date="2018-09-05T15:32:00Z">
        <w:r>
          <w:rPr>
            <w:snapToGrid w:val="0"/>
          </w:rPr>
          <w:t>Terms used</w:t>
        </w:r>
      </w:ins>
      <w:bookmarkEnd w:id="32"/>
      <w:bookmarkEnd w:id="33"/>
    </w:p>
    <w:p>
      <w:pPr>
        <w:pStyle w:val="Subsection"/>
        <w:rPr>
          <w:snapToGrid w:val="0"/>
        </w:rPr>
      </w:pPr>
      <w:r>
        <w:rPr>
          <w:snapToGrid w:val="0"/>
        </w:rPr>
        <w:tab/>
        <w:t>(1)</w:t>
      </w:r>
      <w:r>
        <w:rPr>
          <w:snapToGrid w:val="0"/>
        </w:rPr>
        <w:tab/>
        <w:t>In this Act, unless the context otherwise requires —</w:t>
      </w:r>
      <w:del w:id="36" w:author="svcMRProcess" w:date="2018-09-05T15:32:00Z">
        <w:r>
          <w:rPr>
            <w:snapToGrid w:val="0"/>
          </w:rPr>
          <w:delText> </w:delText>
        </w:r>
      </w:del>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lastRenderedPageBreak/>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37" w:name="_Toc378076003"/>
      <w:bookmarkStart w:id="38" w:name="_Toc421548286"/>
      <w:bookmarkStart w:id="39" w:name="_Toc31098228"/>
      <w:bookmarkStart w:id="40" w:name="_Toc109200606"/>
      <w:bookmarkStart w:id="41" w:name="_Toc111623008"/>
      <w:bookmarkStart w:id="42" w:name="_Toc241053452"/>
      <w:r>
        <w:rPr>
          <w:rStyle w:val="CharSectno"/>
        </w:rPr>
        <w:t>4</w:t>
      </w:r>
      <w:r>
        <w:rPr>
          <w:snapToGrid w:val="0"/>
        </w:rPr>
        <w:t>.</w:t>
      </w:r>
      <w:r>
        <w:rPr>
          <w:snapToGrid w:val="0"/>
        </w:rPr>
        <w:tab/>
        <w:t>Murdoch University</w:t>
      </w:r>
      <w:bookmarkEnd w:id="37"/>
      <w:bookmarkEnd w:id="38"/>
      <w:bookmarkEnd w:id="39"/>
      <w:bookmarkEnd w:id="40"/>
      <w:bookmarkEnd w:id="41"/>
      <w:bookmarkEnd w:id="42"/>
      <w:del w:id="43" w:author="svcMRProcess" w:date="2018-09-05T15:32:00Z">
        <w:r>
          <w:rPr>
            <w:snapToGrid w:val="0"/>
          </w:rPr>
          <w:delText xml:space="preserve"> </w:delText>
        </w:r>
      </w:del>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w:t>
      </w:r>
      <w:del w:id="44" w:author="svcMRProcess" w:date="2018-09-05T15:32:00Z">
        <w:r>
          <w:rPr>
            <w:snapToGrid w:val="0"/>
          </w:rPr>
          <w:delText> </w:delText>
        </w:r>
      </w:del>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45" w:name="_Toc378076004"/>
      <w:bookmarkStart w:id="46" w:name="_Toc421548287"/>
      <w:bookmarkStart w:id="47" w:name="_Toc31098229"/>
      <w:bookmarkStart w:id="48" w:name="_Toc109200607"/>
      <w:bookmarkStart w:id="49" w:name="_Toc111623009"/>
      <w:bookmarkStart w:id="50" w:name="_Toc241053453"/>
      <w:r>
        <w:rPr>
          <w:rStyle w:val="CharSectno"/>
        </w:rPr>
        <w:t>5</w:t>
      </w:r>
      <w:r>
        <w:rPr>
          <w:snapToGrid w:val="0"/>
        </w:rPr>
        <w:t>.</w:t>
      </w:r>
      <w:r>
        <w:rPr>
          <w:snapToGrid w:val="0"/>
        </w:rPr>
        <w:tab/>
        <w:t xml:space="preserve">Objects of </w:t>
      </w:r>
      <w:del w:id="51" w:author="svcMRProcess" w:date="2018-09-05T15:32:00Z">
        <w:r>
          <w:rPr>
            <w:snapToGrid w:val="0"/>
          </w:rPr>
          <w:delText xml:space="preserve">the </w:delText>
        </w:r>
      </w:del>
      <w:r>
        <w:rPr>
          <w:snapToGrid w:val="0"/>
        </w:rPr>
        <w:t>University</w:t>
      </w:r>
      <w:bookmarkEnd w:id="45"/>
      <w:bookmarkEnd w:id="46"/>
      <w:bookmarkEnd w:id="47"/>
      <w:bookmarkEnd w:id="48"/>
      <w:bookmarkEnd w:id="49"/>
      <w:bookmarkEnd w:id="50"/>
      <w:del w:id="52" w:author="svcMRProcess" w:date="2018-09-05T15:32:00Z">
        <w:r>
          <w:rPr>
            <w:snapToGrid w:val="0"/>
          </w:rPr>
          <w:delText xml:space="preserve"> </w:delText>
        </w:r>
      </w:del>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53" w:name="_Toc378076005"/>
      <w:bookmarkStart w:id="54" w:name="_Toc421548288"/>
      <w:bookmarkStart w:id="55" w:name="_Toc31098230"/>
      <w:bookmarkStart w:id="56" w:name="_Toc109200608"/>
      <w:bookmarkStart w:id="57" w:name="_Toc111623010"/>
      <w:bookmarkStart w:id="58" w:name="_Toc241053454"/>
      <w:r>
        <w:rPr>
          <w:rStyle w:val="CharSectno"/>
        </w:rPr>
        <w:t>6</w:t>
      </w:r>
      <w:r>
        <w:rPr>
          <w:snapToGrid w:val="0"/>
        </w:rPr>
        <w:t>.</w:t>
      </w:r>
      <w:r>
        <w:rPr>
          <w:snapToGrid w:val="0"/>
        </w:rPr>
        <w:tab/>
        <w:t xml:space="preserve">Functions of </w:t>
      </w:r>
      <w:del w:id="59" w:author="svcMRProcess" w:date="2018-09-05T15:32:00Z">
        <w:r>
          <w:rPr>
            <w:snapToGrid w:val="0"/>
          </w:rPr>
          <w:delText xml:space="preserve">the </w:delText>
        </w:r>
      </w:del>
      <w:r>
        <w:rPr>
          <w:snapToGrid w:val="0"/>
        </w:rPr>
        <w:t>University</w:t>
      </w:r>
      <w:bookmarkEnd w:id="53"/>
      <w:bookmarkEnd w:id="54"/>
      <w:bookmarkEnd w:id="55"/>
      <w:bookmarkEnd w:id="56"/>
      <w:bookmarkEnd w:id="57"/>
      <w:bookmarkEnd w:id="58"/>
      <w:del w:id="60" w:author="svcMRProcess" w:date="2018-09-05T15:32:00Z">
        <w:r>
          <w:rPr>
            <w:snapToGrid w:val="0"/>
          </w:rPr>
          <w:delText xml:space="preserve"> </w:delText>
        </w:r>
      </w:del>
    </w:p>
    <w:p>
      <w:pPr>
        <w:pStyle w:val="Subsection"/>
        <w:rPr>
          <w:snapToGrid w:val="0"/>
        </w:rPr>
      </w:pPr>
      <w:r>
        <w:rPr>
          <w:snapToGrid w:val="0"/>
        </w:rPr>
        <w:tab/>
        <w:t>(1)</w:t>
      </w:r>
      <w:r>
        <w:rPr>
          <w:snapToGrid w:val="0"/>
        </w:rPr>
        <w:tab/>
        <w:t>The functions of the University shall include the following —</w:t>
      </w:r>
      <w:del w:id="61" w:author="svcMRProcess" w:date="2018-09-05T15:32:00Z">
        <w:r>
          <w:rPr>
            <w:snapToGrid w:val="0"/>
          </w:rPr>
          <w:delText> </w:delText>
        </w:r>
      </w:del>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62" w:name="_Toc378076006"/>
      <w:bookmarkStart w:id="63" w:name="_Toc421548289"/>
      <w:bookmarkStart w:id="64" w:name="_Toc31098231"/>
      <w:bookmarkStart w:id="65" w:name="_Toc109200609"/>
      <w:bookmarkStart w:id="66" w:name="_Toc111623011"/>
      <w:bookmarkStart w:id="67" w:name="_Toc241053455"/>
      <w:r>
        <w:rPr>
          <w:rStyle w:val="CharSectno"/>
        </w:rPr>
        <w:t>7</w:t>
      </w:r>
      <w:r>
        <w:rPr>
          <w:snapToGrid w:val="0"/>
        </w:rPr>
        <w:t>.</w:t>
      </w:r>
      <w:r>
        <w:rPr>
          <w:snapToGrid w:val="0"/>
        </w:rPr>
        <w:tab/>
        <w:t>No discrimination</w:t>
      </w:r>
      <w:bookmarkEnd w:id="62"/>
      <w:bookmarkEnd w:id="63"/>
      <w:bookmarkEnd w:id="64"/>
      <w:bookmarkEnd w:id="65"/>
      <w:bookmarkEnd w:id="66"/>
      <w:bookmarkEnd w:id="67"/>
      <w:del w:id="68" w:author="svcMRProcess" w:date="2018-09-05T15:32:00Z">
        <w:r>
          <w:rPr>
            <w:snapToGrid w:val="0"/>
          </w:rPr>
          <w:delText xml:space="preserve"> </w:delText>
        </w:r>
      </w:del>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69" w:name="_Toc378076007"/>
      <w:bookmarkStart w:id="70" w:name="_Toc421548290"/>
      <w:bookmarkStart w:id="71" w:name="_Toc31098232"/>
      <w:bookmarkStart w:id="72" w:name="_Toc109200610"/>
      <w:bookmarkStart w:id="73" w:name="_Toc111623012"/>
      <w:bookmarkStart w:id="74" w:name="_Toc241053456"/>
      <w:r>
        <w:rPr>
          <w:snapToGrid w:val="0"/>
        </w:rPr>
        <w:t>8.</w:t>
      </w:r>
      <w:r>
        <w:rPr>
          <w:snapToGrid w:val="0"/>
        </w:rPr>
        <w:tab/>
        <w:t>Constitution</w:t>
      </w:r>
      <w:bookmarkEnd w:id="69"/>
      <w:bookmarkEnd w:id="70"/>
      <w:bookmarkEnd w:id="71"/>
      <w:bookmarkEnd w:id="72"/>
      <w:bookmarkEnd w:id="73"/>
      <w:bookmarkEnd w:id="74"/>
    </w:p>
    <w:p>
      <w:pPr>
        <w:pStyle w:val="Subsection"/>
        <w:rPr>
          <w:snapToGrid w:val="0"/>
        </w:rPr>
      </w:pPr>
      <w:r>
        <w:rPr>
          <w:snapToGrid w:val="0"/>
        </w:rPr>
        <w:tab/>
      </w:r>
      <w:r>
        <w:rPr>
          <w:snapToGrid w:val="0"/>
        </w:rPr>
        <w:tab/>
        <w:t>The University shall consist of —</w:t>
      </w:r>
      <w:del w:id="75" w:author="svcMRProcess" w:date="2018-09-05T15:32:00Z">
        <w:r>
          <w:rPr>
            <w:snapToGrid w:val="0"/>
          </w:rPr>
          <w:delText xml:space="preserve"> </w:delText>
        </w:r>
      </w:del>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76" w:name="_Toc378076008"/>
      <w:bookmarkStart w:id="77" w:name="_Toc421548291"/>
      <w:bookmarkStart w:id="78" w:name="_Toc31098233"/>
      <w:bookmarkStart w:id="79" w:name="_Toc109200611"/>
      <w:bookmarkStart w:id="80" w:name="_Toc111623013"/>
      <w:bookmarkStart w:id="81" w:name="_Toc241053457"/>
      <w:r>
        <w:rPr>
          <w:rStyle w:val="CharSectno"/>
        </w:rPr>
        <w:t>9</w:t>
      </w:r>
      <w:r>
        <w:rPr>
          <w:snapToGrid w:val="0"/>
        </w:rPr>
        <w:t>.</w:t>
      </w:r>
      <w:r>
        <w:rPr>
          <w:snapToGrid w:val="0"/>
        </w:rPr>
        <w:tab/>
        <w:t>Visitor</w:t>
      </w:r>
      <w:bookmarkEnd w:id="76"/>
      <w:bookmarkEnd w:id="77"/>
      <w:bookmarkEnd w:id="78"/>
      <w:bookmarkEnd w:id="79"/>
      <w:bookmarkEnd w:id="80"/>
      <w:bookmarkEnd w:id="81"/>
      <w:del w:id="82" w:author="svcMRProcess" w:date="2018-09-05T15:32:00Z">
        <w:r>
          <w:rPr>
            <w:snapToGrid w:val="0"/>
          </w:rPr>
          <w:delText xml:space="preserve"> </w:delText>
        </w:r>
      </w:del>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83" w:name="_Toc378076009"/>
      <w:bookmarkStart w:id="84" w:name="_Toc421548292"/>
      <w:bookmarkStart w:id="85" w:name="_Toc31098234"/>
      <w:bookmarkStart w:id="86" w:name="_Toc109200612"/>
      <w:bookmarkStart w:id="87" w:name="_Toc111623014"/>
      <w:bookmarkStart w:id="88" w:name="_Toc241053458"/>
      <w:r>
        <w:rPr>
          <w:rStyle w:val="CharSectno"/>
        </w:rPr>
        <w:t>10</w:t>
      </w:r>
      <w:r>
        <w:rPr>
          <w:snapToGrid w:val="0"/>
        </w:rPr>
        <w:t>.</w:t>
      </w:r>
      <w:r>
        <w:rPr>
          <w:snapToGrid w:val="0"/>
        </w:rPr>
        <w:tab/>
        <w:t>Chancellor</w:t>
      </w:r>
      <w:bookmarkEnd w:id="83"/>
      <w:bookmarkEnd w:id="84"/>
      <w:bookmarkEnd w:id="85"/>
      <w:bookmarkEnd w:id="86"/>
      <w:bookmarkEnd w:id="87"/>
      <w:bookmarkEnd w:id="88"/>
      <w:del w:id="89" w:author="svcMRProcess" w:date="2018-09-05T15:32:00Z">
        <w:r>
          <w:rPr>
            <w:snapToGrid w:val="0"/>
          </w:rPr>
          <w:delText xml:space="preserve"> </w:delText>
        </w:r>
      </w:del>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90" w:name="_Toc378076010"/>
      <w:bookmarkStart w:id="91" w:name="_Toc421548293"/>
      <w:bookmarkStart w:id="92" w:name="_Toc31098235"/>
      <w:bookmarkStart w:id="93" w:name="_Toc109200613"/>
      <w:bookmarkStart w:id="94" w:name="_Toc111623015"/>
      <w:bookmarkStart w:id="95" w:name="_Toc241053459"/>
      <w:r>
        <w:rPr>
          <w:rStyle w:val="CharSectno"/>
        </w:rPr>
        <w:t>11</w:t>
      </w:r>
      <w:r>
        <w:rPr>
          <w:snapToGrid w:val="0"/>
        </w:rPr>
        <w:t>.</w:t>
      </w:r>
      <w:r>
        <w:rPr>
          <w:snapToGrid w:val="0"/>
        </w:rPr>
        <w:tab/>
        <w:t>Pro</w:t>
      </w:r>
      <w:r>
        <w:rPr>
          <w:snapToGrid w:val="0"/>
        </w:rPr>
        <w:noBreakHyphen/>
        <w:t>Chancellor</w:t>
      </w:r>
      <w:bookmarkEnd w:id="90"/>
      <w:bookmarkEnd w:id="91"/>
      <w:bookmarkEnd w:id="92"/>
      <w:bookmarkEnd w:id="93"/>
      <w:bookmarkEnd w:id="94"/>
      <w:bookmarkEnd w:id="95"/>
      <w:del w:id="96" w:author="svcMRProcess" w:date="2018-09-05T15:32:00Z">
        <w:r>
          <w:rPr>
            <w:snapToGrid w:val="0"/>
          </w:rPr>
          <w:delText xml:space="preserve"> </w:delText>
        </w:r>
      </w:del>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97" w:name="_Toc378076011"/>
      <w:bookmarkStart w:id="98" w:name="_Toc421548294"/>
      <w:bookmarkStart w:id="99" w:name="_Toc31098236"/>
      <w:bookmarkStart w:id="100" w:name="_Toc109200614"/>
      <w:bookmarkStart w:id="101" w:name="_Toc111623016"/>
      <w:bookmarkStart w:id="102" w:name="_Toc241053460"/>
      <w:r>
        <w:rPr>
          <w:rStyle w:val="CharSectno"/>
        </w:rPr>
        <w:t>12</w:t>
      </w:r>
      <w:r>
        <w:rPr>
          <w:snapToGrid w:val="0"/>
        </w:rPr>
        <w:t>.</w:t>
      </w:r>
      <w:r>
        <w:rPr>
          <w:snapToGrid w:val="0"/>
        </w:rPr>
        <w:tab/>
      </w:r>
      <w:del w:id="103" w:author="svcMRProcess" w:date="2018-09-05T15:32:00Z">
        <w:r>
          <w:rPr>
            <w:snapToGrid w:val="0"/>
          </w:rPr>
          <w:delText xml:space="preserve">The </w:delText>
        </w:r>
      </w:del>
      <w:r>
        <w:rPr>
          <w:snapToGrid w:val="0"/>
        </w:rPr>
        <w:t>Senate</w:t>
      </w:r>
      <w:bookmarkEnd w:id="97"/>
      <w:bookmarkEnd w:id="98"/>
      <w:bookmarkEnd w:id="99"/>
      <w:bookmarkEnd w:id="100"/>
      <w:bookmarkEnd w:id="101"/>
      <w:bookmarkEnd w:id="102"/>
      <w:del w:id="104" w:author="svcMRProcess" w:date="2018-09-05T15:32:00Z">
        <w:r>
          <w:rPr>
            <w:snapToGrid w:val="0"/>
          </w:rPr>
          <w:delText xml:space="preserve"> </w:delText>
        </w:r>
      </w:del>
    </w:p>
    <w:p>
      <w:pPr>
        <w:pStyle w:val="Subsection"/>
        <w:rPr>
          <w:snapToGrid w:val="0"/>
        </w:rPr>
      </w:pPr>
      <w:r>
        <w:rPr>
          <w:snapToGrid w:val="0"/>
        </w:rPr>
        <w:tab/>
        <w:t>(1)</w:t>
      </w:r>
      <w:r>
        <w:rPr>
          <w:snapToGrid w:val="0"/>
        </w:rPr>
        <w:tab/>
        <w:t>The membership of Senate shall consist of —</w:t>
      </w:r>
      <w:del w:id="105" w:author="svcMRProcess" w:date="2018-09-05T15:32:00Z">
        <w:r>
          <w:rPr>
            <w:snapToGrid w:val="0"/>
          </w:rPr>
          <w:delText> </w:delText>
        </w:r>
      </w:del>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The following persons are not eligible to be a member of the Senate under subsection (1)(e), (f) or (g) —</w:t>
      </w:r>
      <w:del w:id="106" w:author="svcMRProcess" w:date="2018-09-05T15:32:00Z">
        <w:r>
          <w:delText xml:space="preserve"> </w:delText>
        </w:r>
      </w:del>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Of the members of the Senate —</w:t>
      </w:r>
      <w:del w:id="107" w:author="svcMRProcess" w:date="2018-09-05T15:32:00Z">
        <w:r>
          <w:delText xml:space="preserve"> </w:delText>
        </w:r>
      </w:del>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ind w:left="890" w:hanging="89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108" w:name="_Toc378076012"/>
      <w:bookmarkStart w:id="109" w:name="_Toc421548295"/>
      <w:bookmarkStart w:id="110" w:name="_Toc31098237"/>
      <w:bookmarkStart w:id="111" w:name="_Toc109200615"/>
      <w:bookmarkStart w:id="112" w:name="_Toc111623017"/>
      <w:bookmarkStart w:id="113" w:name="_Toc241053461"/>
      <w:r>
        <w:rPr>
          <w:rStyle w:val="CharSectno"/>
        </w:rPr>
        <w:t>14</w:t>
      </w:r>
      <w:r>
        <w:rPr>
          <w:snapToGrid w:val="0"/>
        </w:rPr>
        <w:t>.</w:t>
      </w:r>
      <w:r>
        <w:rPr>
          <w:snapToGrid w:val="0"/>
        </w:rPr>
        <w:tab/>
        <w:t>Tenure of office</w:t>
      </w:r>
      <w:bookmarkEnd w:id="108"/>
      <w:bookmarkEnd w:id="109"/>
      <w:bookmarkEnd w:id="110"/>
      <w:bookmarkEnd w:id="111"/>
      <w:bookmarkEnd w:id="112"/>
      <w:bookmarkEnd w:id="113"/>
      <w:del w:id="114" w:author="svcMRProcess" w:date="2018-09-05T15:32:00Z">
        <w:r>
          <w:rPr>
            <w:snapToGrid w:val="0"/>
          </w:rPr>
          <w:delText xml:space="preserve"> </w:delText>
        </w:r>
      </w:del>
    </w:p>
    <w:p>
      <w:pPr>
        <w:pStyle w:val="Subsection"/>
        <w:keepNext/>
        <w:rPr>
          <w:snapToGrid w:val="0"/>
        </w:rPr>
      </w:pPr>
      <w:r>
        <w:rPr>
          <w:snapToGrid w:val="0"/>
        </w:rPr>
        <w:tab/>
        <w:t>(1)</w:t>
      </w:r>
      <w:r>
        <w:rPr>
          <w:snapToGrid w:val="0"/>
        </w:rPr>
        <w:tab/>
        <w:t>Subject to sections 15 and 16 —</w:t>
      </w:r>
      <w:del w:id="115" w:author="svcMRProcess" w:date="2018-09-05T15:32:00Z">
        <w:r>
          <w:rPr>
            <w:snapToGrid w:val="0"/>
          </w:rPr>
          <w:delText> </w:delText>
        </w:r>
      </w:del>
    </w:p>
    <w:p>
      <w:pPr>
        <w:pStyle w:val="Indenta"/>
        <w:spacing w:before="70"/>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spacing w:before="70"/>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70"/>
        <w:rPr>
          <w:snapToGrid w:val="0"/>
        </w:rPr>
      </w:pPr>
      <w:r>
        <w:rPr>
          <w:snapToGrid w:val="0"/>
        </w:rPr>
        <w:tab/>
        <w:t>[(c)</w:t>
      </w:r>
      <w:r>
        <w:rPr>
          <w:snapToGrid w:val="0"/>
        </w:rPr>
        <w:tab/>
        <w:t>deleted]</w:t>
      </w:r>
      <w:del w:id="116" w:author="svcMRProcess" w:date="2018-09-05T15:32:00Z">
        <w:r>
          <w:rPr>
            <w:snapToGrid w:val="0"/>
          </w:rPr>
          <w:delText xml:space="preserve"> </w:delText>
        </w:r>
      </w:del>
    </w:p>
    <w:p>
      <w:pPr>
        <w:pStyle w:val="Indenta"/>
        <w:spacing w:before="70"/>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117" w:name="_Toc378076013"/>
      <w:bookmarkStart w:id="118" w:name="_Toc421548296"/>
      <w:bookmarkStart w:id="119" w:name="_Toc111623018"/>
      <w:bookmarkStart w:id="120" w:name="_Toc241053462"/>
      <w:bookmarkStart w:id="121" w:name="_Toc31098238"/>
      <w:bookmarkStart w:id="122" w:name="_Toc109200616"/>
      <w:r>
        <w:rPr>
          <w:rStyle w:val="CharSectno"/>
        </w:rPr>
        <w:t>14A</w:t>
      </w:r>
      <w:r>
        <w:t>.</w:t>
      </w:r>
      <w:r>
        <w:tab/>
        <w:t>Duties of Senate members</w:t>
      </w:r>
      <w:bookmarkEnd w:id="117"/>
      <w:bookmarkEnd w:id="118"/>
      <w:bookmarkEnd w:id="119"/>
      <w:bookmarkEnd w:id="120"/>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123" w:name="_Toc378076014"/>
      <w:bookmarkStart w:id="124" w:name="_Toc421548297"/>
      <w:bookmarkStart w:id="125" w:name="_Toc111623019"/>
      <w:bookmarkStart w:id="126" w:name="_Toc241053463"/>
      <w:r>
        <w:rPr>
          <w:rStyle w:val="CharSectno"/>
        </w:rPr>
        <w:t>15</w:t>
      </w:r>
      <w:r>
        <w:rPr>
          <w:snapToGrid w:val="0"/>
        </w:rPr>
        <w:t>.</w:t>
      </w:r>
      <w:r>
        <w:rPr>
          <w:snapToGrid w:val="0"/>
        </w:rPr>
        <w:tab/>
        <w:t>Resignation, disqualification and vacation of office</w:t>
      </w:r>
      <w:bookmarkEnd w:id="123"/>
      <w:bookmarkEnd w:id="124"/>
      <w:bookmarkEnd w:id="121"/>
      <w:bookmarkEnd w:id="122"/>
      <w:bookmarkEnd w:id="125"/>
      <w:bookmarkEnd w:id="126"/>
      <w:del w:id="127" w:author="svcMRProcess" w:date="2018-09-05T15:32:00Z">
        <w:r>
          <w:rPr>
            <w:snapToGrid w:val="0"/>
          </w:rPr>
          <w:delText xml:space="preserve"> </w:delText>
        </w:r>
      </w:del>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w:t>
      </w:r>
      <w:del w:id="128" w:author="svcMRProcess" w:date="2018-09-05T15:32:00Z">
        <w:r>
          <w:rPr>
            <w:snapToGrid w:val="0"/>
          </w:rPr>
          <w:delText> </w:delText>
        </w:r>
      </w:del>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A member of the Senate who is removed from office by the Senate under section 15A is not eligible to be a member again until —</w:t>
      </w:r>
      <w:del w:id="129" w:author="svcMRProcess" w:date="2018-09-05T15:32:00Z">
        <w:r>
          <w:delText xml:space="preserve"> </w:delText>
        </w:r>
      </w:del>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w:t>
      </w:r>
      <w:del w:id="130" w:author="svcMRProcess" w:date="2018-09-05T15:32:00Z">
        <w:r>
          <w:rPr>
            <w:snapToGrid w:val="0"/>
          </w:rPr>
          <w:delText> </w:delText>
        </w:r>
      </w:del>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8 of 2005 s. 28; No. 18 of 2009 s. 58.]</w:t>
      </w:r>
      <w:del w:id="131" w:author="svcMRProcess" w:date="2018-09-05T15:32:00Z">
        <w:r>
          <w:delText xml:space="preserve"> </w:delText>
        </w:r>
      </w:del>
    </w:p>
    <w:p>
      <w:pPr>
        <w:pStyle w:val="Heading5"/>
      </w:pPr>
      <w:bookmarkStart w:id="132" w:name="_Toc378076015"/>
      <w:bookmarkStart w:id="133" w:name="_Toc421548298"/>
      <w:bookmarkStart w:id="134" w:name="_Toc111623020"/>
      <w:bookmarkStart w:id="135" w:name="_Toc241053464"/>
      <w:bookmarkStart w:id="136" w:name="_Toc31098239"/>
      <w:bookmarkStart w:id="137" w:name="_Toc109200617"/>
      <w:r>
        <w:rPr>
          <w:rStyle w:val="CharSectno"/>
        </w:rPr>
        <w:t>15A</w:t>
      </w:r>
      <w:r>
        <w:t>.</w:t>
      </w:r>
      <w:r>
        <w:tab/>
        <w:t>Removal of Senate members for breach of certain duties and suspension pending removal</w:t>
      </w:r>
      <w:bookmarkEnd w:id="132"/>
      <w:bookmarkEnd w:id="133"/>
      <w:bookmarkEnd w:id="134"/>
      <w:bookmarkEnd w:id="135"/>
    </w:p>
    <w:p>
      <w:pPr>
        <w:pStyle w:val="Subsection"/>
      </w:pPr>
      <w:r>
        <w:tab/>
        <w:t>(1)</w:t>
      </w:r>
      <w:r>
        <w:tab/>
        <w:t>The Senate may —</w:t>
      </w:r>
      <w:del w:id="138" w:author="svcMRProcess" w:date="2018-09-05T15:32:00Z">
        <w:r>
          <w:delText xml:space="preserve"> </w:delText>
        </w:r>
      </w:del>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spacing w:before="140"/>
      </w:pPr>
      <w:r>
        <w:tab/>
        <w:t>(6)</w:t>
      </w:r>
      <w:r>
        <w:tab/>
        <w:t>The Senate cannot remove or suspend from office a member of the Senate for breach of a duty mentioned in Schedule 1 clause 1(1), 2(1) or 3 except in accordance with this section.</w:t>
      </w:r>
    </w:p>
    <w:p>
      <w:pPr>
        <w:pStyle w:val="Subsection"/>
        <w:spacing w:before="140"/>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spacing w:before="140"/>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ins w:id="139" w:author="svcMRProcess" w:date="2018-09-05T15:32:00Z">
        <w:r>
          <w:rPr>
            <w:vertAlign w:val="superscript"/>
          </w:rPr>
          <w:t> 1</w:t>
        </w:r>
      </w:ins>
      <w:r>
        <w:rPr>
          <w:i/>
        </w:rPr>
        <w:t>.</w:t>
      </w:r>
    </w:p>
    <w:p>
      <w:pPr>
        <w:pStyle w:val="Subsection"/>
        <w:spacing w:before="140"/>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spacing w:before="140"/>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spacing w:before="140"/>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140" w:name="_Toc378076016"/>
      <w:bookmarkStart w:id="141" w:name="_Toc421548299"/>
      <w:bookmarkStart w:id="142" w:name="_Toc111623021"/>
      <w:bookmarkStart w:id="143" w:name="_Toc241053465"/>
      <w:r>
        <w:rPr>
          <w:rStyle w:val="CharSectno"/>
        </w:rPr>
        <w:t>16</w:t>
      </w:r>
      <w:r>
        <w:rPr>
          <w:snapToGrid w:val="0"/>
        </w:rPr>
        <w:t>.</w:t>
      </w:r>
      <w:r>
        <w:rPr>
          <w:snapToGrid w:val="0"/>
        </w:rPr>
        <w:tab/>
        <w:t>Appointment to casual vacancies</w:t>
      </w:r>
      <w:bookmarkEnd w:id="140"/>
      <w:bookmarkEnd w:id="141"/>
      <w:bookmarkEnd w:id="136"/>
      <w:bookmarkEnd w:id="137"/>
      <w:bookmarkEnd w:id="142"/>
      <w:bookmarkEnd w:id="143"/>
      <w:del w:id="144" w:author="svcMRProcess" w:date="2018-09-05T15:32:00Z">
        <w:r>
          <w:rPr>
            <w:snapToGrid w:val="0"/>
          </w:rPr>
          <w:delText xml:space="preserve"> </w:delText>
        </w:r>
      </w:del>
    </w:p>
    <w:p>
      <w:pPr>
        <w:pStyle w:val="Subsection"/>
        <w:spacing w:before="140"/>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spacing w:before="140"/>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145" w:name="_Toc378076017"/>
      <w:bookmarkStart w:id="146" w:name="_Toc421548300"/>
      <w:bookmarkStart w:id="147" w:name="_Toc31098240"/>
      <w:bookmarkStart w:id="148" w:name="_Toc109200618"/>
      <w:bookmarkStart w:id="149" w:name="_Toc111623022"/>
      <w:bookmarkStart w:id="150" w:name="_Toc241053466"/>
      <w:r>
        <w:rPr>
          <w:rStyle w:val="CharSectno"/>
        </w:rPr>
        <w:t>17</w:t>
      </w:r>
      <w:r>
        <w:rPr>
          <w:snapToGrid w:val="0"/>
        </w:rPr>
        <w:t>.</w:t>
      </w:r>
      <w:r>
        <w:rPr>
          <w:snapToGrid w:val="0"/>
        </w:rPr>
        <w:tab/>
        <w:t xml:space="preserve">Functions of </w:t>
      </w:r>
      <w:del w:id="151" w:author="svcMRProcess" w:date="2018-09-05T15:32:00Z">
        <w:r>
          <w:rPr>
            <w:snapToGrid w:val="0"/>
          </w:rPr>
          <w:delText xml:space="preserve">the </w:delText>
        </w:r>
      </w:del>
      <w:r>
        <w:rPr>
          <w:snapToGrid w:val="0"/>
        </w:rPr>
        <w:t>Senate, its powers and duties</w:t>
      </w:r>
      <w:bookmarkEnd w:id="145"/>
      <w:bookmarkEnd w:id="146"/>
      <w:bookmarkEnd w:id="147"/>
      <w:bookmarkEnd w:id="148"/>
      <w:bookmarkEnd w:id="149"/>
      <w:bookmarkEnd w:id="150"/>
      <w:del w:id="152" w:author="svcMRProcess" w:date="2018-09-05T15:32:00Z">
        <w:r>
          <w:rPr>
            <w:snapToGrid w:val="0"/>
          </w:rPr>
          <w:delText xml:space="preserve"> </w:delText>
        </w:r>
      </w:del>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w:t>
      </w:r>
      <w:del w:id="153" w:author="svcMRProcess" w:date="2018-09-05T15:32:00Z">
        <w:r>
          <w:rPr>
            <w:snapToGrid w:val="0"/>
          </w:rPr>
          <w:delText> </w:delText>
        </w:r>
      </w:del>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[Section 17 amended by No. 103 of 1975 s. 2; No. 48 of 1989 s. 17.]</w:t>
      </w:r>
      <w:del w:id="154" w:author="svcMRProcess" w:date="2018-09-05T15:32:00Z">
        <w:r>
          <w:rPr>
            <w:spacing w:val="-4"/>
          </w:rPr>
          <w:delText xml:space="preserve"> </w:delText>
        </w:r>
      </w:del>
    </w:p>
    <w:p>
      <w:pPr>
        <w:pStyle w:val="Heading5"/>
      </w:pPr>
      <w:bookmarkStart w:id="155" w:name="_Toc378076018"/>
      <w:bookmarkStart w:id="156" w:name="_Toc421548301"/>
      <w:bookmarkStart w:id="157" w:name="_Toc111623023"/>
      <w:bookmarkStart w:id="158" w:name="_Toc241053467"/>
      <w:bookmarkStart w:id="159" w:name="_Toc31098241"/>
      <w:bookmarkStart w:id="160" w:name="_Toc109200619"/>
      <w:r>
        <w:rPr>
          <w:rStyle w:val="CharSectno"/>
        </w:rPr>
        <w:t>17A</w:t>
      </w:r>
      <w:r>
        <w:t>.</w:t>
      </w:r>
      <w:r>
        <w:tab/>
        <w:t>Disclosure of interests</w:t>
      </w:r>
      <w:bookmarkEnd w:id="155"/>
      <w:bookmarkEnd w:id="156"/>
      <w:bookmarkEnd w:id="157"/>
      <w:bookmarkEnd w:id="158"/>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161" w:name="_Toc378076019"/>
      <w:bookmarkStart w:id="162" w:name="_Toc421548302"/>
      <w:bookmarkStart w:id="163" w:name="_Toc111623024"/>
      <w:bookmarkStart w:id="164" w:name="_Toc241053468"/>
      <w:r>
        <w:rPr>
          <w:rStyle w:val="CharSectno"/>
        </w:rPr>
        <w:t>17B</w:t>
      </w:r>
      <w:r>
        <w:t>.</w:t>
      </w:r>
      <w:r>
        <w:tab/>
        <w:t>Relief of Senate members from liability</w:t>
      </w:r>
      <w:bookmarkEnd w:id="161"/>
      <w:bookmarkEnd w:id="162"/>
      <w:bookmarkEnd w:id="163"/>
      <w:bookmarkEnd w:id="164"/>
    </w:p>
    <w:p>
      <w:pPr>
        <w:pStyle w:val="Subsection"/>
      </w:pPr>
      <w:r>
        <w:tab/>
      </w:r>
      <w:r>
        <w:tab/>
        <w:t>If, in any civil proceeding against a person who is or was a member of the Senate for negligence, default, breach of trust or breach of duty in the person’s capacity as a member of the Senate, it appears to the court that the person —</w:t>
      </w:r>
      <w:del w:id="165" w:author="svcMRProcess" w:date="2018-09-05T15:32:00Z">
        <w:r>
          <w:delText xml:space="preserve"> </w:delText>
        </w:r>
      </w:del>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ought fairly to be excused for the negligence, default or breach having regard to all the circumstances of the case, including those connected with the person’s appointment,</w:t>
      </w:r>
      <w:del w:id="166" w:author="svcMRProcess" w:date="2018-09-05T15:32:00Z">
        <w:r>
          <w:delText xml:space="preserve"> </w:delText>
        </w:r>
      </w:del>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167" w:name="_Toc378076020"/>
      <w:bookmarkStart w:id="168" w:name="_Toc421548303"/>
      <w:bookmarkStart w:id="169" w:name="_Toc111623025"/>
      <w:bookmarkStart w:id="170" w:name="_Toc241053469"/>
      <w:r>
        <w:rPr>
          <w:rStyle w:val="CharSectno"/>
        </w:rPr>
        <w:t>18</w:t>
      </w:r>
      <w:r>
        <w:rPr>
          <w:snapToGrid w:val="0"/>
        </w:rPr>
        <w:t>.</w:t>
      </w:r>
      <w:r>
        <w:rPr>
          <w:snapToGrid w:val="0"/>
        </w:rPr>
        <w:tab/>
        <w:t>Delegation by Senate</w:t>
      </w:r>
      <w:bookmarkEnd w:id="167"/>
      <w:bookmarkEnd w:id="168"/>
      <w:bookmarkEnd w:id="159"/>
      <w:bookmarkEnd w:id="160"/>
      <w:bookmarkEnd w:id="169"/>
      <w:bookmarkEnd w:id="170"/>
      <w:del w:id="171" w:author="svcMRProcess" w:date="2018-09-05T15:32:00Z">
        <w:r>
          <w:rPr>
            <w:snapToGrid w:val="0"/>
          </w:rPr>
          <w:delText xml:space="preserve"> </w:delText>
        </w:r>
      </w:del>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any —</w:t>
      </w:r>
      <w:del w:id="172" w:author="svcMRProcess" w:date="2018-09-05T15:32:00Z">
        <w:r>
          <w:delText xml:space="preserve"> </w:delText>
        </w:r>
      </w:del>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173" w:name="_Toc378076021"/>
      <w:bookmarkStart w:id="174" w:name="_Toc421548304"/>
      <w:bookmarkStart w:id="175" w:name="_Toc31098242"/>
      <w:bookmarkStart w:id="176" w:name="_Toc109200620"/>
      <w:bookmarkStart w:id="177" w:name="_Toc111623026"/>
      <w:bookmarkStart w:id="178" w:name="_Toc241053470"/>
      <w:r>
        <w:rPr>
          <w:rStyle w:val="CharSectno"/>
        </w:rPr>
        <w:t>19</w:t>
      </w:r>
      <w:r>
        <w:rPr>
          <w:snapToGrid w:val="0"/>
        </w:rPr>
        <w:t>.</w:t>
      </w:r>
      <w:r>
        <w:rPr>
          <w:snapToGrid w:val="0"/>
        </w:rPr>
        <w:tab/>
        <w:t>Convocation</w:t>
      </w:r>
      <w:bookmarkEnd w:id="173"/>
      <w:bookmarkEnd w:id="174"/>
      <w:bookmarkEnd w:id="175"/>
      <w:bookmarkEnd w:id="176"/>
      <w:bookmarkEnd w:id="177"/>
      <w:bookmarkEnd w:id="178"/>
      <w:del w:id="179" w:author="svcMRProcess" w:date="2018-09-05T15:32:00Z">
        <w:r>
          <w:rPr>
            <w:snapToGrid w:val="0"/>
          </w:rPr>
          <w:delText xml:space="preserve"> </w:delText>
        </w:r>
      </w:del>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w:t>
      </w:r>
      <w:del w:id="180" w:author="svcMRProcess" w:date="2018-09-05T15:32:00Z">
        <w:r>
          <w:rPr>
            <w:snapToGrid w:val="0"/>
          </w:rPr>
          <w:delText> </w:delText>
        </w:r>
      </w:del>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rPr>
          <w:snapToGrid w:val="0"/>
        </w:rPr>
      </w:pPr>
      <w:r>
        <w:rPr>
          <w:snapToGrid w:val="0"/>
        </w:rPr>
        <w:tab/>
        <w:t>(3)</w:t>
      </w:r>
      <w:r>
        <w:rPr>
          <w:snapToGrid w:val="0"/>
        </w:rPr>
        <w:tab/>
        <w:t>The functions of Convocation shall include —</w:t>
      </w:r>
      <w:del w:id="181" w:author="svcMRProcess" w:date="2018-09-05T15:32:00Z">
        <w:r>
          <w:rPr>
            <w:snapToGrid w:val="0"/>
          </w:rPr>
          <w:delText> </w:delText>
        </w:r>
      </w:del>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182" w:name="_Toc378076022"/>
      <w:bookmarkStart w:id="183" w:name="_Toc421548305"/>
      <w:bookmarkStart w:id="184" w:name="_Toc31098243"/>
      <w:bookmarkStart w:id="185" w:name="_Toc109200621"/>
      <w:bookmarkStart w:id="186" w:name="_Toc111623027"/>
      <w:bookmarkStart w:id="187" w:name="_Toc241053471"/>
      <w:r>
        <w:rPr>
          <w:rStyle w:val="CharSectno"/>
        </w:rPr>
        <w:t>20</w:t>
      </w:r>
      <w:r>
        <w:rPr>
          <w:snapToGrid w:val="0"/>
        </w:rPr>
        <w:t>.</w:t>
      </w:r>
      <w:r>
        <w:rPr>
          <w:snapToGrid w:val="0"/>
        </w:rPr>
        <w:tab/>
        <w:t>Guild of Students</w:t>
      </w:r>
      <w:bookmarkEnd w:id="182"/>
      <w:bookmarkEnd w:id="183"/>
      <w:bookmarkEnd w:id="184"/>
      <w:bookmarkEnd w:id="185"/>
      <w:bookmarkEnd w:id="186"/>
      <w:bookmarkEnd w:id="187"/>
      <w:del w:id="188" w:author="svcMRProcess" w:date="2018-09-05T15:32:00Z">
        <w:r>
          <w:rPr>
            <w:snapToGrid w:val="0"/>
          </w:rPr>
          <w:delText xml:space="preserve"> </w:delText>
        </w:r>
      </w:del>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A student may —</w:t>
      </w:r>
      <w:del w:id="189" w:author="svcMRProcess" w:date="2018-09-05T15:32:00Z">
        <w:r>
          <w:delText xml:space="preserve"> </w:delText>
        </w:r>
      </w:del>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[Section 20 amended by No. 61 of 1977 s. 7; No. 51 of 1983 s. 9; No. 91 of 1994 s. 13; No. 44 of 2002 s. 10.]</w:t>
      </w:r>
      <w:del w:id="190" w:author="svcMRProcess" w:date="2018-09-05T15:32:00Z">
        <w:r>
          <w:delText xml:space="preserve"> </w:delText>
        </w:r>
      </w:del>
    </w:p>
    <w:p>
      <w:pPr>
        <w:pStyle w:val="Heading5"/>
      </w:pPr>
      <w:bookmarkStart w:id="191" w:name="_Toc378076023"/>
      <w:bookmarkStart w:id="192" w:name="_Toc421548306"/>
      <w:bookmarkStart w:id="193" w:name="_Toc31098244"/>
      <w:bookmarkStart w:id="194" w:name="_Toc109200622"/>
      <w:bookmarkStart w:id="195" w:name="_Toc111623028"/>
      <w:bookmarkStart w:id="196" w:name="_Toc241053472"/>
      <w:r>
        <w:rPr>
          <w:rStyle w:val="CharSectno"/>
        </w:rPr>
        <w:t>20A</w:t>
      </w:r>
      <w:r>
        <w:t>.</w:t>
      </w:r>
      <w:r>
        <w:tab/>
        <w:t>Amenities and services fee</w:t>
      </w:r>
      <w:bookmarkEnd w:id="191"/>
      <w:bookmarkEnd w:id="192"/>
      <w:bookmarkEnd w:id="193"/>
      <w:bookmarkEnd w:id="194"/>
      <w:bookmarkEnd w:id="195"/>
      <w:bookmarkEnd w:id="196"/>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197" w:name="_Toc378076024"/>
      <w:bookmarkStart w:id="198" w:name="_Toc421548307"/>
      <w:bookmarkStart w:id="199" w:name="_Toc31098245"/>
      <w:bookmarkStart w:id="200" w:name="_Toc109200623"/>
      <w:bookmarkStart w:id="201" w:name="_Toc111623029"/>
      <w:bookmarkStart w:id="202" w:name="_Toc241053473"/>
      <w:r>
        <w:rPr>
          <w:rStyle w:val="CharSectno"/>
        </w:rPr>
        <w:t>20B</w:t>
      </w:r>
      <w:r>
        <w:t>.</w:t>
      </w:r>
      <w:r>
        <w:tab/>
        <w:t>Senate to include detail in Statute</w:t>
      </w:r>
      <w:bookmarkEnd w:id="197"/>
      <w:bookmarkEnd w:id="198"/>
      <w:bookmarkEnd w:id="199"/>
      <w:bookmarkEnd w:id="200"/>
      <w:bookmarkEnd w:id="201"/>
      <w:bookmarkEnd w:id="202"/>
      <w:del w:id="203" w:author="svcMRProcess" w:date="2018-09-05T15:32:00Z">
        <w:r>
          <w:delText xml:space="preserve"> </w:delText>
        </w:r>
      </w:del>
    </w:p>
    <w:p>
      <w:pPr>
        <w:pStyle w:val="Subsection"/>
      </w:pPr>
      <w:r>
        <w:tab/>
        <w:t>(1)</w:t>
      </w:r>
      <w:r>
        <w:tab/>
        <w:t>The Senate shall specify, by Statute, the broad categories of amenities and services to which the Guild may apply the fees paid to it.</w:t>
      </w:r>
    </w:p>
    <w:p>
      <w:pPr>
        <w:pStyle w:val="Subsection"/>
      </w:pPr>
      <w:r>
        <w:tab/>
        <w:t>(2)</w:t>
      </w:r>
      <w:r>
        <w:tab/>
        <w:t>The Senate shall prescribe, by Statute, the processes for —</w:t>
      </w:r>
      <w:del w:id="204" w:author="svcMRProcess" w:date="2018-09-05T15:32:00Z">
        <w:r>
          <w:delText xml:space="preserve"> </w:delText>
        </w:r>
      </w:del>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The Senate shall prescribe, by Statute, the measures by which the Guild is to account for the fees received, and those measures shall include —</w:t>
      </w:r>
      <w:del w:id="205" w:author="svcMRProcess" w:date="2018-09-05T15:32:00Z">
        <w:r>
          <w:delText xml:space="preserve"> </w:delText>
        </w:r>
      </w:del>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206" w:name="_Toc378076025"/>
      <w:bookmarkStart w:id="207" w:name="_Toc421548308"/>
      <w:bookmarkStart w:id="208" w:name="_Toc31098246"/>
      <w:bookmarkStart w:id="209" w:name="_Toc109200624"/>
      <w:bookmarkStart w:id="210" w:name="_Toc111623030"/>
      <w:bookmarkStart w:id="211" w:name="_Toc241053474"/>
      <w:r>
        <w:rPr>
          <w:rStyle w:val="CharSectno"/>
        </w:rPr>
        <w:t>21</w:t>
      </w:r>
      <w:r>
        <w:rPr>
          <w:snapToGrid w:val="0"/>
        </w:rPr>
        <w:t>.</w:t>
      </w:r>
      <w:r>
        <w:rPr>
          <w:snapToGrid w:val="0"/>
        </w:rPr>
        <w:tab/>
        <w:t>Academic Council</w:t>
      </w:r>
      <w:bookmarkEnd w:id="206"/>
      <w:bookmarkEnd w:id="207"/>
      <w:bookmarkEnd w:id="208"/>
      <w:bookmarkEnd w:id="209"/>
      <w:bookmarkEnd w:id="210"/>
      <w:bookmarkEnd w:id="211"/>
      <w:del w:id="212" w:author="svcMRProcess" w:date="2018-09-05T15:32:00Z">
        <w:r>
          <w:rPr>
            <w:snapToGrid w:val="0"/>
          </w:rPr>
          <w:delText xml:space="preserve"> </w:delText>
        </w:r>
      </w:del>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w:t>
      </w:r>
      <w:del w:id="213" w:author="svcMRProcess" w:date="2018-09-05T15:32:00Z">
        <w:r>
          <w:rPr>
            <w:snapToGrid w:val="0"/>
          </w:rPr>
          <w:delText> </w:delText>
        </w:r>
      </w:del>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w:t>
      </w:r>
      <w:del w:id="214" w:author="svcMRProcess" w:date="2018-09-05T15:32:00Z">
        <w:r>
          <w:rPr>
            <w:snapToGrid w:val="0"/>
          </w:rPr>
          <w:delText> </w:delText>
        </w:r>
      </w:del>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215" w:name="_Toc378076026"/>
      <w:bookmarkStart w:id="216" w:name="_Toc421548309"/>
      <w:bookmarkStart w:id="217" w:name="_Toc31098247"/>
      <w:bookmarkStart w:id="218" w:name="_Toc109200625"/>
      <w:bookmarkStart w:id="219" w:name="_Toc111623031"/>
      <w:bookmarkStart w:id="220" w:name="_Toc241053475"/>
      <w:r>
        <w:rPr>
          <w:rStyle w:val="CharSectno"/>
        </w:rPr>
        <w:t>22</w:t>
      </w:r>
      <w:r>
        <w:rPr>
          <w:snapToGrid w:val="0"/>
        </w:rPr>
        <w:t>.</w:t>
      </w:r>
      <w:r>
        <w:rPr>
          <w:snapToGrid w:val="0"/>
        </w:rPr>
        <w:tab/>
        <w:t>Degrees and academic distinctions</w:t>
      </w:r>
      <w:bookmarkEnd w:id="215"/>
      <w:bookmarkEnd w:id="216"/>
      <w:bookmarkEnd w:id="217"/>
      <w:bookmarkEnd w:id="218"/>
      <w:bookmarkEnd w:id="219"/>
      <w:bookmarkEnd w:id="220"/>
      <w:del w:id="221" w:author="svcMRProcess" w:date="2018-09-05T15:32:00Z">
        <w:r>
          <w:rPr>
            <w:snapToGrid w:val="0"/>
          </w:rPr>
          <w:delText xml:space="preserve"> </w:delText>
        </w:r>
      </w:del>
    </w:p>
    <w:p>
      <w:pPr>
        <w:pStyle w:val="Subsection"/>
        <w:spacing w:before="140"/>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spacing w:before="140"/>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spacing w:before="140"/>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222" w:name="_Toc378076027"/>
      <w:bookmarkStart w:id="223" w:name="_Toc421548310"/>
      <w:bookmarkStart w:id="224" w:name="_Toc31098248"/>
      <w:bookmarkStart w:id="225" w:name="_Toc109200626"/>
      <w:bookmarkStart w:id="226" w:name="_Toc111623032"/>
      <w:bookmarkStart w:id="227" w:name="_Toc241053476"/>
      <w:r>
        <w:rPr>
          <w:rStyle w:val="CharSectno"/>
        </w:rPr>
        <w:t>23</w:t>
      </w:r>
      <w:r>
        <w:rPr>
          <w:snapToGrid w:val="0"/>
        </w:rPr>
        <w:t>.</w:t>
      </w:r>
      <w:r>
        <w:rPr>
          <w:snapToGrid w:val="0"/>
        </w:rPr>
        <w:tab/>
        <w:t>Vice</w:t>
      </w:r>
      <w:r>
        <w:rPr>
          <w:snapToGrid w:val="0"/>
        </w:rPr>
        <w:noBreakHyphen/>
        <w:t>Chancellor</w:t>
      </w:r>
      <w:bookmarkEnd w:id="222"/>
      <w:bookmarkEnd w:id="223"/>
      <w:bookmarkEnd w:id="224"/>
      <w:bookmarkEnd w:id="225"/>
      <w:bookmarkEnd w:id="226"/>
      <w:bookmarkEnd w:id="227"/>
      <w:del w:id="228" w:author="svcMRProcess" w:date="2018-09-05T15:32:00Z">
        <w:r>
          <w:rPr>
            <w:snapToGrid w:val="0"/>
          </w:rPr>
          <w:delText xml:space="preserve"> </w:delText>
        </w:r>
      </w:del>
    </w:p>
    <w:p>
      <w:pPr>
        <w:pStyle w:val="Subsection"/>
        <w:spacing w:before="140"/>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spacing w:before="140"/>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spacing w:before="140"/>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229" w:name="_Toc378076028"/>
      <w:bookmarkStart w:id="230" w:name="_Toc421548311"/>
      <w:bookmarkStart w:id="231" w:name="_Toc31098249"/>
      <w:bookmarkStart w:id="232" w:name="_Toc109200627"/>
      <w:bookmarkStart w:id="233" w:name="_Toc111623033"/>
      <w:bookmarkStart w:id="234" w:name="_Toc241053477"/>
      <w:r>
        <w:rPr>
          <w:rStyle w:val="CharSectno"/>
        </w:rPr>
        <w:t>24</w:t>
      </w:r>
      <w:r>
        <w:rPr>
          <w:snapToGrid w:val="0"/>
        </w:rPr>
        <w:t>.</w:t>
      </w:r>
      <w:r>
        <w:rPr>
          <w:snapToGrid w:val="0"/>
        </w:rPr>
        <w:tab/>
        <w:t>By</w:t>
      </w:r>
      <w:r>
        <w:rPr>
          <w:snapToGrid w:val="0"/>
        </w:rPr>
        <w:noBreakHyphen/>
        <w:t>laws</w:t>
      </w:r>
      <w:bookmarkEnd w:id="229"/>
      <w:bookmarkEnd w:id="230"/>
      <w:bookmarkEnd w:id="231"/>
      <w:bookmarkEnd w:id="232"/>
      <w:bookmarkEnd w:id="233"/>
      <w:bookmarkEnd w:id="234"/>
      <w:del w:id="235" w:author="svcMRProcess" w:date="2018-09-05T15:32:00Z">
        <w:r>
          <w:rPr>
            <w:snapToGrid w:val="0"/>
          </w:rPr>
          <w:delText xml:space="preserve"> </w:delText>
        </w:r>
      </w:del>
    </w:p>
    <w:p>
      <w:pPr>
        <w:pStyle w:val="Subsection"/>
        <w:rPr>
          <w:snapToGrid w:val="0"/>
        </w:rPr>
      </w:pPr>
      <w:r>
        <w:rPr>
          <w:snapToGrid w:val="0"/>
        </w:rPr>
        <w:tab/>
        <w:t>(1)</w:t>
      </w:r>
      <w:r>
        <w:rPr>
          <w:snapToGrid w:val="0"/>
        </w:rPr>
        <w:tab/>
        <w:t>By</w:t>
      </w:r>
      <w:r>
        <w:rPr>
          <w:snapToGrid w:val="0"/>
        </w:rPr>
        <w:noBreakHyphen/>
        <w:t>laws made under this Act —</w:t>
      </w:r>
      <w:del w:id="236" w:author="svcMRProcess" w:date="2018-09-05T15:32:00Z">
        <w:r>
          <w:rPr>
            <w:snapToGrid w:val="0"/>
          </w:rPr>
          <w:delText> </w:delText>
        </w:r>
      </w:del>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w:t>
      </w:r>
      <w:del w:id="237" w:author="svcMRProcess" w:date="2018-09-05T15:32:00Z">
        <w:r>
          <w:rPr>
            <w:snapToGrid w:val="0"/>
          </w:rPr>
          <w:delText> </w:delText>
        </w:r>
      </w:del>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w:t>
      </w:r>
      <w:del w:id="238" w:author="svcMRProcess" w:date="2018-09-05T15:32:00Z">
        <w:r>
          <w:rPr>
            <w:snapToGrid w:val="0"/>
          </w:rPr>
          <w:delText> </w:delText>
        </w:r>
      </w:del>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w:t>
      </w:r>
      <w:del w:id="239" w:author="svcMRProcess" w:date="2018-09-05T15:32:00Z">
        <w:r>
          <w:rPr>
            <w:snapToGrid w:val="0"/>
          </w:rPr>
          <w:delText> </w:delText>
        </w:r>
      </w:del>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rPr>
          <w:snapToGrid w:val="0"/>
        </w:rPr>
      </w:pPr>
      <w:r>
        <w:rPr>
          <w:snapToGrid w:val="0"/>
        </w:rPr>
        <w:tab/>
        <w:t>(c)</w:t>
      </w:r>
      <w:r>
        <w:rPr>
          <w:snapToGrid w:val="0"/>
        </w:rPr>
        <w:tab/>
        <w:t>fees, charges and exemptions;</w:t>
      </w:r>
    </w:p>
    <w:p>
      <w:pPr>
        <w:pStyle w:val="Indenta"/>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rPr>
          <w:snapToGrid w:val="0"/>
        </w:rPr>
      </w:pPr>
      <w:r>
        <w:rPr>
          <w:snapToGrid w:val="0"/>
        </w:rPr>
        <w:tab/>
        <w:t>(e)</w:t>
      </w:r>
      <w:r>
        <w:rPr>
          <w:snapToGrid w:val="0"/>
        </w:rPr>
        <w:tab/>
        <w:t>the use, safety and preservation of buildings, structures, erections, fixtures, fittings and chattels;</w:t>
      </w:r>
    </w:p>
    <w:p>
      <w:pPr>
        <w:pStyle w:val="Indenta"/>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rPr>
          <w:snapToGrid w:val="0"/>
        </w:rPr>
      </w:pPr>
      <w:r>
        <w:rPr>
          <w:snapToGrid w:val="0"/>
        </w:rPr>
        <w:tab/>
        <w:t>(g)</w:t>
      </w:r>
      <w:r>
        <w:rPr>
          <w:snapToGrid w:val="0"/>
        </w:rPr>
        <w:tab/>
        <w:t>the prohibition of nuisances, or any offensive, indecent or improper act, conduct, language or behaviour;</w:t>
      </w:r>
    </w:p>
    <w:p>
      <w:pPr>
        <w:pStyle w:val="Indenta"/>
        <w:rPr>
          <w:snapToGrid w:val="0"/>
        </w:rPr>
      </w:pPr>
      <w:r>
        <w:rPr>
          <w:snapToGrid w:val="0"/>
        </w:rPr>
        <w:tab/>
        <w:t>(h)</w:t>
      </w:r>
      <w:r>
        <w:rPr>
          <w:snapToGrid w:val="0"/>
        </w:rPr>
        <w:tab/>
        <w:t>the prohibition, restriction or regulation of the possession, use or supply of alcoholic liquor or deleterious substances;</w:t>
      </w:r>
    </w:p>
    <w:p>
      <w:pPr>
        <w:pStyle w:val="Indenta"/>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rPr>
          <w:snapToGrid w:val="0"/>
        </w:rPr>
      </w:pPr>
      <w:r>
        <w:rPr>
          <w:snapToGrid w:val="0"/>
        </w:rPr>
        <w:tab/>
        <w:t>(9)</w:t>
      </w:r>
      <w:r>
        <w:rPr>
          <w:snapToGrid w:val="0"/>
        </w:rPr>
        <w:tab/>
        <w:t>All pecuniary penalties shall be appropriated and paid to the Senate for the use of the University.</w:t>
      </w:r>
    </w:p>
    <w:p>
      <w:pPr>
        <w:pStyle w:val="Subsection"/>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[Section 24 amended by No. 103 of 1975 s. 3; No. 26 of 1980 s. 4; No. 78 of 1995 s. 75; No. 84 of 2004 s. 80.]</w:t>
      </w:r>
      <w:del w:id="240" w:author="svcMRProcess" w:date="2018-09-05T15:32:00Z">
        <w:r>
          <w:delText xml:space="preserve"> </w:delText>
        </w:r>
      </w:del>
    </w:p>
    <w:p>
      <w:pPr>
        <w:pStyle w:val="Heading5"/>
        <w:rPr>
          <w:snapToGrid w:val="0"/>
        </w:rPr>
      </w:pPr>
      <w:bookmarkStart w:id="241" w:name="_Toc378076029"/>
      <w:bookmarkStart w:id="242" w:name="_Toc421548312"/>
      <w:bookmarkStart w:id="243" w:name="_Toc31098250"/>
      <w:bookmarkStart w:id="244" w:name="_Toc109200628"/>
      <w:bookmarkStart w:id="245" w:name="_Toc111623034"/>
      <w:bookmarkStart w:id="246" w:name="_Toc241053478"/>
      <w:r>
        <w:rPr>
          <w:rStyle w:val="CharSectno"/>
        </w:rPr>
        <w:t>25</w:t>
      </w:r>
      <w:r>
        <w:rPr>
          <w:snapToGrid w:val="0"/>
        </w:rPr>
        <w:t>.</w:t>
      </w:r>
      <w:r>
        <w:rPr>
          <w:snapToGrid w:val="0"/>
        </w:rPr>
        <w:tab/>
        <w:t>Statutes</w:t>
      </w:r>
      <w:bookmarkEnd w:id="241"/>
      <w:bookmarkEnd w:id="242"/>
      <w:bookmarkEnd w:id="243"/>
      <w:bookmarkEnd w:id="244"/>
      <w:bookmarkEnd w:id="245"/>
      <w:bookmarkEnd w:id="246"/>
      <w:del w:id="247" w:author="svcMRProcess" w:date="2018-09-05T15:32:00Z">
        <w:r>
          <w:rPr>
            <w:snapToGrid w:val="0"/>
          </w:rPr>
          <w:delText xml:space="preserve"> </w:delText>
        </w:r>
      </w:del>
    </w:p>
    <w:p>
      <w:pPr>
        <w:pStyle w:val="Subsection"/>
        <w:rPr>
          <w:snapToGrid w:val="0"/>
        </w:rPr>
      </w:pPr>
      <w:r>
        <w:rPr>
          <w:snapToGrid w:val="0"/>
        </w:rPr>
        <w:tab/>
        <w:t>(1)</w:t>
      </w:r>
      <w:r>
        <w:rPr>
          <w:snapToGrid w:val="0"/>
        </w:rPr>
        <w:tab/>
        <w:t>Every proposed Statute —</w:t>
      </w:r>
      <w:del w:id="248" w:author="svcMRProcess" w:date="2018-09-05T15:32:00Z">
        <w:r>
          <w:rPr>
            <w:snapToGrid w:val="0"/>
          </w:rPr>
          <w:delText> </w:delText>
        </w:r>
      </w:del>
    </w:p>
    <w:p>
      <w:pPr>
        <w:pStyle w:val="Indenta"/>
        <w:rPr>
          <w:snapToGrid w:val="0"/>
        </w:rPr>
      </w:pPr>
      <w:r>
        <w:rPr>
          <w:snapToGrid w:val="0"/>
        </w:rPr>
        <w:tab/>
        <w:t>(a)</w:t>
      </w:r>
      <w:r>
        <w:rPr>
          <w:snapToGrid w:val="0"/>
        </w:rPr>
        <w:tab/>
        <w:t>if approved by a motion of an absolute majority of the members of the Senate; and</w:t>
      </w:r>
    </w:p>
    <w:p>
      <w:pPr>
        <w:pStyle w:val="Indenta"/>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w:t>
      </w:r>
      <w:del w:id="249" w:author="svcMRProcess" w:date="2018-09-05T15:32:00Z">
        <w:r>
          <w:rPr>
            <w:snapToGrid w:val="0"/>
          </w:rPr>
          <w:delText> </w:delText>
        </w:r>
      </w:del>
    </w:p>
    <w:p>
      <w:pPr>
        <w:pStyle w:val="Indenta"/>
        <w:spacing w:before="70"/>
        <w:rPr>
          <w:snapToGrid w:val="0"/>
        </w:rPr>
      </w:pPr>
      <w:r>
        <w:rPr>
          <w:snapToGrid w:val="0"/>
        </w:rPr>
        <w:tab/>
        <w:t>(a)</w:t>
      </w:r>
      <w:r>
        <w:rPr>
          <w:snapToGrid w:val="0"/>
        </w:rPr>
        <w:tab/>
        <w:t>the use and custody of the official seal of the University;</w:t>
      </w:r>
    </w:p>
    <w:p>
      <w:pPr>
        <w:pStyle w:val="Indenta"/>
        <w:spacing w:before="70"/>
        <w:rPr>
          <w:snapToGrid w:val="0"/>
        </w:rPr>
      </w:pPr>
      <w:r>
        <w:rPr>
          <w:snapToGrid w:val="0"/>
        </w:rPr>
        <w:tab/>
        <w:t>(b)</w:t>
      </w:r>
      <w:r>
        <w:rPr>
          <w:snapToGrid w:val="0"/>
        </w:rPr>
        <w:tab/>
        <w:t>the qualifications for entry to the University and the selection and enrolment of students;</w:t>
      </w:r>
    </w:p>
    <w:p>
      <w:pPr>
        <w:pStyle w:val="Indenta"/>
        <w:spacing w:before="70"/>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spacing w:before="70"/>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spacing w:before="100"/>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spacing w:before="100"/>
        <w:rPr>
          <w:snapToGrid w:val="0"/>
        </w:rPr>
      </w:pPr>
      <w:r>
        <w:rPr>
          <w:snapToGrid w:val="0"/>
        </w:rPr>
        <w:tab/>
        <w:t>(f)</w:t>
      </w:r>
      <w:r>
        <w:rPr>
          <w:snapToGrid w:val="0"/>
        </w:rPr>
        <w:tab/>
        <w:t>any election to an office in a constituent body of the University, or to any committee;</w:t>
      </w:r>
    </w:p>
    <w:p>
      <w:pPr>
        <w:pStyle w:val="Indenta"/>
        <w:spacing w:before="100"/>
        <w:rPr>
          <w:snapToGrid w:val="0"/>
        </w:rPr>
      </w:pPr>
      <w:r>
        <w:rPr>
          <w:snapToGrid w:val="0"/>
        </w:rPr>
        <w:tab/>
        <w:t>(g)</w:t>
      </w:r>
      <w:r>
        <w:rPr>
          <w:snapToGrid w:val="0"/>
        </w:rPr>
        <w:tab/>
        <w:t>the procedure for the co</w:t>
      </w:r>
      <w:r>
        <w:rPr>
          <w:snapToGrid w:val="0"/>
        </w:rPr>
        <w:noBreakHyphen/>
        <w:t>option of members to the Senate;</w:t>
      </w:r>
    </w:p>
    <w:p>
      <w:pPr>
        <w:pStyle w:val="Indenta"/>
        <w:spacing w:before="100"/>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spacing w:before="100"/>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spacing w:before="100"/>
        <w:rPr>
          <w:snapToGrid w:val="0"/>
        </w:rPr>
      </w:pPr>
      <w:r>
        <w:rPr>
          <w:snapToGrid w:val="0"/>
        </w:rPr>
        <w:tab/>
        <w:t>(j)</w:t>
      </w:r>
      <w:r>
        <w:rPr>
          <w:snapToGrid w:val="0"/>
        </w:rPr>
        <w:tab/>
        <w:t>the conditions under which persons may be appointed by the Senate as members of Convocation;</w:t>
      </w:r>
    </w:p>
    <w:p>
      <w:pPr>
        <w:pStyle w:val="Indenta"/>
        <w:spacing w:before="100"/>
        <w:rPr>
          <w:snapToGrid w:val="0"/>
        </w:rPr>
      </w:pPr>
      <w:r>
        <w:rPr>
          <w:snapToGrid w:val="0"/>
        </w:rPr>
        <w:tab/>
        <w:t>(k)</w:t>
      </w:r>
      <w:r>
        <w:rPr>
          <w:snapToGrid w:val="0"/>
        </w:rPr>
        <w:tab/>
        <w:t>the powers, authorities, duties and functions which may be exercised and discharged by Convocation;</w:t>
      </w:r>
    </w:p>
    <w:p>
      <w:pPr>
        <w:pStyle w:val="Indenta"/>
        <w:spacing w:before="100"/>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spacing w:before="100"/>
        <w:rPr>
          <w:snapToGrid w:val="0"/>
        </w:rPr>
      </w:pPr>
      <w:r>
        <w:rPr>
          <w:snapToGrid w:val="0"/>
        </w:rPr>
        <w:tab/>
        <w:t>(m)</w:t>
      </w:r>
      <w:r>
        <w:rPr>
          <w:snapToGrid w:val="0"/>
        </w:rPr>
        <w:tab/>
        <w:t>the membership of the Academic Council;</w:t>
      </w:r>
    </w:p>
    <w:p>
      <w:pPr>
        <w:pStyle w:val="Indenta"/>
        <w:spacing w:before="100"/>
        <w:rPr>
          <w:snapToGrid w:val="0"/>
        </w:rPr>
      </w:pPr>
      <w:r>
        <w:rPr>
          <w:snapToGrid w:val="0"/>
        </w:rPr>
        <w:tab/>
        <w:t>(n)</w:t>
      </w:r>
      <w:r>
        <w:rPr>
          <w:snapToGrid w:val="0"/>
        </w:rPr>
        <w:tab/>
        <w:t>the powers and duties of the Academic Council;</w:t>
      </w:r>
    </w:p>
    <w:p>
      <w:pPr>
        <w:pStyle w:val="Indenta"/>
        <w:spacing w:before="100"/>
        <w:rPr>
          <w:snapToGrid w:val="0"/>
        </w:rPr>
      </w:pPr>
      <w:r>
        <w:rPr>
          <w:snapToGrid w:val="0"/>
        </w:rPr>
        <w:tab/>
        <w:t>(o)</w:t>
      </w:r>
      <w:r>
        <w:rPr>
          <w:snapToGrid w:val="0"/>
        </w:rPr>
        <w:tab/>
        <w:t>classes of membership and the conditions or qualifications for membership of the Guild of Students;</w:t>
      </w:r>
    </w:p>
    <w:p>
      <w:pPr>
        <w:pStyle w:val="Indenta"/>
        <w:spacing w:before="100"/>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spacing w:before="100"/>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spacing w:before="100"/>
        <w:rPr>
          <w:snapToGrid w:val="0"/>
        </w:rPr>
      </w:pPr>
      <w:r>
        <w:rPr>
          <w:snapToGrid w:val="0"/>
        </w:rPr>
        <w:tab/>
        <w:t>(r)</w:t>
      </w:r>
      <w:r>
        <w:rPr>
          <w:snapToGrid w:val="0"/>
        </w:rPr>
        <w:tab/>
        <w:t>the regulation of the discipline of the University and to determine in what manner disciplinary powers shall be exercised;</w:t>
      </w:r>
    </w:p>
    <w:p>
      <w:pPr>
        <w:pStyle w:val="Indenta"/>
        <w:spacing w:before="100"/>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spacing w:before="100"/>
        <w:rPr>
          <w:snapToGrid w:val="0"/>
        </w:rPr>
      </w:pPr>
      <w:r>
        <w:rPr>
          <w:snapToGrid w:val="0"/>
        </w:rPr>
        <w:tab/>
        <w:t>(t)</w:t>
      </w:r>
      <w:r>
        <w:rPr>
          <w:snapToGrid w:val="0"/>
        </w:rPr>
        <w:tab/>
        <w:t>the exemption from payment of fees and charges;</w:t>
      </w:r>
    </w:p>
    <w:p>
      <w:pPr>
        <w:pStyle w:val="Indenta"/>
        <w:spacing w:before="100"/>
        <w:rPr>
          <w:snapToGrid w:val="0"/>
        </w:rPr>
      </w:pPr>
      <w:r>
        <w:rPr>
          <w:snapToGrid w:val="0"/>
        </w:rPr>
        <w:tab/>
        <w:t>(u)</w:t>
      </w:r>
      <w:r>
        <w:rPr>
          <w:snapToGrid w:val="0"/>
        </w:rPr>
        <w:tab/>
        <w:t>the terms and conditions upon which scholarships and prizes may be conferred or awarded;</w:t>
      </w:r>
    </w:p>
    <w:p>
      <w:pPr>
        <w:pStyle w:val="Indenta"/>
        <w:spacing w:before="100"/>
        <w:rPr>
          <w:snapToGrid w:val="0"/>
        </w:rPr>
      </w:pPr>
      <w:r>
        <w:rPr>
          <w:snapToGrid w:val="0"/>
        </w:rPr>
        <w:tab/>
        <w:t>(v)</w:t>
      </w:r>
      <w:r>
        <w:rPr>
          <w:snapToGrid w:val="0"/>
        </w:rPr>
        <w:tab/>
        <w:t>the establishment and conduct of external teaching;</w:t>
      </w:r>
    </w:p>
    <w:p>
      <w:pPr>
        <w:pStyle w:val="Indenta"/>
        <w:spacing w:before="100"/>
        <w:rPr>
          <w:snapToGrid w:val="0"/>
        </w:rPr>
      </w:pPr>
      <w:r>
        <w:rPr>
          <w:snapToGrid w:val="0"/>
        </w:rPr>
        <w:tab/>
        <w:t>(w)</w:t>
      </w:r>
      <w:r>
        <w:rPr>
          <w:snapToGrid w:val="0"/>
        </w:rPr>
        <w:tab/>
        <w:t>academic dress; and</w:t>
      </w:r>
    </w:p>
    <w:p>
      <w:pPr>
        <w:pStyle w:val="Indenta"/>
        <w:spacing w:before="100"/>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250" w:name="_Toc378076030"/>
      <w:bookmarkStart w:id="251" w:name="_Toc421548313"/>
      <w:bookmarkStart w:id="252" w:name="_Toc31098251"/>
      <w:bookmarkStart w:id="253" w:name="_Toc109200629"/>
      <w:bookmarkStart w:id="254" w:name="_Toc111623035"/>
      <w:bookmarkStart w:id="255" w:name="_Toc241053479"/>
      <w:r>
        <w:rPr>
          <w:rStyle w:val="CharSectno"/>
        </w:rPr>
        <w:t>26</w:t>
      </w:r>
      <w:r>
        <w:rPr>
          <w:snapToGrid w:val="0"/>
        </w:rPr>
        <w:t>.</w:t>
      </w:r>
      <w:r>
        <w:rPr>
          <w:snapToGrid w:val="0"/>
        </w:rPr>
        <w:tab/>
        <w:t>Regulations</w:t>
      </w:r>
      <w:bookmarkEnd w:id="250"/>
      <w:bookmarkEnd w:id="251"/>
      <w:bookmarkEnd w:id="252"/>
      <w:bookmarkEnd w:id="253"/>
      <w:bookmarkEnd w:id="254"/>
      <w:bookmarkEnd w:id="255"/>
      <w:del w:id="256" w:author="svcMRProcess" w:date="2018-09-05T15:32:00Z">
        <w:r>
          <w:rPr>
            <w:snapToGrid w:val="0"/>
          </w:rPr>
          <w:delText xml:space="preserve"> </w:delText>
        </w:r>
      </w:del>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257" w:name="_Toc378076031"/>
      <w:bookmarkStart w:id="258" w:name="_Toc421548314"/>
      <w:bookmarkStart w:id="259" w:name="_Toc31098252"/>
      <w:bookmarkStart w:id="260" w:name="_Toc109200630"/>
      <w:bookmarkStart w:id="261" w:name="_Toc111623036"/>
      <w:bookmarkStart w:id="262" w:name="_Toc241053480"/>
      <w:r>
        <w:rPr>
          <w:rStyle w:val="CharSectno"/>
        </w:rPr>
        <w:t>27</w:t>
      </w:r>
      <w:r>
        <w:rPr>
          <w:snapToGrid w:val="0"/>
        </w:rPr>
        <w:t>.</w:t>
      </w:r>
      <w:r>
        <w:rPr>
          <w:snapToGrid w:val="0"/>
        </w:rPr>
        <w:tab/>
        <w:t>Disallowance</w:t>
      </w:r>
      <w:bookmarkEnd w:id="257"/>
      <w:bookmarkEnd w:id="258"/>
      <w:bookmarkEnd w:id="259"/>
      <w:bookmarkEnd w:id="260"/>
      <w:bookmarkEnd w:id="261"/>
      <w:bookmarkEnd w:id="262"/>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263" w:name="_Toc378076032"/>
      <w:bookmarkStart w:id="264" w:name="_Toc421548315"/>
      <w:bookmarkStart w:id="265" w:name="_Toc31098253"/>
      <w:bookmarkStart w:id="266" w:name="_Toc109200631"/>
      <w:bookmarkStart w:id="267" w:name="_Toc111623037"/>
      <w:bookmarkStart w:id="268" w:name="_Toc241053481"/>
      <w:r>
        <w:rPr>
          <w:rStyle w:val="CharSectno"/>
        </w:rPr>
        <w:t>28</w:t>
      </w:r>
      <w:r>
        <w:rPr>
          <w:snapToGrid w:val="0"/>
        </w:rPr>
        <w:t>.</w:t>
      </w:r>
      <w:r>
        <w:rPr>
          <w:snapToGrid w:val="0"/>
        </w:rPr>
        <w:tab/>
        <w:t xml:space="preserve">Power to vest certain lands in </w:t>
      </w:r>
      <w:del w:id="269" w:author="svcMRProcess" w:date="2018-09-05T15:32:00Z">
        <w:r>
          <w:rPr>
            <w:snapToGrid w:val="0"/>
          </w:rPr>
          <w:delText xml:space="preserve">the </w:delText>
        </w:r>
      </w:del>
      <w:r>
        <w:rPr>
          <w:snapToGrid w:val="0"/>
        </w:rPr>
        <w:t>University</w:t>
      </w:r>
      <w:bookmarkEnd w:id="263"/>
      <w:bookmarkEnd w:id="264"/>
      <w:bookmarkEnd w:id="265"/>
      <w:bookmarkEnd w:id="266"/>
      <w:bookmarkEnd w:id="267"/>
      <w:bookmarkEnd w:id="268"/>
      <w:del w:id="270" w:author="svcMRProcess" w:date="2018-09-05T15:32:00Z">
        <w:r>
          <w:rPr>
            <w:snapToGrid w:val="0"/>
          </w:rPr>
          <w:delText xml:space="preserve"> </w:delText>
        </w:r>
      </w:del>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w:t>
      </w:r>
      <w:del w:id="271" w:author="svcMRProcess" w:date="2018-09-05T15:32:00Z">
        <w:r>
          <w:rPr>
            <w:snapToGrid w:val="0"/>
          </w:rPr>
          <w:delText> </w:delText>
        </w:r>
      </w:del>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272" w:name="_Toc378076033"/>
      <w:bookmarkStart w:id="273" w:name="_Toc421548316"/>
      <w:bookmarkStart w:id="274" w:name="_Toc31098254"/>
      <w:bookmarkStart w:id="275" w:name="_Toc109200632"/>
      <w:bookmarkStart w:id="276" w:name="_Toc111623038"/>
      <w:bookmarkStart w:id="277" w:name="_Toc241053482"/>
      <w:r>
        <w:rPr>
          <w:rStyle w:val="CharSectno"/>
        </w:rPr>
        <w:t>29</w:t>
      </w:r>
      <w:r>
        <w:rPr>
          <w:snapToGrid w:val="0"/>
        </w:rPr>
        <w:t>.</w:t>
      </w:r>
      <w:r>
        <w:rPr>
          <w:snapToGrid w:val="0"/>
        </w:rPr>
        <w:tab/>
        <w:t>Financial provisions and dealings in land</w:t>
      </w:r>
      <w:bookmarkEnd w:id="272"/>
      <w:bookmarkEnd w:id="273"/>
      <w:bookmarkEnd w:id="274"/>
      <w:bookmarkEnd w:id="275"/>
      <w:bookmarkEnd w:id="276"/>
      <w:bookmarkEnd w:id="277"/>
      <w:del w:id="278" w:author="svcMRProcess" w:date="2018-09-05T15:32:00Z">
        <w:r>
          <w:rPr>
            <w:snapToGrid w:val="0"/>
          </w:rPr>
          <w:delText xml:space="preserve"> </w:delText>
        </w:r>
      </w:del>
    </w:p>
    <w:p>
      <w:pPr>
        <w:pStyle w:val="Subsection"/>
        <w:rPr>
          <w:snapToGrid w:val="0"/>
        </w:rPr>
      </w:pPr>
      <w:r>
        <w:rPr>
          <w:snapToGrid w:val="0"/>
        </w:rPr>
        <w:tab/>
        <w:t>(1)</w:t>
      </w:r>
      <w:r>
        <w:rPr>
          <w:snapToGrid w:val="0"/>
        </w:rPr>
        <w:tab/>
        <w:t>The Senate, in the name of and on behalf of the University —</w:t>
      </w:r>
      <w:del w:id="279" w:author="svcMRProcess" w:date="2018-09-05T15:32:00Z">
        <w:r>
          <w:rPr>
            <w:snapToGrid w:val="0"/>
          </w:rPr>
          <w:delText> </w:delText>
        </w:r>
      </w:del>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[Section 29 amended by No. 103 of 1975 s. 4.]</w:t>
      </w:r>
      <w:del w:id="280" w:author="svcMRProcess" w:date="2018-09-05T15:32:00Z">
        <w:r>
          <w:delText xml:space="preserve"> </w:delText>
        </w:r>
      </w:del>
    </w:p>
    <w:p>
      <w:pPr>
        <w:pStyle w:val="Heading5"/>
        <w:rPr>
          <w:snapToGrid w:val="0"/>
        </w:rPr>
      </w:pPr>
      <w:bookmarkStart w:id="281" w:name="_Toc378076034"/>
      <w:bookmarkStart w:id="282" w:name="_Toc421548317"/>
      <w:bookmarkStart w:id="283" w:name="_Toc31098255"/>
      <w:bookmarkStart w:id="284" w:name="_Toc109200633"/>
      <w:bookmarkStart w:id="285" w:name="_Toc111623039"/>
      <w:bookmarkStart w:id="286" w:name="_Toc241053483"/>
      <w:r>
        <w:rPr>
          <w:rStyle w:val="CharSectno"/>
        </w:rPr>
        <w:t>30</w:t>
      </w:r>
      <w:r>
        <w:rPr>
          <w:snapToGrid w:val="0"/>
        </w:rPr>
        <w:t>.</w:t>
      </w:r>
      <w:r>
        <w:rPr>
          <w:snapToGrid w:val="0"/>
        </w:rPr>
        <w:tab/>
        <w:t>Special powers of investment</w:t>
      </w:r>
      <w:bookmarkEnd w:id="281"/>
      <w:bookmarkEnd w:id="282"/>
      <w:bookmarkEnd w:id="283"/>
      <w:bookmarkEnd w:id="284"/>
      <w:bookmarkEnd w:id="285"/>
      <w:bookmarkEnd w:id="286"/>
      <w:del w:id="287" w:author="svcMRProcess" w:date="2018-09-05T15:32:00Z">
        <w:r>
          <w:rPr>
            <w:snapToGrid w:val="0"/>
          </w:rPr>
          <w:delText xml:space="preserve"> </w:delText>
        </w:r>
      </w:del>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w:t>
      </w:r>
      <w:del w:id="288" w:author="svcMRProcess" w:date="2018-09-05T15:32:00Z">
        <w:r>
          <w:rPr>
            <w:snapToGrid w:val="0"/>
          </w:rPr>
          <w:delText> </w:delText>
        </w:r>
      </w:del>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289" w:name="_Toc378076035"/>
      <w:bookmarkStart w:id="290" w:name="_Toc421548318"/>
      <w:bookmarkStart w:id="291" w:name="_Toc31098256"/>
      <w:bookmarkStart w:id="292" w:name="_Toc109200634"/>
      <w:bookmarkStart w:id="293" w:name="_Toc111623040"/>
      <w:bookmarkStart w:id="294" w:name="_Toc241053484"/>
      <w:r>
        <w:rPr>
          <w:rStyle w:val="CharSectno"/>
        </w:rPr>
        <w:t>31</w:t>
      </w:r>
      <w:r>
        <w:rPr>
          <w:snapToGrid w:val="0"/>
        </w:rPr>
        <w:t>.</w:t>
      </w:r>
      <w:r>
        <w:rPr>
          <w:snapToGrid w:val="0"/>
        </w:rPr>
        <w:tab/>
        <w:t>Trust moneys</w:t>
      </w:r>
      <w:bookmarkEnd w:id="289"/>
      <w:bookmarkEnd w:id="290"/>
      <w:bookmarkEnd w:id="291"/>
      <w:bookmarkEnd w:id="292"/>
      <w:bookmarkEnd w:id="293"/>
      <w:bookmarkEnd w:id="294"/>
      <w:del w:id="295" w:author="svcMRProcess" w:date="2018-09-05T15:32:00Z">
        <w:r>
          <w:rPr>
            <w:snapToGrid w:val="0"/>
          </w:rPr>
          <w:delText xml:space="preserve"> </w:delText>
        </w:r>
      </w:del>
    </w:p>
    <w:p>
      <w:pPr>
        <w:pStyle w:val="Subsection"/>
        <w:rPr>
          <w:snapToGrid w:val="0"/>
        </w:rPr>
      </w:pPr>
      <w:r>
        <w:rPr>
          <w:snapToGrid w:val="0"/>
        </w:rPr>
        <w:tab/>
        <w:t>(1)</w:t>
      </w:r>
      <w:r>
        <w:rPr>
          <w:snapToGrid w:val="0"/>
        </w:rPr>
        <w:tab/>
        <w:t>The Senate —</w:t>
      </w:r>
      <w:del w:id="296" w:author="svcMRProcess" w:date="2018-09-05T15:32:00Z">
        <w:r>
          <w:rPr>
            <w:snapToGrid w:val="0"/>
          </w:rPr>
          <w:delText> </w:delText>
        </w:r>
      </w:del>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w:t>
      </w:r>
      <w:del w:id="297" w:author="svcMRProcess" w:date="2018-09-05T15:32:00Z">
        <w:r>
          <w:rPr>
            <w:snapToGrid w:val="0"/>
          </w:rPr>
          <w:delText> </w:delText>
        </w:r>
      </w:del>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[Section 31 amended by No. 1 of 1997 s. 18.]</w:t>
      </w:r>
      <w:del w:id="298" w:author="svcMRProcess" w:date="2018-09-05T15:32:00Z">
        <w:r>
          <w:delText xml:space="preserve"> </w:delText>
        </w:r>
      </w:del>
    </w:p>
    <w:p>
      <w:pPr>
        <w:pStyle w:val="Heading5"/>
        <w:rPr>
          <w:snapToGrid w:val="0"/>
        </w:rPr>
      </w:pPr>
      <w:bookmarkStart w:id="299" w:name="_Toc378076036"/>
      <w:bookmarkStart w:id="300" w:name="_Toc421548319"/>
      <w:bookmarkStart w:id="301" w:name="_Toc31098257"/>
      <w:bookmarkStart w:id="302" w:name="_Toc109200635"/>
      <w:bookmarkStart w:id="303" w:name="_Toc111623041"/>
      <w:bookmarkStart w:id="304" w:name="_Toc241053485"/>
      <w:r>
        <w:rPr>
          <w:rStyle w:val="CharSectno"/>
        </w:rPr>
        <w:t>32</w:t>
      </w:r>
      <w:r>
        <w:rPr>
          <w:snapToGrid w:val="0"/>
        </w:rPr>
        <w:t>.</w:t>
      </w:r>
      <w:r>
        <w:rPr>
          <w:snapToGrid w:val="0"/>
        </w:rPr>
        <w:tab/>
        <w:t xml:space="preserve">Loans may be guaranteed by </w:t>
      </w:r>
      <w:del w:id="305" w:author="svcMRProcess" w:date="2018-09-05T15:32:00Z">
        <w:r>
          <w:rPr>
            <w:snapToGrid w:val="0"/>
          </w:rPr>
          <w:delText xml:space="preserve">the </w:delText>
        </w:r>
      </w:del>
      <w:r>
        <w:rPr>
          <w:snapToGrid w:val="0"/>
        </w:rPr>
        <w:t>Treasurer</w:t>
      </w:r>
      <w:bookmarkEnd w:id="299"/>
      <w:bookmarkEnd w:id="300"/>
      <w:bookmarkEnd w:id="301"/>
      <w:bookmarkEnd w:id="302"/>
      <w:bookmarkEnd w:id="303"/>
      <w:bookmarkEnd w:id="304"/>
      <w:del w:id="306" w:author="svcMRProcess" w:date="2018-09-05T15:32:00Z">
        <w:r>
          <w:rPr>
            <w:snapToGrid w:val="0"/>
          </w:rPr>
          <w:delText xml:space="preserve"> </w:delText>
        </w:r>
      </w:del>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w:t>
      </w:r>
      <w:del w:id="307" w:author="svcMRProcess" w:date="2018-09-05T15:32:00Z">
        <w:r>
          <w:rPr>
            <w:snapToGrid w:val="0"/>
          </w:rPr>
          <w:delText> </w:delText>
        </w:r>
      </w:del>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[Section 32 amended by No. 98 of 1985 s. 3; No. 6 of 1993 s. 11; No. 49 of 1996 s. 64; No. 77 of 2006 s. 4.]</w:t>
      </w:r>
      <w:del w:id="308" w:author="svcMRProcess" w:date="2018-09-05T15:32:00Z">
        <w:r>
          <w:delText xml:space="preserve"> </w:delText>
        </w:r>
      </w:del>
    </w:p>
    <w:p>
      <w:pPr>
        <w:pStyle w:val="Heading5"/>
        <w:rPr>
          <w:snapToGrid w:val="0"/>
        </w:rPr>
      </w:pPr>
      <w:bookmarkStart w:id="309" w:name="_Toc31098258"/>
      <w:bookmarkStart w:id="310" w:name="_Toc109200636"/>
      <w:bookmarkStart w:id="311" w:name="_Toc111623042"/>
      <w:bookmarkStart w:id="312" w:name="_Toc241053486"/>
      <w:bookmarkStart w:id="313" w:name="_Toc378076037"/>
      <w:bookmarkStart w:id="314" w:name="_Toc421548320"/>
      <w:r>
        <w:rPr>
          <w:rStyle w:val="CharSectno"/>
        </w:rPr>
        <w:t>33</w:t>
      </w:r>
      <w:r>
        <w:rPr>
          <w:snapToGrid w:val="0"/>
        </w:rPr>
        <w:t>.</w:t>
      </w:r>
      <w:r>
        <w:rPr>
          <w:snapToGrid w:val="0"/>
        </w:rPr>
        <w:tab/>
      </w:r>
      <w:del w:id="315" w:author="svcMRProcess" w:date="2018-09-05T15:32:00Z">
        <w:r>
          <w:rPr>
            <w:snapToGrid w:val="0"/>
          </w:rPr>
          <w:delText xml:space="preserve">University </w:delText>
        </w:r>
      </w:del>
      <w:r>
        <w:rPr>
          <w:snapToGrid w:val="0"/>
        </w:rPr>
        <w:t xml:space="preserve">Superannuation </w:t>
      </w:r>
      <w:del w:id="316" w:author="svcMRProcess" w:date="2018-09-05T15:32:00Z">
        <w:r>
          <w:rPr>
            <w:snapToGrid w:val="0"/>
          </w:rPr>
          <w:delText>Scheme</w:delText>
        </w:r>
        <w:bookmarkEnd w:id="309"/>
        <w:bookmarkEnd w:id="310"/>
        <w:bookmarkEnd w:id="311"/>
        <w:bookmarkEnd w:id="312"/>
        <w:r>
          <w:rPr>
            <w:snapToGrid w:val="0"/>
          </w:rPr>
          <w:delText xml:space="preserve"> </w:delText>
        </w:r>
      </w:del>
      <w:ins w:id="317" w:author="svcMRProcess" w:date="2018-09-05T15:32:00Z">
        <w:r>
          <w:rPr>
            <w:snapToGrid w:val="0"/>
          </w:rPr>
          <w:t>scheme for University staff etc.</w:t>
        </w:r>
      </w:ins>
      <w:bookmarkEnd w:id="313"/>
      <w:bookmarkEnd w:id="314"/>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spacing w:before="180"/>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spacing w:before="180"/>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spacing w:before="260"/>
        <w:rPr>
          <w:i/>
          <w:snapToGrid w:val="0"/>
        </w:rPr>
      </w:pPr>
      <w:bookmarkStart w:id="318" w:name="_Toc31098259"/>
      <w:bookmarkStart w:id="319" w:name="_Toc109200637"/>
      <w:bookmarkStart w:id="320" w:name="_Toc111623043"/>
      <w:bookmarkStart w:id="321" w:name="_Toc378076038"/>
      <w:bookmarkStart w:id="322" w:name="_Toc421548321"/>
      <w:bookmarkStart w:id="323" w:name="_Toc241053487"/>
      <w:r>
        <w:rPr>
          <w:rStyle w:val="CharSectno"/>
        </w:rPr>
        <w:t>34</w:t>
      </w:r>
      <w:r>
        <w:rPr>
          <w:snapToGrid w:val="0"/>
        </w:rPr>
        <w:t>.</w:t>
      </w:r>
      <w:r>
        <w:rPr>
          <w:snapToGrid w:val="0"/>
        </w:rPr>
        <w:tab/>
        <w:t xml:space="preserve">Application of </w:t>
      </w:r>
      <w:bookmarkEnd w:id="318"/>
      <w:bookmarkEnd w:id="319"/>
      <w:bookmarkEnd w:id="320"/>
      <w:r>
        <w:rPr>
          <w:i/>
          <w:snapToGrid w:val="0"/>
        </w:rPr>
        <w:t>Financial Management Act 2006</w:t>
      </w:r>
      <w:r>
        <w:rPr>
          <w:iCs/>
          <w:snapToGrid w:val="0"/>
        </w:rPr>
        <w:t xml:space="preserve"> and </w:t>
      </w:r>
      <w:r>
        <w:rPr>
          <w:i/>
          <w:snapToGrid w:val="0"/>
        </w:rPr>
        <w:t>Auditor General Act 2006</w:t>
      </w:r>
      <w:bookmarkEnd w:id="321"/>
      <w:bookmarkEnd w:id="322"/>
      <w:bookmarkEnd w:id="323"/>
      <w:del w:id="324" w:author="svcMRProcess" w:date="2018-09-05T15:32:00Z">
        <w:r>
          <w:rPr>
            <w:i/>
            <w:snapToGrid w:val="0"/>
          </w:rPr>
          <w:delText xml:space="preserve"> </w:delText>
        </w:r>
      </w:del>
    </w:p>
    <w:p>
      <w:pPr>
        <w:pStyle w:val="Subsection"/>
        <w:spacing w:before="180"/>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spacing w:before="180"/>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spacing w:before="180"/>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spacing w:before="180"/>
      </w:pPr>
      <w:r>
        <w:tab/>
        <w:t>(4)</w:t>
      </w:r>
      <w:r>
        <w:tab/>
        <w:t xml:space="preserve">Notwithstanding the provisions of the </w:t>
      </w:r>
      <w:r>
        <w:rPr>
          <w:i/>
        </w:rPr>
        <w:t>Financial Management Act 2006</w:t>
      </w:r>
      <w:r>
        <w:t> —</w:t>
      </w:r>
      <w:del w:id="325" w:author="svcMRProcess" w:date="2018-09-05T15:32:00Z">
        <w:r>
          <w:delText xml:space="preserve"> </w:delText>
        </w:r>
      </w:del>
    </w:p>
    <w:p>
      <w:pPr>
        <w:pStyle w:val="Indenta"/>
        <w:spacing w:before="100"/>
      </w:pPr>
      <w:r>
        <w:tab/>
        <w:t>(a)</w:t>
      </w:r>
      <w:r>
        <w:tab/>
        <w:t>sections 13, 14 and 40 do not have effect in relation to the University; and</w:t>
      </w:r>
    </w:p>
    <w:p>
      <w:pPr>
        <w:pStyle w:val="Indenta"/>
        <w:keepNext/>
      </w:pPr>
      <w:r>
        <w:tab/>
        <w:t>(b)</w:t>
      </w:r>
      <w:r>
        <w:tab/>
        <w:t>section 78(1) of that Act has effect in relation to the University as if it had been enacted in the following form —</w:t>
      </w:r>
      <w:del w:id="326" w:author="svcMRProcess" w:date="2018-09-05T15:32:00Z">
        <w:r>
          <w:delText xml:space="preserve"> </w:delText>
        </w:r>
      </w:del>
    </w:p>
    <w:p>
      <w:pPr>
        <w:pStyle w:val="MiscOpen"/>
        <w:spacing w:before="0"/>
        <w:ind w:left="851"/>
      </w:pPr>
      <w:r>
        <w:t>“</w:t>
      </w:r>
      <w:del w:id="327" w:author="svcMRProcess" w:date="2018-09-05T15:32:00Z">
        <w:r>
          <w:delText xml:space="preserve">    </w:delText>
        </w:r>
      </w:del>
    </w:p>
    <w:p>
      <w:pPr>
        <w:pStyle w:val="zSubsection"/>
      </w:pPr>
      <w:r>
        <w:tab/>
        <w:t>(1)</w:t>
      </w:r>
      <w:r>
        <w:tab/>
        <w:t>The Treasurer may issue, amend or revoke instructions concerning —</w:t>
      </w:r>
      <w:del w:id="328" w:author="svcMRProcess" w:date="2018-09-05T15:32:00Z">
        <w:r>
          <w:delText xml:space="preserve"> </w:delText>
        </w:r>
      </w:del>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34 inserted by No. 98 of 1985 s. 3; amended by No. 92 of 1990 s. 39(3); No. 77 of 2006 </w:t>
      </w:r>
      <w:del w:id="329" w:author="svcMRProcess" w:date="2018-09-05T15:32:00Z">
        <w:r>
          <w:delText xml:space="preserve">s. 17.] </w:delText>
        </w:r>
      </w:del>
      <w:ins w:id="330" w:author="svcMRProcess" w:date="2018-09-05T15:32:00Z">
        <w:r>
          <w:t>Sch. 1 cl. 111.]</w:t>
        </w:r>
      </w:ins>
    </w:p>
    <w:p>
      <w:pPr>
        <w:pStyle w:val="Ednotesection"/>
      </w:pPr>
      <w:r>
        <w:t>[</w:t>
      </w:r>
      <w:r>
        <w:rPr>
          <w:b/>
        </w:rPr>
        <w:t>35.</w:t>
      </w:r>
      <w:r>
        <w:tab/>
        <w:t>Deleted by No. 98 of 1985 s. 3.]</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31" w:name="_Toc378076039"/>
      <w:bookmarkStart w:id="332" w:name="_Toc421548272"/>
      <w:bookmarkStart w:id="333" w:name="_Toc421548322"/>
      <w:bookmarkStart w:id="334" w:name="_Toc111623044"/>
      <w:bookmarkStart w:id="335" w:name="_Toc156900891"/>
      <w:bookmarkStart w:id="336" w:name="_Toc157925463"/>
      <w:bookmarkStart w:id="337" w:name="_Toc241053488"/>
      <w:r>
        <w:rPr>
          <w:rStyle w:val="CharSchNo"/>
        </w:rPr>
        <w:t>Schedule 1</w:t>
      </w:r>
      <w:r>
        <w:t> — </w:t>
      </w:r>
      <w:r>
        <w:rPr>
          <w:rStyle w:val="CharSchText"/>
        </w:rPr>
        <w:t>Senate members</w:t>
      </w:r>
      <w:bookmarkEnd w:id="331"/>
      <w:bookmarkEnd w:id="332"/>
      <w:bookmarkEnd w:id="333"/>
      <w:bookmarkEnd w:id="334"/>
      <w:bookmarkEnd w:id="335"/>
      <w:bookmarkEnd w:id="336"/>
      <w:bookmarkEnd w:id="337"/>
    </w:p>
    <w:p>
      <w:pPr>
        <w:pStyle w:val="yShoulderClause"/>
      </w:pPr>
      <w:r>
        <w:t>[s. 14A, 15A, 17A]</w:t>
      </w:r>
    </w:p>
    <w:p>
      <w:pPr>
        <w:pStyle w:val="yFootnoteheading"/>
        <w:spacing w:before="80"/>
      </w:pPr>
      <w:r>
        <w:tab/>
        <w:t>[Heading inserted by No.</w:t>
      </w:r>
      <w:r>
        <w:rPr>
          <w:sz w:val="28"/>
        </w:rPr>
        <w:t> </w:t>
      </w:r>
      <w:r>
        <w:rPr>
          <w:sz w:val="24"/>
        </w:rPr>
        <w:t>8 of 2005 s. </w:t>
      </w:r>
      <w:r>
        <w:t>31.]</w:t>
      </w:r>
    </w:p>
    <w:p>
      <w:pPr>
        <w:pStyle w:val="yHeading3"/>
      </w:pPr>
      <w:bookmarkStart w:id="338" w:name="_Toc378076040"/>
      <w:bookmarkStart w:id="339" w:name="_Toc421548273"/>
      <w:bookmarkStart w:id="340" w:name="_Toc421548323"/>
      <w:bookmarkStart w:id="341" w:name="_Toc111623045"/>
      <w:bookmarkStart w:id="342" w:name="_Toc156900892"/>
      <w:bookmarkStart w:id="343" w:name="_Toc157925464"/>
      <w:bookmarkStart w:id="344" w:name="_Toc241053489"/>
      <w:r>
        <w:rPr>
          <w:rStyle w:val="CharSDivNo"/>
        </w:rPr>
        <w:t>Division 1</w:t>
      </w:r>
      <w:r>
        <w:rPr>
          <w:b w:val="0"/>
        </w:rPr>
        <w:t> — </w:t>
      </w:r>
      <w:r>
        <w:rPr>
          <w:rStyle w:val="CharSDivText"/>
        </w:rPr>
        <w:t>Duties</w:t>
      </w:r>
      <w:bookmarkEnd w:id="338"/>
      <w:bookmarkEnd w:id="339"/>
      <w:bookmarkEnd w:id="340"/>
      <w:bookmarkEnd w:id="341"/>
      <w:bookmarkEnd w:id="342"/>
      <w:bookmarkEnd w:id="343"/>
      <w:bookmarkEnd w:id="344"/>
    </w:p>
    <w:p>
      <w:pPr>
        <w:pStyle w:val="yFootnoteheading"/>
      </w:pPr>
      <w:r>
        <w:tab/>
        <w:t>[Heading inserted by No.</w:t>
      </w:r>
      <w:r>
        <w:rPr>
          <w:sz w:val="28"/>
        </w:rPr>
        <w:t> </w:t>
      </w:r>
      <w:r>
        <w:rPr>
          <w:sz w:val="24"/>
        </w:rPr>
        <w:t>8 of 2005 s. </w:t>
      </w:r>
      <w:r>
        <w:t>31.]</w:t>
      </w:r>
    </w:p>
    <w:p>
      <w:pPr>
        <w:pStyle w:val="yHeading5"/>
        <w:outlineLvl w:val="9"/>
      </w:pPr>
      <w:bookmarkStart w:id="345" w:name="_Toc378076041"/>
      <w:bookmarkStart w:id="346" w:name="_Toc421548324"/>
      <w:bookmarkStart w:id="347" w:name="_Toc111623046"/>
      <w:bookmarkStart w:id="348" w:name="_Toc241053490"/>
      <w:r>
        <w:rPr>
          <w:rStyle w:val="CharSClsNo"/>
        </w:rPr>
        <w:t>1</w:t>
      </w:r>
      <w:r>
        <w:t>.</w:t>
      </w:r>
      <w:r>
        <w:rPr>
          <w:b w:val="0"/>
        </w:rPr>
        <w:tab/>
      </w:r>
      <w:r>
        <w:t>Duties</w:t>
      </w:r>
      <w:bookmarkEnd w:id="345"/>
      <w:bookmarkEnd w:id="346"/>
      <w:bookmarkEnd w:id="347"/>
      <w:bookmarkEnd w:id="348"/>
    </w:p>
    <w:p>
      <w:pPr>
        <w:pStyle w:val="ySubsection"/>
      </w:pPr>
      <w:r>
        <w:tab/>
        <w:t>(1)</w:t>
      </w:r>
      <w:r>
        <w:tab/>
        <w:t>Each member of the Senate —</w:t>
      </w:r>
      <w:del w:id="349" w:author="svcMRProcess" w:date="2018-09-05T15:32:00Z">
        <w:r>
          <w:delText xml:space="preserve"> </w:delText>
        </w:r>
      </w:del>
    </w:p>
    <w:p>
      <w:pPr>
        <w:pStyle w:val="yIndenta"/>
        <w:spacing w:before="70"/>
      </w:pPr>
      <w:r>
        <w:tab/>
        <w:t>(a)</w:t>
      </w:r>
      <w:r>
        <w:tab/>
        <w:t>must at all times act honestly in the performance of the functions of a member of the Senate, whether within or outside the State;</w:t>
      </w:r>
    </w:p>
    <w:p>
      <w:pPr>
        <w:pStyle w:val="yIndenta"/>
        <w:spacing w:before="70"/>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spacing w:before="70"/>
      </w:pPr>
      <w:r>
        <w:tab/>
        <w:t>(c)</w:t>
      </w:r>
      <w:r>
        <w:tab/>
        <w:t>must at all times act in the best interests of the University and give precedence to the interests of the University over the interests of any person appointing or electing a member of the Senate;</w:t>
      </w:r>
    </w:p>
    <w:p>
      <w:pPr>
        <w:pStyle w:val="yIndenta"/>
        <w:spacing w:before="70"/>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spacing w:before="70"/>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Nothing in subclause (1) or section 15A or 17A affects —</w:t>
      </w:r>
      <w:del w:id="350" w:author="svcMRProcess" w:date="2018-09-05T15:32:00Z">
        <w:r>
          <w:delText xml:space="preserve"> </w:delText>
        </w:r>
      </w:del>
    </w:p>
    <w:p>
      <w:pPr>
        <w:pStyle w:val="yIndenta"/>
        <w:spacing w:before="70"/>
      </w:pPr>
      <w:r>
        <w:tab/>
        <w:t>(a)</w:t>
      </w:r>
      <w:r>
        <w:tab/>
        <w:t>any other duty a member of the Senate may have under any other law; or</w:t>
      </w:r>
      <w:del w:id="351" w:author="svcMRProcess" w:date="2018-09-05T15:32:00Z">
        <w:r>
          <w:delText xml:space="preserve"> </w:delText>
        </w:r>
      </w:del>
    </w:p>
    <w:p>
      <w:pPr>
        <w:pStyle w:val="yIndenta"/>
        <w:spacing w:before="70"/>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352" w:name="_Toc378076042"/>
      <w:bookmarkStart w:id="353" w:name="_Toc421548275"/>
      <w:bookmarkStart w:id="354" w:name="_Toc421548325"/>
      <w:bookmarkStart w:id="355" w:name="_Toc111623047"/>
      <w:bookmarkStart w:id="356" w:name="_Toc156900894"/>
      <w:bookmarkStart w:id="357" w:name="_Toc157925466"/>
      <w:bookmarkStart w:id="358" w:name="_Toc241053491"/>
      <w:r>
        <w:rPr>
          <w:rStyle w:val="CharSDivNo"/>
        </w:rPr>
        <w:t>Division 2</w:t>
      </w:r>
      <w:r>
        <w:t> — </w:t>
      </w:r>
      <w:r>
        <w:rPr>
          <w:rStyle w:val="CharSDivText"/>
        </w:rPr>
        <w:t>Disclosure of interests</w:t>
      </w:r>
      <w:bookmarkEnd w:id="352"/>
      <w:bookmarkEnd w:id="353"/>
      <w:bookmarkEnd w:id="354"/>
      <w:bookmarkEnd w:id="355"/>
      <w:bookmarkEnd w:id="356"/>
      <w:bookmarkEnd w:id="357"/>
      <w:bookmarkEnd w:id="358"/>
    </w:p>
    <w:p>
      <w:pPr>
        <w:pStyle w:val="yFootnoteheading"/>
      </w:pPr>
      <w:r>
        <w:tab/>
        <w:t>[Heading inserted by No.</w:t>
      </w:r>
      <w:r>
        <w:rPr>
          <w:sz w:val="28"/>
        </w:rPr>
        <w:t> </w:t>
      </w:r>
      <w:r>
        <w:rPr>
          <w:sz w:val="24"/>
        </w:rPr>
        <w:t>8 of 2005 s. </w:t>
      </w:r>
      <w:r>
        <w:t>31.]</w:t>
      </w:r>
    </w:p>
    <w:p>
      <w:pPr>
        <w:pStyle w:val="yHeading5"/>
        <w:outlineLvl w:val="9"/>
      </w:pPr>
      <w:bookmarkStart w:id="359" w:name="_Toc378076043"/>
      <w:bookmarkStart w:id="360" w:name="_Toc421548326"/>
      <w:bookmarkStart w:id="361" w:name="_Toc111623048"/>
      <w:bookmarkStart w:id="362" w:name="_Toc241053492"/>
      <w:r>
        <w:rPr>
          <w:rStyle w:val="CharSClsNo"/>
        </w:rPr>
        <w:t>2</w:t>
      </w:r>
      <w:r>
        <w:t>.</w:t>
      </w:r>
      <w:r>
        <w:rPr>
          <w:b w:val="0"/>
        </w:rPr>
        <w:tab/>
      </w:r>
      <w:r>
        <w:t>Disclosure of interests</w:t>
      </w:r>
      <w:bookmarkEnd w:id="359"/>
      <w:bookmarkEnd w:id="360"/>
      <w:bookmarkEnd w:id="361"/>
      <w:bookmarkEnd w:id="362"/>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363" w:name="_Toc378076044"/>
      <w:bookmarkStart w:id="364" w:name="_Toc421548327"/>
      <w:bookmarkStart w:id="365" w:name="_Toc111623049"/>
      <w:bookmarkStart w:id="366" w:name="_Toc241053493"/>
      <w:r>
        <w:rPr>
          <w:rStyle w:val="CharSClsNo"/>
        </w:rPr>
        <w:t>3</w:t>
      </w:r>
      <w:r>
        <w:t>.</w:t>
      </w:r>
      <w:r>
        <w:rPr>
          <w:b w:val="0"/>
        </w:rPr>
        <w:tab/>
      </w:r>
      <w:r>
        <w:t>Voting by interested members</w:t>
      </w:r>
      <w:bookmarkEnd w:id="363"/>
      <w:bookmarkEnd w:id="364"/>
      <w:bookmarkEnd w:id="365"/>
      <w:bookmarkEnd w:id="366"/>
    </w:p>
    <w:p>
      <w:pPr>
        <w:pStyle w:val="ySubsection"/>
      </w:pPr>
      <w:r>
        <w:tab/>
      </w:r>
      <w:r>
        <w:tab/>
        <w:t>A member of the Senate who has a material personal interest in a matter that is being considered by the Senate —</w:t>
      </w:r>
      <w:del w:id="367" w:author="svcMRProcess" w:date="2018-09-05T15:32:00Z">
        <w:r>
          <w:delText xml:space="preserve"> </w:delText>
        </w:r>
      </w:del>
    </w:p>
    <w:p>
      <w:pPr>
        <w:pStyle w:val="yIndenta"/>
      </w:pPr>
      <w:r>
        <w:tab/>
        <w:t>(a)</w:t>
      </w:r>
      <w:r>
        <w:tab/>
        <w:t>must not vote whether at a meeting or otherwise —</w:t>
      </w:r>
      <w:del w:id="368" w:author="svcMRProcess" w:date="2018-09-05T15:32:00Z">
        <w:r>
          <w:delText> </w:delText>
        </w:r>
      </w:del>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w:t>
      </w:r>
      <w:del w:id="369" w:author="svcMRProcess" w:date="2018-09-05T15:32:00Z">
        <w:r>
          <w:delText> </w:delText>
        </w:r>
      </w:del>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370" w:name="_Toc378076045"/>
      <w:bookmarkStart w:id="371" w:name="_Toc421548328"/>
      <w:bookmarkStart w:id="372" w:name="_Toc111623050"/>
      <w:bookmarkStart w:id="373" w:name="_Toc241053494"/>
      <w:r>
        <w:rPr>
          <w:rStyle w:val="CharSClsNo"/>
        </w:rPr>
        <w:t>4</w:t>
      </w:r>
      <w:r>
        <w:t>.</w:t>
      </w:r>
      <w:r>
        <w:rPr>
          <w:b w:val="0"/>
        </w:rPr>
        <w:tab/>
      </w:r>
      <w:r>
        <w:t>Clause 3 may be declared inapplicable</w:t>
      </w:r>
      <w:bookmarkEnd w:id="370"/>
      <w:bookmarkEnd w:id="371"/>
      <w:bookmarkEnd w:id="372"/>
      <w:bookmarkEnd w:id="373"/>
    </w:p>
    <w:p>
      <w:pPr>
        <w:pStyle w:val="ySubsection"/>
      </w:pPr>
      <w:r>
        <w:tab/>
      </w:r>
      <w:r>
        <w:tab/>
        <w:t>Clause 3 does not apply if the Senate has at any time passed a resolution that —</w:t>
      </w:r>
      <w:del w:id="374" w:author="svcMRProcess" w:date="2018-09-05T15:32:00Z">
        <w:r>
          <w:delText> </w:delText>
        </w:r>
      </w:del>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375" w:name="_Toc378076046"/>
      <w:bookmarkStart w:id="376" w:name="_Toc421548329"/>
      <w:bookmarkStart w:id="377" w:name="_Toc111623051"/>
      <w:bookmarkStart w:id="378" w:name="_Toc241053495"/>
      <w:r>
        <w:rPr>
          <w:rStyle w:val="CharSClsNo"/>
        </w:rPr>
        <w:t>5</w:t>
      </w:r>
      <w:r>
        <w:t>.</w:t>
      </w:r>
      <w:r>
        <w:rPr>
          <w:b w:val="0"/>
        </w:rPr>
        <w:tab/>
      </w:r>
      <w:r>
        <w:t>Quorum where clause 3 applies</w:t>
      </w:r>
      <w:bookmarkEnd w:id="375"/>
      <w:bookmarkEnd w:id="376"/>
      <w:bookmarkEnd w:id="377"/>
      <w:bookmarkEnd w:id="378"/>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379" w:name="_Toc378076047"/>
      <w:bookmarkStart w:id="380" w:name="_Toc421548330"/>
      <w:bookmarkStart w:id="381" w:name="_Toc111623052"/>
      <w:bookmarkStart w:id="382" w:name="_Toc241053496"/>
      <w:r>
        <w:rPr>
          <w:rStyle w:val="CharSClsNo"/>
        </w:rPr>
        <w:t>6</w:t>
      </w:r>
      <w:r>
        <w:t>.</w:t>
      </w:r>
      <w:r>
        <w:rPr>
          <w:b w:val="0"/>
        </w:rPr>
        <w:tab/>
      </w:r>
      <w:r>
        <w:t>Minister may declare clauses 3 and 5 inapplicable</w:t>
      </w:r>
      <w:bookmarkEnd w:id="379"/>
      <w:bookmarkEnd w:id="380"/>
      <w:bookmarkEnd w:id="381"/>
      <w:bookmarkEnd w:id="382"/>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31.]</w:t>
      </w:r>
      <w:del w:id="383" w:author="svcMRProcess" w:date="2018-09-05T15:32:00Z">
        <w:r>
          <w:delText xml:space="preserve"> </w:delText>
        </w:r>
      </w:del>
    </w:p>
    <w:p>
      <w:pPr>
        <w:pStyle w:val="CentredBaseLine"/>
        <w:jc w:val="center"/>
        <w:rPr>
          <w:ins w:id="384" w:author="svcMRProcess" w:date="2018-09-05T15:32:00Z"/>
        </w:rPr>
      </w:pPr>
      <w:ins w:id="385" w:author="svcMRProcess" w:date="2018-09-05T15:32: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387" w:name="_Toc97008658"/>
      <w:bookmarkStart w:id="388" w:name="_Toc103132107"/>
      <w:bookmarkStart w:id="389" w:name="_Toc106431991"/>
      <w:bookmarkStart w:id="390" w:name="_Toc106436289"/>
      <w:bookmarkStart w:id="391" w:name="_Toc107052316"/>
      <w:bookmarkStart w:id="392" w:name="_Toc109200638"/>
    </w:p>
    <w:p>
      <w:pPr>
        <w:pStyle w:val="nHeading2"/>
      </w:pPr>
      <w:bookmarkStart w:id="393" w:name="_Toc378076048"/>
      <w:bookmarkStart w:id="394" w:name="_Toc421548281"/>
      <w:bookmarkStart w:id="395" w:name="_Toc421548331"/>
      <w:bookmarkStart w:id="396" w:name="_Toc111537875"/>
      <w:bookmarkStart w:id="397" w:name="_Toc111623053"/>
      <w:bookmarkStart w:id="398" w:name="_Toc156900900"/>
      <w:bookmarkStart w:id="399" w:name="_Toc157925472"/>
      <w:bookmarkStart w:id="400" w:name="_Toc241053497"/>
      <w:r>
        <w:t>Notes</w:t>
      </w:r>
      <w:bookmarkEnd w:id="393"/>
      <w:bookmarkEnd w:id="394"/>
      <w:bookmarkEnd w:id="395"/>
      <w:bookmarkEnd w:id="387"/>
      <w:bookmarkEnd w:id="388"/>
      <w:bookmarkEnd w:id="389"/>
      <w:bookmarkEnd w:id="390"/>
      <w:bookmarkEnd w:id="391"/>
      <w:bookmarkEnd w:id="392"/>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w:t>
      </w:r>
      <w:ins w:id="401" w:author="svcMRProcess" w:date="2018-09-05T15:32:00Z">
        <w:r>
          <w:rPr>
            <w:snapToGrid w:val="0"/>
          </w:rPr>
          <w:t xml:space="preserve">reprint </w:t>
        </w:r>
      </w:ins>
      <w:r>
        <w:rPr>
          <w:snapToGrid w:val="0"/>
        </w:rPr>
        <w:t>is a compilation</w:t>
      </w:r>
      <w:ins w:id="402" w:author="svcMRProcess" w:date="2018-09-05T15:32:00Z">
        <w:r>
          <w:rPr>
            <w:snapToGrid w:val="0"/>
          </w:rPr>
          <w:t xml:space="preserve"> as at 11 June 2010</w:t>
        </w:r>
      </w:ins>
      <w:r>
        <w:rPr>
          <w:snapToGrid w:val="0"/>
        </w:rPr>
        <w:t xml:space="preserve">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3" w:name="_Toc378076049"/>
      <w:bookmarkStart w:id="404" w:name="_Toc421548332"/>
      <w:bookmarkStart w:id="405" w:name="_Toc109200639"/>
      <w:bookmarkStart w:id="406" w:name="_Toc111623054"/>
      <w:bookmarkStart w:id="407" w:name="_Toc241053498"/>
      <w:r>
        <w:rPr>
          <w:snapToGrid w:val="0"/>
        </w:rPr>
        <w:t>Compilation table</w:t>
      </w:r>
      <w:bookmarkEnd w:id="403"/>
      <w:bookmarkEnd w:id="404"/>
      <w:bookmarkEnd w:id="405"/>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pPr>
            <w:r>
              <w:rPr>
                <w:i/>
              </w:rPr>
              <w:t>Murdoch University Act 1973</w:t>
            </w:r>
          </w:p>
        </w:tc>
        <w:tc>
          <w:tcPr>
            <w:tcW w:w="1134" w:type="dxa"/>
          </w:tcPr>
          <w:p>
            <w:pPr>
              <w:pStyle w:val="nTable"/>
              <w:spacing w:after="40"/>
            </w:pPr>
            <w:r>
              <w:t>20 of 1973</w:t>
            </w:r>
          </w:p>
        </w:tc>
        <w:tc>
          <w:tcPr>
            <w:tcW w:w="1134" w:type="dxa"/>
          </w:tcPr>
          <w:p>
            <w:pPr>
              <w:pStyle w:val="nTable"/>
              <w:spacing w:after="40"/>
            </w:pPr>
            <w:r>
              <w:t>6 Jun 1973</w:t>
            </w:r>
          </w:p>
        </w:tc>
        <w:tc>
          <w:tcPr>
            <w:tcW w:w="2551" w:type="dxa"/>
          </w:tcPr>
          <w:p>
            <w:pPr>
              <w:pStyle w:val="nTable"/>
              <w:spacing w:after="40"/>
            </w:pPr>
            <w:r>
              <w:t xml:space="preserve">1 Jul 1973 (see s. 2 and </w:t>
            </w:r>
            <w:r>
              <w:rPr>
                <w:i/>
              </w:rPr>
              <w:t xml:space="preserve">Gazette </w:t>
            </w:r>
            <w:r>
              <w:t>26 Jun 1973 p. 2488</w:t>
            </w:r>
            <w:r>
              <w:noBreakHyphen/>
              <w:t>9)</w:t>
            </w:r>
          </w:p>
        </w:tc>
      </w:tr>
      <w:tr>
        <w:trPr>
          <w:cantSplit/>
        </w:trPr>
        <w:tc>
          <w:tcPr>
            <w:tcW w:w="2269" w:type="dxa"/>
          </w:tcPr>
          <w:p>
            <w:pPr>
              <w:pStyle w:val="nTable"/>
              <w:spacing w:after="40"/>
              <w:rPr>
                <w:i/>
              </w:rPr>
            </w:pPr>
            <w:r>
              <w:rPr>
                <w:i/>
              </w:rPr>
              <w:t>Murdoch University Act Amendment Act 1975</w:t>
            </w:r>
          </w:p>
        </w:tc>
        <w:tc>
          <w:tcPr>
            <w:tcW w:w="1134" w:type="dxa"/>
          </w:tcPr>
          <w:p>
            <w:pPr>
              <w:pStyle w:val="nTable"/>
              <w:spacing w:after="40"/>
            </w:pPr>
            <w:r>
              <w:t>103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9" w:type="dxa"/>
          </w:tcPr>
          <w:p>
            <w:pPr>
              <w:pStyle w:val="nTable"/>
              <w:spacing w:after="40"/>
              <w:rPr>
                <w:i/>
              </w:rPr>
            </w:pPr>
            <w:r>
              <w:rPr>
                <w:i/>
              </w:rPr>
              <w:t xml:space="preserve">Murdoch University Act Amendment Act 1976 </w:t>
            </w:r>
          </w:p>
        </w:tc>
        <w:tc>
          <w:tcPr>
            <w:tcW w:w="1134" w:type="dxa"/>
          </w:tcPr>
          <w:p>
            <w:pPr>
              <w:pStyle w:val="nTable"/>
              <w:spacing w:after="40"/>
            </w:pPr>
            <w:r>
              <w:t>38 of 1976</w:t>
            </w:r>
          </w:p>
        </w:tc>
        <w:tc>
          <w:tcPr>
            <w:tcW w:w="1134" w:type="dxa"/>
          </w:tcPr>
          <w:p>
            <w:pPr>
              <w:pStyle w:val="nTable"/>
              <w:spacing w:after="40"/>
            </w:pPr>
            <w:r>
              <w:t>9 Jun 1976</w:t>
            </w:r>
          </w:p>
        </w:tc>
        <w:tc>
          <w:tcPr>
            <w:tcW w:w="2551" w:type="dxa"/>
          </w:tcPr>
          <w:p>
            <w:pPr>
              <w:pStyle w:val="nTable"/>
              <w:spacing w:after="40"/>
            </w:pPr>
            <w:r>
              <w:t>9 Jun 1976</w:t>
            </w:r>
          </w:p>
        </w:tc>
      </w:tr>
      <w:tr>
        <w:trPr>
          <w:cantSplit/>
        </w:trPr>
        <w:tc>
          <w:tcPr>
            <w:tcW w:w="2269" w:type="dxa"/>
          </w:tcPr>
          <w:p>
            <w:pPr>
              <w:pStyle w:val="nTable"/>
              <w:spacing w:after="40"/>
            </w:pPr>
            <w:r>
              <w:rPr>
                <w:i/>
              </w:rPr>
              <w:t>Acts Amendment (Student Guilds and Associations) Act 1977</w:t>
            </w:r>
            <w:r>
              <w:t xml:space="preserve"> Pt. II</w:t>
            </w:r>
          </w:p>
        </w:tc>
        <w:tc>
          <w:tcPr>
            <w:tcW w:w="1134" w:type="dxa"/>
          </w:tcPr>
          <w:p>
            <w:pPr>
              <w:pStyle w:val="nTable"/>
              <w:spacing w:after="40"/>
            </w:pPr>
            <w:r>
              <w:t>61 of 1977</w:t>
            </w:r>
          </w:p>
        </w:tc>
        <w:tc>
          <w:tcPr>
            <w:tcW w:w="1134" w:type="dxa"/>
          </w:tcPr>
          <w:p>
            <w:pPr>
              <w:pStyle w:val="nTable"/>
              <w:spacing w:after="40"/>
            </w:pPr>
            <w:r>
              <w:t>23 Nov 1977</w:t>
            </w:r>
          </w:p>
        </w:tc>
        <w:tc>
          <w:tcPr>
            <w:tcW w:w="2551" w:type="dxa"/>
          </w:tcPr>
          <w:p>
            <w:pPr>
              <w:pStyle w:val="nTable"/>
              <w:spacing w:after="40"/>
            </w:pPr>
            <w:r>
              <w:t>1 Jan 1978 (see s. 2)</w:t>
            </w:r>
          </w:p>
        </w:tc>
      </w:tr>
      <w:tr>
        <w:trPr>
          <w:cantSplit/>
        </w:trPr>
        <w:tc>
          <w:tcPr>
            <w:tcW w:w="2269" w:type="dxa"/>
          </w:tcPr>
          <w:p>
            <w:pPr>
              <w:pStyle w:val="nTable"/>
              <w:spacing w:after="40"/>
              <w:rPr>
                <w:i/>
              </w:rPr>
            </w:pPr>
            <w:r>
              <w:rPr>
                <w:i/>
              </w:rPr>
              <w:t>Murdoch University Act Amendment Act 1978</w:t>
            </w:r>
          </w:p>
        </w:tc>
        <w:tc>
          <w:tcPr>
            <w:tcW w:w="1134" w:type="dxa"/>
          </w:tcPr>
          <w:p>
            <w:pPr>
              <w:pStyle w:val="nTable"/>
              <w:spacing w:after="40"/>
            </w:pPr>
            <w:r>
              <w:t>7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pPr>
            <w:r>
              <w:rPr>
                <w:i/>
              </w:rPr>
              <w:t>Murdoch University Amendment Act 1980</w:t>
            </w:r>
            <w:r>
              <w:rPr>
                <w:vertAlign w:val="superscript"/>
              </w:rPr>
              <w:t> 4</w:t>
            </w:r>
          </w:p>
        </w:tc>
        <w:tc>
          <w:tcPr>
            <w:tcW w:w="1134" w:type="dxa"/>
          </w:tcPr>
          <w:p>
            <w:pPr>
              <w:pStyle w:val="nTable"/>
              <w:spacing w:after="40"/>
            </w:pPr>
            <w:r>
              <w:t>26 of 1980</w:t>
            </w:r>
          </w:p>
        </w:tc>
        <w:tc>
          <w:tcPr>
            <w:tcW w:w="1134" w:type="dxa"/>
          </w:tcPr>
          <w:p>
            <w:pPr>
              <w:pStyle w:val="nTable"/>
              <w:spacing w:after="40"/>
            </w:pPr>
            <w:r>
              <w:t>23 Oct 1980</w:t>
            </w:r>
          </w:p>
        </w:tc>
        <w:tc>
          <w:tcPr>
            <w:tcW w:w="2551" w:type="dxa"/>
          </w:tcPr>
          <w:p>
            <w:pPr>
              <w:pStyle w:val="nTable"/>
              <w:spacing w:after="40"/>
            </w:pPr>
            <w:r>
              <w:t>Act other than s. 3(a)(ii): 23 Oct 1980 (see s. 2(1));</w:t>
            </w:r>
            <w:r>
              <w:br/>
              <w:t xml:space="preserve">s. 3(a)(ii): 18 Mar 1981 (see s. 2(2) and </w:t>
            </w:r>
            <w:r>
              <w:rPr>
                <w:i/>
              </w:rPr>
              <w:t>Gazette</w:t>
            </w:r>
            <w:r>
              <w:t xml:space="preserve"> 13 Mar 1981 p. 933)</w:t>
            </w:r>
          </w:p>
        </w:tc>
      </w:tr>
      <w:tr>
        <w:trPr>
          <w:cantSplit/>
        </w:trPr>
        <w:tc>
          <w:tcPr>
            <w:tcW w:w="2269" w:type="dxa"/>
          </w:tcPr>
          <w:p>
            <w:pPr>
              <w:pStyle w:val="nTable"/>
              <w:spacing w:after="40"/>
            </w:pPr>
            <w:r>
              <w:rPr>
                <w:i/>
              </w:rPr>
              <w:t>Acts Amendment (Student Guilds and Associations) Act 1983</w:t>
            </w:r>
            <w:r>
              <w:t xml:space="preserve"> Pt. III</w:t>
            </w:r>
          </w:p>
        </w:tc>
        <w:tc>
          <w:tcPr>
            <w:tcW w:w="1134" w:type="dxa"/>
          </w:tcPr>
          <w:p>
            <w:pPr>
              <w:pStyle w:val="nTable"/>
              <w:spacing w:after="40"/>
            </w:pPr>
            <w:r>
              <w:t>51 of 1983</w:t>
            </w:r>
          </w:p>
        </w:tc>
        <w:tc>
          <w:tcPr>
            <w:tcW w:w="1134" w:type="dxa"/>
          </w:tcPr>
          <w:p>
            <w:pPr>
              <w:pStyle w:val="nTable"/>
              <w:spacing w:after="40"/>
            </w:pPr>
            <w:r>
              <w:t>5 Dec 1983</w:t>
            </w:r>
          </w:p>
        </w:tc>
        <w:tc>
          <w:tcPr>
            <w:tcW w:w="2551" w:type="dxa"/>
          </w:tcPr>
          <w:p>
            <w:pPr>
              <w:pStyle w:val="nTable"/>
              <w:spacing w:after="40"/>
            </w:pPr>
            <w:r>
              <w:t>5 Dec 1983</w:t>
            </w:r>
          </w:p>
        </w:tc>
      </w:tr>
      <w:tr>
        <w:trPr>
          <w:cantSplit/>
        </w:trPr>
        <w:tc>
          <w:tcPr>
            <w:tcW w:w="2269"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(Education) Act 1988</w:t>
            </w:r>
            <w:r>
              <w:t xml:space="preserve"> Pt. 9</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9" w:type="dxa"/>
          </w:tcPr>
          <w:p>
            <w:pPr>
              <w:pStyle w:val="nTable"/>
              <w:keepNext/>
              <w:spacing w:after="40"/>
            </w:pPr>
            <w:r>
              <w:rPr>
                <w:i/>
              </w:rPr>
              <w:t>Acts Amendment and Repeal (Post</w:t>
            </w:r>
            <w:r>
              <w:rPr>
                <w:i/>
              </w:rPr>
              <w:noBreakHyphen/>
              <w:t>Secondary Education) Act 1989</w:t>
            </w:r>
            <w:r>
              <w:t xml:space="preserve"> Pt. 6</w:t>
            </w:r>
          </w:p>
        </w:tc>
        <w:tc>
          <w:tcPr>
            <w:tcW w:w="1134" w:type="dxa"/>
          </w:tcPr>
          <w:p>
            <w:pPr>
              <w:pStyle w:val="nTable"/>
              <w:keepNext/>
              <w:spacing w:after="40"/>
            </w:pPr>
            <w:r>
              <w:t>48 of 1989</w:t>
            </w:r>
          </w:p>
        </w:tc>
        <w:tc>
          <w:tcPr>
            <w:tcW w:w="1134" w:type="dxa"/>
          </w:tcPr>
          <w:p>
            <w:pPr>
              <w:pStyle w:val="nTable"/>
              <w:spacing w:after="40"/>
            </w:pPr>
            <w:r>
              <w:t>9 Jan 1990</w:t>
            </w:r>
          </w:p>
        </w:tc>
        <w:tc>
          <w:tcPr>
            <w:tcW w:w="2551" w:type="dxa"/>
          </w:tcPr>
          <w:p>
            <w:pPr>
              <w:pStyle w:val="nTable"/>
              <w:spacing w:after="40"/>
            </w:pPr>
            <w:r>
              <w:t>1 Jan 1990 (see s. 2)</w:t>
            </w:r>
          </w:p>
        </w:tc>
      </w:tr>
      <w:tr>
        <w:trPr>
          <w:cantSplit/>
        </w:trPr>
        <w:tc>
          <w:tcPr>
            <w:tcW w:w="2269" w:type="dxa"/>
          </w:tcPr>
          <w:p>
            <w:pPr>
              <w:pStyle w:val="nTable"/>
              <w:spacing w:after="4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9" w:type="dxa"/>
          </w:tcPr>
          <w:p>
            <w:pPr>
              <w:pStyle w:val="nTable"/>
              <w:keepNext/>
              <w:spacing w:after="40"/>
            </w:pPr>
            <w:r>
              <w:rPr>
                <w:i/>
              </w:rPr>
              <w:t>Financial Administration and Audit Amendment Act 1990</w:t>
            </w:r>
            <w:r>
              <w:t xml:space="preserve"> s. 39(3)</w:t>
            </w:r>
          </w:p>
        </w:tc>
        <w:tc>
          <w:tcPr>
            <w:tcW w:w="1134" w:type="dxa"/>
          </w:tcPr>
          <w:p>
            <w:pPr>
              <w:pStyle w:val="nTable"/>
              <w:keepNext/>
              <w:spacing w:after="40"/>
            </w:pPr>
            <w:r>
              <w:t>92 of 1990</w:t>
            </w:r>
          </w:p>
        </w:tc>
        <w:tc>
          <w:tcPr>
            <w:tcW w:w="1134" w:type="dxa"/>
          </w:tcPr>
          <w:p>
            <w:pPr>
              <w:pStyle w:val="nTable"/>
              <w:spacing w:after="40"/>
            </w:pPr>
            <w:r>
              <w:t>20 Dec 1990</w:t>
            </w:r>
          </w:p>
        </w:tc>
        <w:tc>
          <w:tcPr>
            <w:tcW w:w="2551" w:type="dxa"/>
          </w:tcPr>
          <w:p>
            <w:pPr>
              <w:pStyle w:val="nTable"/>
              <w:spacing w:after="40"/>
            </w:pPr>
            <w:r>
              <w:t xml:space="preserve">8 Mar 1991 (see s. 2 and </w:t>
            </w:r>
            <w:r>
              <w:rPr>
                <w:i/>
              </w:rPr>
              <w:t>Gazette</w:t>
            </w:r>
            <w:r>
              <w:t xml:space="preserve"> 8 Mar 1991 p. 1029)</w:t>
            </w:r>
          </w:p>
        </w:tc>
      </w:tr>
      <w:tr>
        <w:trPr>
          <w:cantSplit/>
        </w:trPr>
        <w:tc>
          <w:tcPr>
            <w:tcW w:w="2269"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9" w:type="dxa"/>
          </w:tcPr>
          <w:p>
            <w:pPr>
              <w:pStyle w:val="nTable"/>
              <w:spacing w:after="40"/>
            </w:pPr>
            <w:r>
              <w:rPr>
                <w:i/>
              </w:rPr>
              <w:t>Voluntary Membership of Student Guilds and Associations Act 1994</w:t>
            </w:r>
            <w:r>
              <w:t xml:space="preserve"> Pt. 5 </w:t>
            </w:r>
            <w:r>
              <w:rPr>
                <w:vertAlign w:val="superscript"/>
              </w:rPr>
              <w:t>5</w:t>
            </w:r>
          </w:p>
        </w:tc>
        <w:tc>
          <w:tcPr>
            <w:tcW w:w="1134" w:type="dxa"/>
          </w:tcPr>
          <w:p>
            <w:pPr>
              <w:pStyle w:val="nTable"/>
              <w:spacing w:after="40"/>
            </w:pPr>
            <w:r>
              <w:t>91 of 1994</w:t>
            </w:r>
          </w:p>
        </w:tc>
        <w:tc>
          <w:tcPr>
            <w:tcW w:w="1134" w:type="dxa"/>
          </w:tcPr>
          <w:p>
            <w:pPr>
              <w:pStyle w:val="nTable"/>
              <w:spacing w:after="40"/>
            </w:pPr>
            <w:r>
              <w:t>5 Jan 1995</w:t>
            </w:r>
          </w:p>
        </w:tc>
        <w:tc>
          <w:tcPr>
            <w:tcW w:w="2551" w:type="dxa"/>
          </w:tcPr>
          <w:p>
            <w:pPr>
              <w:pStyle w:val="nTable"/>
              <w:spacing w:after="40"/>
            </w:pPr>
            <w:r>
              <w:t>5 Jan 1995 (see s. 2)</w:t>
            </w:r>
          </w:p>
        </w:tc>
      </w:tr>
      <w:tr>
        <w:trPr>
          <w:cantSplit/>
        </w:trPr>
        <w:tc>
          <w:tcPr>
            <w:tcW w:w="2269" w:type="dxa"/>
          </w:tcPr>
          <w:p>
            <w:pPr>
              <w:pStyle w:val="nTable"/>
              <w:spacing w:after="40"/>
            </w:pPr>
            <w:r>
              <w:rPr>
                <w:i/>
              </w:rPr>
              <w:t>Sentencing (Consequential Provisions) Act 1995</w:t>
            </w:r>
            <w:r>
              <w:t xml:space="preserve"> Pt. 54</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pPr>
            <w:r>
              <w:rPr>
                <w:i/>
              </w:rPr>
              <w:t>Education Amendment Act 1996</w:t>
            </w:r>
            <w:r>
              <w:t xml:space="preserve"> s. 16(8)</w:t>
            </w:r>
          </w:p>
        </w:tc>
        <w:tc>
          <w:tcPr>
            <w:tcW w:w="1134" w:type="dxa"/>
          </w:tcPr>
          <w:p>
            <w:pPr>
              <w:pStyle w:val="nTable"/>
              <w:spacing w:after="40"/>
            </w:pPr>
            <w:r>
              <w:t>22 of 1996</w:t>
            </w:r>
          </w:p>
        </w:tc>
        <w:tc>
          <w:tcPr>
            <w:tcW w:w="1134" w:type="dxa"/>
          </w:tcPr>
          <w:p>
            <w:pPr>
              <w:pStyle w:val="nTable"/>
              <w:spacing w:after="40"/>
            </w:pPr>
            <w:r>
              <w:t>11 Jul 1996</w:t>
            </w:r>
          </w:p>
        </w:tc>
        <w:tc>
          <w:tcPr>
            <w:tcW w:w="2551" w:type="dxa"/>
          </w:tcPr>
          <w:p>
            <w:pPr>
              <w:pStyle w:val="nTable"/>
              <w:spacing w:after="40"/>
            </w:pPr>
            <w:r>
              <w:t>11 Jul 1996 (see s. 2(1))</w:t>
            </w:r>
          </w:p>
        </w:tc>
      </w:tr>
      <w:tr>
        <w:trPr>
          <w:cantSplit/>
        </w:trPr>
        <w:tc>
          <w:tcPr>
            <w:tcW w:w="2269"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9" w:type="dxa"/>
          </w:tcPr>
          <w:p>
            <w:pPr>
              <w:pStyle w:val="nTable"/>
              <w:spacing w:after="40"/>
            </w:pPr>
            <w:r>
              <w:rPr>
                <w:i/>
              </w:rPr>
              <w:t>Acts Amendment (Land Administration) Act 1997</w:t>
            </w:r>
            <w:r>
              <w:t xml:space="preserve"> Pt. 45</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Statutes (Repeals and Minor Amendments) Act 1997</w:t>
            </w:r>
            <w:r>
              <w:t xml:space="preserve"> s. 92</w:t>
            </w:r>
          </w:p>
        </w:tc>
        <w:tc>
          <w:tcPr>
            <w:tcW w:w="1134" w:type="dxa"/>
          </w:tcPr>
          <w:p>
            <w:pPr>
              <w:pStyle w:val="nTable"/>
              <w:keepNext/>
              <w:keepLines/>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pPr>
            <w:r>
              <w:rPr>
                <w:i/>
              </w:rPr>
              <w:t>Statutes (Repeals and Minor Amendments) Act (No. 2) 1998</w:t>
            </w:r>
            <w:r>
              <w:t xml:space="preserve"> s. 54</w:t>
            </w:r>
          </w:p>
        </w:tc>
        <w:tc>
          <w:tcPr>
            <w:tcW w:w="1134" w:type="dxa"/>
          </w:tcPr>
          <w:p>
            <w:pPr>
              <w:pStyle w:val="nTable"/>
              <w:keepNext/>
              <w:keepLines/>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Murdoch University Act 1973</w:t>
            </w:r>
            <w:r>
              <w:rPr>
                <w:b/>
              </w:rPr>
              <w:t xml:space="preserve"> as at 26 Feb 1999</w:t>
            </w:r>
            <w:r>
              <w:t xml:space="preserve"> (includes amendments listed above)</w:t>
            </w:r>
          </w:p>
        </w:tc>
      </w:tr>
      <w:tr>
        <w:trPr>
          <w:cantSplit/>
        </w:trPr>
        <w:tc>
          <w:tcPr>
            <w:tcW w:w="2269" w:type="dxa"/>
          </w:tcPr>
          <w:p>
            <w:pPr>
              <w:pStyle w:val="nTable"/>
              <w:spacing w:after="40"/>
              <w:rPr>
                <w:i/>
              </w:rPr>
            </w:pPr>
            <w:r>
              <w:rPr>
                <w:i/>
              </w:rPr>
              <w:t>School Education Act 1999</w:t>
            </w:r>
            <w:r>
              <w:t xml:space="preserve"> s. 247</w:t>
            </w:r>
          </w:p>
        </w:tc>
        <w:tc>
          <w:tcPr>
            <w:tcW w:w="1134" w:type="dxa"/>
          </w:tcPr>
          <w:p>
            <w:pPr>
              <w:pStyle w:val="nTable"/>
              <w:keepNext/>
              <w:keepLines/>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pPr>
            <w:r>
              <w:rPr>
                <w:i/>
              </w:rPr>
              <w:t xml:space="preserve">Universities Legislation Amendment Act 2000 </w:t>
            </w:r>
            <w:r>
              <w:t>Pt. 2</w:t>
            </w:r>
          </w:p>
        </w:tc>
        <w:tc>
          <w:tcPr>
            <w:tcW w:w="1134" w:type="dxa"/>
          </w:tcPr>
          <w:p>
            <w:pPr>
              <w:pStyle w:val="nTable"/>
              <w:keepNext/>
              <w:keepLines/>
              <w:spacing w:after="40"/>
            </w:pPr>
            <w:r>
              <w:t>75 of 2000</w:t>
            </w:r>
          </w:p>
        </w:tc>
        <w:tc>
          <w:tcPr>
            <w:tcW w:w="1134" w:type="dxa"/>
          </w:tcPr>
          <w:p>
            <w:pPr>
              <w:pStyle w:val="nTable"/>
              <w:spacing w:after="40"/>
            </w:pPr>
            <w:r>
              <w:t>7 Dec 2000</w:t>
            </w:r>
          </w:p>
        </w:tc>
        <w:tc>
          <w:tcPr>
            <w:tcW w:w="2551" w:type="dxa"/>
          </w:tcPr>
          <w:p>
            <w:pPr>
              <w:pStyle w:val="nTable"/>
              <w:spacing w:after="40"/>
            </w:pPr>
            <w:r>
              <w:t xml:space="preserve">13 Jan 2001 (see s. 2 and </w:t>
            </w:r>
            <w:r>
              <w:rPr>
                <w:i/>
              </w:rPr>
              <w:t>Gazette</w:t>
            </w:r>
            <w:r>
              <w:t xml:space="preserve"> 12 Jan 2001 p. 245)</w:t>
            </w:r>
          </w:p>
        </w:tc>
      </w:tr>
      <w:tr>
        <w:trPr>
          <w:cantSplit/>
        </w:trPr>
        <w:tc>
          <w:tcPr>
            <w:tcW w:w="2269" w:type="dxa"/>
          </w:tcPr>
          <w:p>
            <w:pPr>
              <w:pStyle w:val="nTable"/>
              <w:spacing w:after="40"/>
              <w:rPr>
                <w:i/>
              </w:rPr>
            </w:pPr>
            <w:r>
              <w:rPr>
                <w:i/>
                <w:snapToGrid w:val="0"/>
              </w:rPr>
              <w:t xml:space="preserve">Acts Amendment (Student Guilds and Associations) Act 2002 </w:t>
            </w:r>
            <w:r>
              <w:rPr>
                <w:snapToGrid w:val="0"/>
              </w:rPr>
              <w:t>Pt. 4</w:t>
            </w:r>
            <w:r>
              <w:rPr>
                <w:snapToGrid w:val="0"/>
                <w:vertAlign w:val="superscript"/>
              </w:rPr>
              <w:t xml:space="preserve"> </w:t>
            </w:r>
          </w:p>
        </w:tc>
        <w:tc>
          <w:tcPr>
            <w:tcW w:w="1134" w:type="dxa"/>
          </w:tcPr>
          <w:p>
            <w:pPr>
              <w:pStyle w:val="nTable"/>
              <w:keepNext/>
              <w:keepLines/>
              <w:spacing w:after="40"/>
            </w:pPr>
            <w:r>
              <w:t>44 of 2002</w:t>
            </w:r>
          </w:p>
        </w:tc>
        <w:tc>
          <w:tcPr>
            <w:tcW w:w="1134" w:type="dxa"/>
          </w:tcPr>
          <w:p>
            <w:pPr>
              <w:pStyle w:val="nTable"/>
              <w:spacing w:after="40"/>
            </w:pPr>
            <w:r>
              <w:t>3 Jan 2003</w:t>
            </w:r>
          </w:p>
        </w:tc>
        <w:tc>
          <w:tcPr>
            <w:tcW w:w="2551" w:type="dxa"/>
          </w:tcPr>
          <w:p>
            <w:pPr>
              <w:pStyle w:val="nTable"/>
              <w:spacing w:after="40"/>
            </w:pPr>
            <w:r>
              <w:t xml:space="preserve">25 Jan 2003 (see s. 2 and </w:t>
            </w:r>
            <w:r>
              <w:rPr>
                <w:i/>
              </w:rPr>
              <w:t xml:space="preserve">Gazette </w:t>
            </w:r>
            <w:r>
              <w:t>24 Jan 2003 p. 141)</w:t>
            </w:r>
          </w:p>
        </w:tc>
      </w:tr>
      <w:tr>
        <w:trPr>
          <w:cantSplit/>
        </w:trPr>
        <w:tc>
          <w:tcPr>
            <w:tcW w:w="2269" w:type="dxa"/>
          </w:tcPr>
          <w:p>
            <w:pPr>
              <w:pStyle w:val="nTable"/>
              <w:spacing w:after="40"/>
              <w:rPr>
                <w:snapToGrid w:val="0"/>
              </w:rPr>
            </w:pPr>
            <w:r>
              <w:rPr>
                <w:i/>
                <w:snapToGrid w:val="0"/>
              </w:rPr>
              <w:t>Statutes (Repeals and Minor Amendments) Act 2003</w:t>
            </w:r>
            <w:r>
              <w:rPr>
                <w:snapToGrid w:val="0"/>
              </w:rPr>
              <w:t xml:space="preserve"> s. 86</w:t>
            </w:r>
          </w:p>
        </w:tc>
        <w:tc>
          <w:tcPr>
            <w:tcW w:w="1134" w:type="dxa"/>
          </w:tcPr>
          <w:p>
            <w:pPr>
              <w:pStyle w:val="nTable"/>
              <w:keepNext/>
              <w:keepLines/>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keepLines/>
              <w:spacing w:after="40"/>
            </w:pPr>
            <w:r>
              <w:rPr>
                <w:snapToGrid w:val="0"/>
              </w:rPr>
              <w:t>84 of 2004</w:t>
            </w:r>
          </w:p>
        </w:tc>
        <w:tc>
          <w:tcPr>
            <w:tcW w:w="1134"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w:t>
            </w:r>
            <w:r>
              <w:rPr>
                <w:color w:val="FF0000"/>
              </w:rPr>
              <w:t xml:space="preserve"> </w:t>
            </w:r>
            <w:r>
              <w:rPr>
                <w:snapToGrid w:val="0"/>
              </w:rPr>
              <w:t xml:space="preserve">(correction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2: The </w:t>
            </w:r>
            <w:r>
              <w:rPr>
                <w:b/>
                <w:i/>
              </w:rPr>
              <w:t>Murdoch University Act 1973</w:t>
            </w:r>
            <w:r>
              <w:rPr>
                <w:b/>
              </w:rPr>
              <w:t xml:space="preserve"> as at 1 Jul 2005</w:t>
            </w:r>
            <w:r>
              <w:t xml:space="preserve"> (includes amendments listed above)</w:t>
            </w:r>
          </w:p>
        </w:tc>
      </w:tr>
      <w:tr>
        <w:trPr>
          <w:cantSplit/>
        </w:trPr>
        <w:tc>
          <w:tcPr>
            <w:tcW w:w="2269" w:type="dxa"/>
          </w:tcPr>
          <w:p>
            <w:pPr>
              <w:pStyle w:val="nTable"/>
              <w:spacing w:after="40"/>
              <w:rPr>
                <w:vertAlign w:val="superscript"/>
              </w:rPr>
            </w:pPr>
            <w:r>
              <w:rPr>
                <w:i/>
              </w:rPr>
              <w:t xml:space="preserve">Universities Legislation Amendment Act 2005 </w:t>
            </w:r>
            <w:r>
              <w:t>Pt. 4 </w:t>
            </w:r>
            <w:r>
              <w:rPr>
                <w:vertAlign w:val="superscript"/>
              </w:rPr>
              <w:t>6</w:t>
            </w:r>
          </w:p>
        </w:tc>
        <w:tc>
          <w:tcPr>
            <w:tcW w:w="1134" w:type="dxa"/>
          </w:tcPr>
          <w:p>
            <w:pPr>
              <w:pStyle w:val="nTable"/>
              <w:keepNext/>
              <w:keepLines/>
              <w:spacing w:after="40"/>
            </w:pPr>
            <w:r>
              <w:t>8 of 2005</w:t>
            </w:r>
          </w:p>
        </w:tc>
        <w:tc>
          <w:tcPr>
            <w:tcW w:w="1134" w:type="dxa"/>
          </w:tcPr>
          <w:p>
            <w:pPr>
              <w:pStyle w:val="nTable"/>
              <w:spacing w:after="40"/>
            </w:pPr>
            <w:r>
              <w:t>7 Jul 2005</w:t>
            </w:r>
          </w:p>
        </w:tc>
        <w:tc>
          <w:tcPr>
            <w:tcW w:w="2551" w:type="dxa"/>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2269" w:type="dxa"/>
          </w:tcPr>
          <w:p>
            <w:pPr>
              <w:pStyle w:val="nTable"/>
              <w:spacing w:after="40"/>
              <w:rPr>
                <w:i/>
              </w:rPr>
            </w:pPr>
            <w:r>
              <w:rPr>
                <w:i/>
                <w:snapToGrid w:val="0"/>
              </w:rPr>
              <w:t xml:space="preserve">Financial Legislation Amendment and Repeal Act 2006 </w:t>
            </w:r>
            <w:r>
              <w:rPr>
                <w:snapToGrid w:val="0"/>
              </w:rPr>
              <w:t xml:space="preserve">s. 4 and </w:t>
            </w:r>
            <w:del w:id="408" w:author="svcMRProcess" w:date="2018-09-05T15:32:00Z">
              <w:r>
                <w:rPr>
                  <w:snapToGrid w:val="0"/>
                  <w:lang w:val="en-US"/>
                </w:rPr>
                <w:delText>17</w:delText>
              </w:r>
            </w:del>
            <w:ins w:id="409" w:author="svcMRProcess" w:date="2018-09-05T15:32:00Z">
              <w:r>
                <w:rPr>
                  <w:snapToGrid w:val="0"/>
                </w:rPr>
                <w:t>Sch. 1 cl. 111</w:t>
              </w:r>
            </w:ins>
          </w:p>
        </w:tc>
        <w:tc>
          <w:tcPr>
            <w:tcW w:w="1134" w:type="dxa"/>
          </w:tcPr>
          <w:p>
            <w:pPr>
              <w:pStyle w:val="nTable"/>
              <w:keepNext/>
              <w:keepLines/>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1 Feb 2007 (see s. 2</w:t>
            </w:r>
            <w:ins w:id="410" w:author="svcMRProcess" w:date="2018-09-05T15:32:00Z">
              <w:r>
                <w:rPr>
                  <w:snapToGrid w:val="0"/>
                </w:rPr>
                <w:t>(1)</w:t>
              </w:r>
            </w:ins>
            <w:r>
              <w:rPr>
                <w:snapToGrid w:val="0"/>
              </w:rPr>
              <w:t xml:space="preserve"> and </w:t>
            </w:r>
            <w:r>
              <w:rPr>
                <w:i/>
                <w:snapToGrid w:val="0"/>
              </w:rPr>
              <w:t>Gazette</w:t>
            </w:r>
            <w:r>
              <w:rPr>
                <w:snapToGrid w:val="0"/>
              </w:rPr>
              <w:t xml:space="preserve"> 19 Jan 2007 p. 137)</w:t>
            </w:r>
          </w:p>
        </w:tc>
      </w:tr>
      <w:tr>
        <w:trPr>
          <w:cantSplit/>
        </w:trPr>
        <w:tc>
          <w:tcPr>
            <w:tcW w:w="2269" w:type="dxa"/>
          </w:tcPr>
          <w:p>
            <w:pPr>
              <w:pStyle w:val="nTable"/>
              <w:spacing w:after="40"/>
              <w:rPr>
                <w:iCs/>
                <w:snapToGrid w:val="0"/>
              </w:rPr>
            </w:pPr>
            <w:bookmarkStart w:id="411" w:name="UpToHere"/>
            <w:r>
              <w:rPr>
                <w:i/>
                <w:snapToGrid w:val="0"/>
              </w:rPr>
              <w:t>Acts Amendment (Bankruptcy) Act 2009</w:t>
            </w:r>
            <w:r>
              <w:rPr>
                <w:iCs/>
                <w:snapToGrid w:val="0"/>
              </w:rPr>
              <w:t xml:space="preserve"> s. 58</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bookmarkEnd w:id="411"/>
    </w:tbl>
    <w:p>
      <w:pPr>
        <w:pStyle w:val="nSubsection"/>
        <w:rPr>
          <w:del w:id="412" w:author="svcMRProcess" w:date="2018-09-05T15:32:00Z"/>
          <w:snapToGrid w:val="0"/>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13" w:author="svcMRProcess" w:date="2018-09-05T15:32:00Z"/>
        </w:trPr>
        <w:tc>
          <w:tcPr>
            <w:tcW w:w="7088" w:type="dxa"/>
            <w:tcBorders>
              <w:bottom w:val="single" w:sz="8" w:space="0" w:color="auto"/>
            </w:tcBorders>
          </w:tcPr>
          <w:p>
            <w:pPr>
              <w:pStyle w:val="nTable"/>
              <w:spacing w:after="40"/>
              <w:rPr>
                <w:ins w:id="414" w:author="svcMRProcess" w:date="2018-09-05T15:32:00Z"/>
              </w:rPr>
            </w:pPr>
            <w:ins w:id="415" w:author="svcMRProcess" w:date="2018-09-05T15:32:00Z">
              <w:r>
                <w:rPr>
                  <w:b/>
                </w:rPr>
                <w:t xml:space="preserve">Reprint 3: The </w:t>
              </w:r>
              <w:r>
                <w:rPr>
                  <w:b/>
                  <w:i/>
                </w:rPr>
                <w:t>Murdoch University Act 1973</w:t>
              </w:r>
              <w:r>
                <w:rPr>
                  <w:b/>
                </w:rPr>
                <w:t xml:space="preserve"> as at 11 Jun 2010</w:t>
              </w:r>
              <w:r>
                <w:t xml:space="preserve"> (includes amendments listed above)</w:t>
              </w:r>
            </w:ins>
          </w:p>
        </w:tc>
      </w:tr>
    </w:tbl>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BlankOpen"/>
        <w:rPr>
          <w:snapToGrid w:val="0"/>
        </w:rPr>
      </w:pPr>
      <w:del w:id="416" w:author="svcMRProcess" w:date="2018-09-05T15:32:00Z">
        <w:r>
          <w:rPr>
            <w:snapToGrid w:val="0"/>
          </w:rPr>
          <w:delText>“</w:delText>
        </w:r>
      </w:del>
    </w:p>
    <w:p>
      <w:pPr>
        <w:pStyle w:val="nzHeading5"/>
      </w:pPr>
      <w:bookmarkStart w:id="417" w:name="_Toc101943848"/>
      <w:bookmarkStart w:id="418" w:name="_Toc108232069"/>
      <w:r>
        <w:rPr>
          <w:rStyle w:val="CharSectno"/>
        </w:rPr>
        <w:t>26</w:t>
      </w:r>
      <w:r>
        <w:t>.</w:t>
      </w:r>
      <w:r>
        <w:tab/>
        <w:t>Transitional provisions</w:t>
      </w:r>
      <w:bookmarkEnd w:id="417"/>
      <w:bookmarkEnd w:id="418"/>
    </w:p>
    <w:p>
      <w:pPr>
        <w:pStyle w:val="nzSubsection"/>
      </w:pPr>
      <w:r>
        <w:tab/>
        <w:t>(1)</w:t>
      </w:r>
      <w:r>
        <w:tab/>
        <w:t>In this section —</w:t>
      </w:r>
      <w:del w:id="419" w:author="svcMRProcess" w:date="2018-09-05T15:32:00Z">
        <w:r>
          <w:delText xml:space="preserve"> </w:delText>
        </w:r>
      </w:del>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rPr>
          <w:del w:id="420" w:author="svcMRProcess" w:date="2018-09-05T15:32:00Z"/>
        </w:rPr>
      </w:pPr>
      <w:del w:id="421" w:author="svcMRProcess" w:date="2018-09-05T15:32:00Z">
        <w:r>
          <w:delText>”.</w:delText>
        </w:r>
      </w:del>
    </w:p>
    <w:p>
      <w:pPr>
        <w:pStyle w:val="BlankClose"/>
      </w:pPr>
    </w:p>
    <w:p>
      <w:pPr>
        <w:rPr>
          <w:b/>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3" w:name="Coversheet"/>
    <w:bookmarkEnd w:id="4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Murdoch University Act 1973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86" w:name="Schedule"/>
    <w:bookmarkEnd w:id="3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4A96A"/>
    <w:lvl w:ilvl="0">
      <w:start w:val="1"/>
      <w:numFmt w:val="decimal"/>
      <w:lvlText w:val="%1."/>
      <w:lvlJc w:val="left"/>
      <w:pPr>
        <w:tabs>
          <w:tab w:val="num" w:pos="1492"/>
        </w:tabs>
        <w:ind w:left="1492" w:hanging="360"/>
      </w:pPr>
    </w:lvl>
  </w:abstractNum>
  <w:abstractNum w:abstractNumId="1">
    <w:nsid w:val="FFFFFF7D"/>
    <w:multiLevelType w:val="singleLevel"/>
    <w:tmpl w:val="2D3816F2"/>
    <w:lvl w:ilvl="0">
      <w:start w:val="1"/>
      <w:numFmt w:val="decimal"/>
      <w:lvlText w:val="%1."/>
      <w:lvlJc w:val="left"/>
      <w:pPr>
        <w:tabs>
          <w:tab w:val="num" w:pos="1209"/>
        </w:tabs>
        <w:ind w:left="1209" w:hanging="360"/>
      </w:pPr>
    </w:lvl>
  </w:abstractNum>
  <w:abstractNum w:abstractNumId="2">
    <w:nsid w:val="FFFFFF7E"/>
    <w:multiLevelType w:val="singleLevel"/>
    <w:tmpl w:val="958A3C9A"/>
    <w:lvl w:ilvl="0">
      <w:start w:val="1"/>
      <w:numFmt w:val="decimal"/>
      <w:lvlText w:val="%1."/>
      <w:lvlJc w:val="left"/>
      <w:pPr>
        <w:tabs>
          <w:tab w:val="num" w:pos="926"/>
        </w:tabs>
        <w:ind w:left="926" w:hanging="360"/>
      </w:pPr>
    </w:lvl>
  </w:abstractNum>
  <w:abstractNum w:abstractNumId="3">
    <w:nsid w:val="FFFFFF7F"/>
    <w:multiLevelType w:val="singleLevel"/>
    <w:tmpl w:val="70447532"/>
    <w:lvl w:ilvl="0">
      <w:start w:val="1"/>
      <w:numFmt w:val="decimal"/>
      <w:lvlText w:val="%1."/>
      <w:lvlJc w:val="left"/>
      <w:pPr>
        <w:tabs>
          <w:tab w:val="num" w:pos="643"/>
        </w:tabs>
        <w:ind w:left="643" w:hanging="360"/>
      </w:pPr>
    </w:lvl>
  </w:abstractNum>
  <w:abstractNum w:abstractNumId="4">
    <w:nsid w:val="FFFFFF80"/>
    <w:multiLevelType w:val="singleLevel"/>
    <w:tmpl w:val="0F5A71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280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80BD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0613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CE750"/>
    <w:lvl w:ilvl="0">
      <w:start w:val="1"/>
      <w:numFmt w:val="decimal"/>
      <w:lvlText w:val="%1."/>
      <w:lvlJc w:val="left"/>
      <w:pPr>
        <w:tabs>
          <w:tab w:val="num" w:pos="360"/>
        </w:tabs>
        <w:ind w:left="360" w:hanging="360"/>
      </w:pPr>
    </w:lvl>
  </w:abstractNum>
  <w:abstractNum w:abstractNumId="9">
    <w:nsid w:val="FFFFFF89"/>
    <w:multiLevelType w:val="singleLevel"/>
    <w:tmpl w:val="55DC625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78BC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500"/>
    <w:docVar w:name="WAFER_20140121133029" w:val="RemoveTocBookmarks,RemoveUnusedBookmarks,RemoveLanguageTags,UsedStyles,ResetPageSize,UpdateArrangement"/>
    <w:docVar w:name="WAFER_20140121133029_GUID" w:val="82623b51-0b52-4941-bf66-389a7a3b6660"/>
    <w:docVar w:name="WAFER_20140121135328" w:val="RemoveTocBookmarks,RunningHeaders"/>
    <w:docVar w:name="WAFER_20140121135328_GUID" w:val="9e41a0ee-ee98-40d7-9d0d-f42d878740a8"/>
    <w:docVar w:name="WAFER_20150608172715" w:val="ResetPageSize,UpdateArrangement,UpdateNTable"/>
    <w:docVar w:name="WAFER_20150608172715_GUID" w:val="43580874-9e20-40d2-b362-b3f606b24477"/>
    <w:docVar w:name="WAFER_20151106161444" w:val="UpdateStyles,UsedStyles"/>
    <w:docVar w:name="WAFER_20151106161444_GUID" w:val="ddb7a7f9-f53c-45d7-81a0-9fa9c630d9fb"/>
    <w:docVar w:name="WAFER_20151130172500" w:val="RemoveTrackChanges"/>
    <w:docVar w:name="WAFER_20151130172500_GUID" w:val="28f8a72e-41f8-425b-98cc-b7bd35a953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11282</Words>
  <Characters>52465</Characters>
  <Application>Microsoft Office Word</Application>
  <DocSecurity>0</DocSecurity>
  <Lines>1417</Lines>
  <Paragraphs>724</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63023</CharactersWithSpaces>
  <SharedDoc>false</SharedDoc>
  <HLinks>
    <vt:vector size="18" baseType="variant">
      <vt:variant>
        <vt:i4>3014716</vt:i4>
      </vt:variant>
      <vt:variant>
        <vt:i4>4580</vt:i4>
      </vt:variant>
      <vt:variant>
        <vt:i4>1027</vt:i4>
      </vt:variant>
      <vt:variant>
        <vt:i4>1</vt:i4>
      </vt:variant>
      <vt:variant>
        <vt:lpwstr>C:\Program Files\PCO DLL\Support\Crest.wpg</vt:lpwstr>
      </vt:variant>
      <vt:variant>
        <vt:lpwstr/>
      </vt:variant>
      <vt:variant>
        <vt:i4>5439608</vt:i4>
      </vt:variant>
      <vt:variant>
        <vt:i4>60939</vt:i4>
      </vt:variant>
      <vt:variant>
        <vt:i4>1028</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02-d0-02 - 03-a0-05</dc:title>
  <dc:subject/>
  <dc:creator/>
  <cp:keywords/>
  <dc:description/>
  <cp:lastModifiedBy>svcMRProcess</cp:lastModifiedBy>
  <cp:revision>2</cp:revision>
  <cp:lastPrinted>2010-06-28T06:45:00Z</cp:lastPrinted>
  <dcterms:created xsi:type="dcterms:W3CDTF">2018-09-05T07:32:00Z</dcterms:created>
  <dcterms:modified xsi:type="dcterms:W3CDTF">2018-09-05T07:32:00Z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20100611</vt:lpwstr>
  </property>
  <property fmtid="{D5CDD505-2E9C-101B-9397-08002B2CF9AE}" pid="4" name="DocumentType">
    <vt:lpwstr>Act</vt:lpwstr>
  </property>
  <property fmtid="{D5CDD505-2E9C-101B-9397-08002B2CF9AE}" pid="5" name="OwlsUID">
    <vt:i4>531</vt:i4>
  </property>
  <property fmtid="{D5CDD505-2E9C-101B-9397-08002B2CF9AE}" pid="6" name="ReprintedAsAt">
    <vt:filetime>2010-06-10T16:00:00Z</vt:filetime>
  </property>
  <property fmtid="{D5CDD505-2E9C-101B-9397-08002B2CF9AE}" pid="7" name="ReprintNo">
    <vt:lpwstr>3</vt:lpwstr>
  </property>
  <property fmtid="{D5CDD505-2E9C-101B-9397-08002B2CF9AE}" pid="8" name="FromSuffix">
    <vt:lpwstr>02-d0-02</vt:lpwstr>
  </property>
  <property fmtid="{D5CDD505-2E9C-101B-9397-08002B2CF9AE}" pid="9" name="FromAsAtDate">
    <vt:lpwstr>17 Sep 2009</vt:lpwstr>
  </property>
  <property fmtid="{D5CDD505-2E9C-101B-9397-08002B2CF9AE}" pid="10" name="ToSuffix">
    <vt:lpwstr>03-a0-05</vt:lpwstr>
  </property>
  <property fmtid="{D5CDD505-2E9C-101B-9397-08002B2CF9AE}" pid="11" name="ToAsAtDate">
    <vt:lpwstr>11 Jun 2010</vt:lpwstr>
  </property>
</Properties>
</file>