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03-c0-07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Casino Control Act 1984 </w:t>
      </w:r>
    </w:p>
    <w:p>
      <w:pPr>
        <w:pStyle w:val="LongTitle"/>
        <w:rPr>
          <w:snapToGrid w:val="0"/>
        </w:rPr>
      </w:pPr>
      <w:r>
        <w:rPr>
          <w:snapToGrid w:val="0"/>
        </w:rPr>
        <w:t>A</w:t>
      </w:r>
      <w:bookmarkStart w:id="0" w:name="_GoBack"/>
      <w:bookmarkEnd w:id="0"/>
      <w:r>
        <w:rPr>
          <w:snapToGrid w:val="0"/>
        </w:rPr>
        <w:t xml:space="preserve">n Act to provide for the establishment of a casino in Western Australia, for licensing the operator of the casino and for the control of gaming operations therein and for matters incidental to or connected therewith. </w:t>
      </w:r>
    </w:p>
    <w:p>
      <w:pPr>
        <w:pStyle w:val="Heading2"/>
      </w:pPr>
      <w:bookmarkStart w:id="1" w:name="_Toc68336795"/>
      <w:bookmarkStart w:id="2" w:name="_Toc68336861"/>
      <w:bookmarkStart w:id="3" w:name="_Toc68507298"/>
      <w:bookmarkStart w:id="4" w:name="_Toc68508130"/>
      <w:bookmarkStart w:id="5" w:name="_Toc71452128"/>
      <w:bookmarkStart w:id="6" w:name="_Toc95725606"/>
      <w:bookmarkStart w:id="7" w:name="_Toc96939095"/>
      <w:bookmarkStart w:id="8" w:name="_Toc102797105"/>
      <w:bookmarkStart w:id="9" w:name="_Toc157323488"/>
      <w:bookmarkStart w:id="10" w:name="_Toc157323643"/>
      <w:bookmarkStart w:id="11" w:name="_Toc1578363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01977997"/>
      <w:bookmarkStart w:id="13" w:name="_Toc67305381"/>
      <w:bookmarkStart w:id="14" w:name="_Toc102797106"/>
      <w:bookmarkStart w:id="15" w:name="_Toc157836311"/>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pPr>
        <w:pStyle w:val="Heading5"/>
        <w:rPr>
          <w:snapToGrid w:val="0"/>
        </w:rPr>
      </w:pPr>
      <w:bookmarkStart w:id="16" w:name="_Toc401977998"/>
      <w:bookmarkStart w:id="17" w:name="_Toc67305382"/>
      <w:bookmarkStart w:id="18" w:name="_Toc102797107"/>
      <w:bookmarkStart w:id="19" w:name="_Toc15783631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pPr>
      <w:bookmarkStart w:id="20" w:name="_Toc401977999"/>
      <w:bookmarkStart w:id="21" w:name="_Toc67305383"/>
      <w:bookmarkStart w:id="22" w:name="_Toc102797108"/>
      <w:bookmarkStart w:id="23" w:name="_Toc157836313"/>
      <w:r>
        <w:rPr>
          <w:rStyle w:val="CharSectno"/>
        </w:rPr>
        <w:t>3</w:t>
      </w:r>
      <w:r>
        <w:t>.</w:t>
      </w:r>
      <w:r>
        <w:tab/>
        <w:t>Interpretation</w:t>
      </w:r>
      <w:bookmarkEnd w:id="20"/>
      <w:bookmarkEnd w:id="21"/>
      <w:bookmarkEnd w:id="22"/>
      <w:bookmarkEnd w:id="23"/>
      <w: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administrator</w:t>
      </w:r>
      <w:r>
        <w:t xml:space="preserve"> means administrator appointed under section 21E(1) or (2);</w:t>
      </w:r>
    </w:p>
    <w:p>
      <w:pPr>
        <w:pStyle w:val="Defstart"/>
      </w:pPr>
      <w:r>
        <w:rPr>
          <w:b/>
        </w:rPr>
        <w:tab/>
      </w:r>
      <w:r>
        <w:rPr>
          <w:rStyle w:val="CharDefText"/>
        </w:rPr>
        <w:t>authorised game</w:t>
      </w:r>
      <w:r>
        <w:t xml:space="preserve"> means game declared by the Commission under section 22 to be an authorised game for the purposes of this Act;</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pPr>
        <w:pStyle w:val="Defstart"/>
      </w:pPr>
      <w:r>
        <w:rPr>
          <w:b/>
        </w:rPr>
        <w:tab/>
      </w:r>
      <w:r>
        <w:rPr>
          <w:rStyle w:val="CharDefText"/>
        </w:rPr>
        <w:t>casino complex</w:t>
      </w:r>
      <w:r>
        <w:t>, subject to any order made under section 21F(1b), means area — </w:t>
      </w:r>
    </w:p>
    <w:p>
      <w:pPr>
        <w:pStyle w:val="Defpara"/>
      </w:pPr>
      <w:r>
        <w:tab/>
        <w:t>(a)</w:t>
      </w:r>
      <w:r>
        <w:tab/>
        <w:t>in which a casino and an hotel and other amenities or premises are established, or intended to be established, to an international standard; and</w:t>
      </w:r>
    </w:p>
    <w:p>
      <w:pPr>
        <w:pStyle w:val="Defpara"/>
        <w:keepNext/>
      </w:pPr>
      <w:r>
        <w:tab/>
        <w:t>(b)</w:t>
      </w:r>
      <w:r>
        <w:tab/>
        <w:t>which is the subject of a casino complex agreement,</w:t>
      </w:r>
    </w:p>
    <w:p>
      <w:pPr>
        <w:pStyle w:val="Defstart"/>
      </w:pPr>
      <w:r>
        <w:tab/>
        <w:t>and includes any casino or hotel or other amenities or premises established in that area;</w:t>
      </w:r>
    </w:p>
    <w:p>
      <w:pPr>
        <w:pStyle w:val="Defstart"/>
      </w:pPr>
      <w:r>
        <w:rPr>
          <w:b/>
        </w:rPr>
        <w:tab/>
      </w:r>
      <w:r>
        <w:rPr>
          <w:rStyle w:val="CharDefText"/>
        </w:rPr>
        <w:t>casino complex agreement</w:t>
      </w:r>
      <w:r>
        <w:t xml:space="preserve"> means agreement entered into by the Minister with a public company under section 19(1);</w:t>
      </w:r>
    </w:p>
    <w:p>
      <w:pPr>
        <w:pStyle w:val="Defstart"/>
      </w:pPr>
      <w:r>
        <w:rPr>
          <w:b/>
        </w:rPr>
        <w:tab/>
      </w:r>
      <w:r>
        <w:rPr>
          <w:rStyle w:val="CharDefText"/>
        </w:rPr>
        <w:t>casino employee</w:t>
      </w:r>
      <w:r>
        <w:t xml:space="preserve"> means person employed or working in a licensed casino whose duties or responsibilities relate to or are in support of the licensed casino, but does not include — </w:t>
      </w:r>
    </w:p>
    <w:p>
      <w:pPr>
        <w:pStyle w:val="Defpara"/>
      </w:pPr>
      <w:r>
        <w:tab/>
        <w:t>(a)</w:t>
      </w:r>
      <w:r>
        <w:tab/>
        <w:t>casino key employee; or</w:t>
      </w:r>
    </w:p>
    <w:p>
      <w:pPr>
        <w:pStyle w:val="Defpara"/>
      </w:pPr>
      <w:r>
        <w:tab/>
        <w:t>(b)</w:t>
      </w:r>
      <w:r>
        <w:tab/>
        <w:t>person or member of a class of persons prescribed for the purpose of this paragraph;</w:t>
      </w:r>
    </w:p>
    <w:p>
      <w:pPr>
        <w:pStyle w:val="Defstart"/>
      </w:pPr>
      <w:r>
        <w:rPr>
          <w:b/>
        </w:rPr>
        <w:tab/>
      </w:r>
      <w:r>
        <w:rPr>
          <w:rStyle w:val="CharDefText"/>
        </w:rPr>
        <w:t>casino gaming licence</w:t>
      </w:r>
      <w:r>
        <w:t xml:space="preserve"> means casino gaming licence granted under section 21;</w:t>
      </w:r>
    </w:p>
    <w:p>
      <w:pPr>
        <w:pStyle w:val="Defstart"/>
      </w:pPr>
      <w:r>
        <w:rPr>
          <w:b/>
        </w:rPr>
        <w:tab/>
      </w:r>
      <w:r>
        <w:rPr>
          <w:rStyle w:val="CharDefText"/>
        </w:rPr>
        <w:t>casino key employee</w:t>
      </w:r>
      <w:r>
        <w:t xml:space="preserve"> means person — </w:t>
      </w:r>
    </w:p>
    <w:p>
      <w:pPr>
        <w:pStyle w:val="Defpara"/>
      </w:pPr>
      <w:r>
        <w:tab/>
        <w:t>(a)</w:t>
      </w:r>
      <w:r>
        <w:tab/>
        <w:t>employed or working in a licensed casino in a managerial capacity or empowered to make decisions, involving the exercise of his discretion, that regulate the operation of a licensed casino; or</w:t>
      </w:r>
    </w:p>
    <w:p>
      <w:pPr>
        <w:pStyle w:val="Defpara"/>
      </w:pPr>
      <w:r>
        <w:tab/>
        <w:t>(b)</w:t>
      </w:r>
      <w:r>
        <w:tab/>
        <w:t>who the Commission determines in the public interest by reason of his influence, remuneration or function, should be designated as such;</w:t>
      </w:r>
    </w:p>
    <w:p>
      <w:pPr>
        <w:pStyle w:val="Defstart"/>
      </w:pPr>
      <w:r>
        <w:rPr>
          <w:b/>
        </w:rPr>
        <w:tab/>
      </w:r>
      <w:r>
        <w:rPr>
          <w:rStyle w:val="CharDefText"/>
        </w:rPr>
        <w:t>casino licensee</w:t>
      </w:r>
      <w:r>
        <w:t xml:space="preserve"> means holder, or person deemed to be the holder, of a casino gaming licence;</w:t>
      </w:r>
    </w:p>
    <w:p>
      <w:pPr>
        <w:pStyle w:val="Defstart"/>
      </w:pPr>
      <w:r>
        <w:rPr>
          <w:b/>
        </w:rP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common gaming house</w:t>
      </w:r>
      <w:r>
        <w:t xml:space="preserve"> has the meaning attributed by section 41 of the </w:t>
      </w:r>
      <w:r>
        <w:rPr>
          <w:i/>
        </w:rPr>
        <w:t>Gaming and Wagering Commission Act 1987</w:t>
      </w:r>
      <w:r>
        <w:t>;</w:t>
      </w:r>
    </w:p>
    <w:p>
      <w:pPr>
        <w:pStyle w:val="Defstart"/>
      </w:pPr>
      <w:r>
        <w:rPr>
          <w:b/>
        </w:rPr>
        <w:tab/>
      </w:r>
      <w:r>
        <w:rPr>
          <w:rStyle w:val="CharDefText"/>
        </w:rPr>
        <w:t>game</w:t>
      </w:r>
      <w:r>
        <w:t xml:space="preserve"> means — </w:t>
      </w:r>
    </w:p>
    <w:p>
      <w:pPr>
        <w:pStyle w:val="Defpara"/>
      </w:pPr>
      <w:r>
        <w:tab/>
        <w:t>(a)</w:t>
      </w:r>
      <w:r>
        <w:tab/>
        <w:t>game of chance or pretended game of chance; or</w:t>
      </w:r>
    </w:p>
    <w:p>
      <w:pPr>
        <w:pStyle w:val="Defpara"/>
        <w:keepNext/>
      </w:pPr>
      <w:r>
        <w:tab/>
        <w:t>(b)</w:t>
      </w:r>
      <w:r>
        <w:tab/>
        <w:t>game or pretended game which includes a degree of chance,</w:t>
      </w:r>
    </w:p>
    <w:p>
      <w:pPr>
        <w:pStyle w:val="Defstart"/>
        <w:keepNext/>
        <w:keepLines/>
      </w:pPr>
      <w:r>
        <w:tab/>
        <w:t>whether or not combined with a skill or degree of skill and whether or not played manually or by means of — </w:t>
      </w:r>
    </w:p>
    <w:p>
      <w:pPr>
        <w:pStyle w:val="Defpara"/>
      </w:pPr>
      <w:r>
        <w:tab/>
        <w:t>(c)</w:t>
      </w:r>
      <w:r>
        <w:tab/>
        <w:t>any electrical, electronic or mechanical contrivance or machine that is constructed or adapted for use in a game or pretended game referred to in paragraph (a) or (b); or</w:t>
      </w:r>
    </w:p>
    <w:p>
      <w:pPr>
        <w:pStyle w:val="Defpara"/>
      </w:pPr>
      <w:r>
        <w:tab/>
        <w:t>(d)</w:t>
      </w:r>
      <w:r>
        <w:tab/>
        <w:t>any other instrument of gaming;</w:t>
      </w:r>
    </w:p>
    <w:p>
      <w:pPr>
        <w:pStyle w:val="Defstart"/>
      </w:pPr>
      <w:r>
        <w:rPr>
          <w:b/>
        </w:rPr>
        <w:tab/>
      </w:r>
      <w:r>
        <w:rPr>
          <w:rStyle w:val="CharDefText"/>
        </w:rPr>
        <w:t>gaming operations</w:t>
      </w:r>
      <w:r>
        <w:t xml:space="preserve">, in relation to a casino, means — </w:t>
      </w:r>
    </w:p>
    <w:p>
      <w:pPr>
        <w:pStyle w:val="Defpara"/>
      </w:pPr>
      <w:r>
        <w:tab/>
        <w:t>(a)</w:t>
      </w:r>
      <w:r>
        <w:tab/>
        <w:t>the conduct and playing of games in the casino;</w:t>
      </w:r>
    </w:p>
    <w:p>
      <w:pPr>
        <w:pStyle w:val="Defpara"/>
      </w:pPr>
      <w:r>
        <w:tab/>
        <w:t>(b)</w:t>
      </w:r>
      <w:r>
        <w:tab/>
        <w:t>the management, supervision or surveillance of the conduct and playing of games in the casino;</w:t>
      </w:r>
    </w:p>
    <w:p>
      <w:pPr>
        <w:pStyle w:val="Defpara"/>
      </w:pPr>
      <w:r>
        <w:tab/>
        <w:t>(c)</w:t>
      </w:r>
      <w:r>
        <w:tab/>
        <w:t>money counting, accounting or advertising in relation to the conduct and playing of games in the casino;</w:t>
      </w:r>
    </w:p>
    <w:p>
      <w:pPr>
        <w:pStyle w:val="Defpara"/>
      </w:pPr>
      <w:r>
        <w:tab/>
        <w:t>(d)</w:t>
      </w:r>
      <w:r>
        <w:tab/>
        <w:t>the use of storage areas in relation to the conduct and playing of games in the casino; or</w:t>
      </w:r>
    </w:p>
    <w:p>
      <w:pPr>
        <w:pStyle w:val="Defpara"/>
      </w:pPr>
      <w:r>
        <w:tab/>
        <w:t>(e)</w:t>
      </w:r>
      <w:r>
        <w:tab/>
        <w:t xml:space="preserve">any other activities incidental to or connected with — </w:t>
      </w:r>
    </w:p>
    <w:p>
      <w:pPr>
        <w:pStyle w:val="Defsubpara"/>
      </w:pPr>
      <w:r>
        <w:tab/>
        <w:t>(i)</w:t>
      </w:r>
      <w:r>
        <w:tab/>
        <w:t>the conduct and playing of games; or</w:t>
      </w:r>
    </w:p>
    <w:p>
      <w:pPr>
        <w:pStyle w:val="Defsubpara"/>
      </w:pPr>
      <w:r>
        <w:tab/>
        <w:t>(ii)</w:t>
      </w:r>
      <w:r>
        <w:tab/>
        <w:t>the provision of facilities or services in relation to the conduct and playing of games,</w:t>
      </w:r>
    </w:p>
    <w:p>
      <w:pPr>
        <w:pStyle w:val="Defstart"/>
      </w:pPr>
      <w:r>
        <w:tab/>
        <w:t>in the casino;</w:t>
      </w:r>
    </w:p>
    <w:p>
      <w:pPr>
        <w:pStyle w:val="Defstart"/>
      </w:pPr>
      <w:r>
        <w:tab/>
      </w:r>
      <w:r>
        <w:rPr>
          <w:rStyle w:val="CharDefText"/>
        </w:rPr>
        <w:t>government inspector</w:t>
      </w:r>
      <w:r>
        <w:t xml:space="preserve"> means a government inspector appointed for the purposes of section 9(1);</w:t>
      </w:r>
    </w:p>
    <w:p>
      <w:pPr>
        <w:pStyle w:val="Defstart"/>
      </w:pPr>
      <w:r>
        <w:rPr>
          <w:b/>
        </w:rPr>
        <w:tab/>
      </w:r>
      <w:r>
        <w:rPr>
          <w:rStyle w:val="CharDefText"/>
        </w:rPr>
        <w:t>licensed casino</w:t>
      </w:r>
      <w:r>
        <w:t xml:space="preserve"> means casino in respect of which a casino gaming licence is, or is deemed to be, in force;</w:t>
      </w:r>
    </w:p>
    <w:p>
      <w:pPr>
        <w:pStyle w:val="Defstart"/>
      </w:pPr>
      <w:r>
        <w:rPr>
          <w:b/>
        </w:rPr>
        <w:tab/>
      </w:r>
      <w:r>
        <w:rPr>
          <w:rStyle w:val="CharDefText"/>
        </w:rPr>
        <w:t>mortgagee</w:t>
      </w:r>
      <w:r>
        <w:t xml:space="preserve"> means person in whose favour a mortgage, charge or other encumbrance is created under section 21F(1);</w:t>
      </w:r>
    </w:p>
    <w:p>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p>
    <w:p>
      <w:pPr>
        <w:pStyle w:val="Defstart"/>
      </w:pPr>
      <w:r>
        <w:rPr>
          <w:b/>
        </w:rPr>
        <w:tab/>
      </w:r>
      <w:r>
        <w:rPr>
          <w:rStyle w:val="CharDefText"/>
        </w:rPr>
        <w:t>the Chief Casino Officer</w:t>
      </w:r>
      <w:r>
        <w:t xml:space="preserve"> means the Chief Casino Officer appointed within the meaning of section 9(1).</w:t>
      </w:r>
    </w:p>
    <w:p>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pPr>
        <w:pStyle w:val="Footnotesection"/>
      </w:pPr>
      <w:r>
        <w:tab/>
        <w:t xml:space="preserve">[Section 3 amended by No. 10 of 1985 s. 23; No. 29 of 1985 s. 8; No. 64 of 1985 s. 2; No. 44 of 1987 s. 11; No. 74 of 1987 s. 12; No. 57 of 1997 s. 28(1); No. 24 of 1998 s. 4; No. 10 of 2001 s. 220; No. 35 of 2003 s. 171(2) and (3).] </w:t>
      </w:r>
    </w:p>
    <w:p>
      <w:pPr>
        <w:pStyle w:val="Heading2"/>
      </w:pPr>
      <w:bookmarkStart w:id="24" w:name="_Toc68336799"/>
      <w:bookmarkStart w:id="25" w:name="_Toc68336865"/>
      <w:bookmarkStart w:id="26" w:name="_Toc68507302"/>
      <w:bookmarkStart w:id="27" w:name="_Toc68508134"/>
      <w:bookmarkStart w:id="28" w:name="_Toc71452132"/>
      <w:bookmarkStart w:id="29" w:name="_Toc95725610"/>
      <w:bookmarkStart w:id="30" w:name="_Toc96939099"/>
      <w:bookmarkStart w:id="31" w:name="_Toc102797109"/>
      <w:bookmarkStart w:id="32" w:name="_Toc157323492"/>
      <w:bookmarkStart w:id="33" w:name="_Toc157323647"/>
      <w:bookmarkStart w:id="34" w:name="_Toc157836314"/>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Ednotesection"/>
      </w:pPr>
      <w:r>
        <w:t>[</w:t>
      </w:r>
      <w:r>
        <w:rPr>
          <w:b/>
        </w:rPr>
        <w:t>4.</w:t>
      </w:r>
      <w:r>
        <w:tab/>
        <w:t>Deleted by No. 24 of 1998 s. 5.]</w:t>
      </w:r>
    </w:p>
    <w:p>
      <w:pPr>
        <w:pStyle w:val="Ednotesection"/>
      </w:pPr>
      <w:r>
        <w:t>[</w:t>
      </w:r>
      <w:r>
        <w:rPr>
          <w:b/>
        </w:rPr>
        <w:t>4A</w:t>
      </w:r>
      <w:r>
        <w:rPr>
          <w:b/>
        </w:rPr>
        <w:noBreakHyphen/>
        <w:t>8.</w:t>
      </w:r>
      <w:r>
        <w:tab/>
        <w:t xml:space="preserve">Deleted by No. 74 of 1987 s. 14.] </w:t>
      </w:r>
    </w:p>
    <w:p>
      <w:pPr>
        <w:pStyle w:val="Heading5"/>
        <w:rPr>
          <w:snapToGrid w:val="0"/>
        </w:rPr>
      </w:pPr>
      <w:bookmarkStart w:id="35" w:name="_Toc401978001"/>
      <w:bookmarkStart w:id="36" w:name="_Toc67305384"/>
      <w:bookmarkStart w:id="37" w:name="_Toc102797110"/>
      <w:bookmarkStart w:id="38" w:name="_Toc157836315"/>
      <w:r>
        <w:rPr>
          <w:rStyle w:val="CharSectno"/>
        </w:rPr>
        <w:t>9</w:t>
      </w:r>
      <w:r>
        <w:rPr>
          <w:snapToGrid w:val="0"/>
        </w:rPr>
        <w:t>.</w:t>
      </w:r>
      <w:r>
        <w:rPr>
          <w:snapToGrid w:val="0"/>
        </w:rPr>
        <w:tab/>
        <w:t>Commission’s staff and advisers in respect of casinos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 </w:t>
      </w:r>
    </w:p>
    <w:p>
      <w:pPr>
        <w:pStyle w:val="Indenta"/>
        <w:rPr>
          <w:snapToGrid w:val="0"/>
        </w:rPr>
      </w:pPr>
      <w:r>
        <w:rPr>
          <w:snapToGrid w:val="0"/>
        </w:rPr>
        <w:tab/>
        <w:t>(a)</w:t>
      </w:r>
      <w:r>
        <w:rPr>
          <w:snapToGrid w:val="0"/>
        </w:rPr>
        <w:tab/>
        <w:t>employ temporary or casual employees; and</w:t>
      </w:r>
    </w:p>
    <w:p>
      <w:pPr>
        <w:pStyle w:val="Indenta"/>
        <w:rPr>
          <w:snapToGrid w:val="0"/>
        </w:rPr>
      </w:pPr>
      <w:r>
        <w:rPr>
          <w:snapToGrid w:val="0"/>
        </w:rPr>
        <w:tab/>
        <w:t>(b)</w:t>
      </w:r>
      <w:r>
        <w:rPr>
          <w:snapToGrid w:val="0"/>
        </w:rPr>
        <w:tab/>
        <w:t>engage under contracts for services professional or technical or other assistance,</w:t>
      </w:r>
    </w:p>
    <w:p>
      <w:pPr>
        <w:pStyle w:val="Subsection"/>
        <w:rPr>
          <w:snapToGrid w:val="0"/>
        </w:rPr>
      </w:pPr>
      <w:r>
        <w:rPr>
          <w:snapToGrid w:val="0"/>
        </w:rPr>
        <w:tab/>
      </w:r>
      <w:r>
        <w:rPr>
          <w:snapToGrid w:val="0"/>
        </w:rPr>
        <w:tab/>
        <w:t>for the purposes, and to provide the services, referred to in subsection (1).</w:t>
      </w:r>
    </w:p>
    <w:p>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pPr>
        <w:pStyle w:val="Footnotesection"/>
      </w:pPr>
      <w:r>
        <w:tab/>
        <w:t xml:space="preserve">[Section 9 inserted by No. 64 of 1985 s. 3; amended by No. 74 of 1987 s. 15; No. 32 of 1994 s. 3(2); No. 24 of 1998 s. 6(1); No. 35 of 2003 s. 171(3).] </w:t>
      </w:r>
    </w:p>
    <w:p>
      <w:pPr>
        <w:pStyle w:val="Heading5"/>
      </w:pPr>
      <w:bookmarkStart w:id="39" w:name="_Toc67305385"/>
      <w:bookmarkStart w:id="40" w:name="_Toc102797111"/>
      <w:bookmarkStart w:id="41" w:name="_Toc157836316"/>
      <w:bookmarkStart w:id="42" w:name="_Toc401978002"/>
      <w:r>
        <w:rPr>
          <w:rStyle w:val="CharSectno"/>
        </w:rPr>
        <w:t>10</w:t>
      </w:r>
      <w:r>
        <w:t>.</w:t>
      </w:r>
      <w:r>
        <w:tab/>
        <w:t>Protection from liability for Commission and its officers</w:t>
      </w:r>
      <w:bookmarkEnd w:id="39"/>
      <w:bookmarkEnd w:id="40"/>
      <w:bookmarkEnd w:id="41"/>
    </w:p>
    <w:p>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pPr>
        <w:pStyle w:val="Subsection"/>
        <w:spacing w:before="100"/>
      </w:pPr>
      <w:r>
        <w:tab/>
        <w:t>(3)</w:t>
      </w:r>
      <w:r>
        <w:tab/>
        <w:t xml:space="preserve">The protection given by this section applies even though the thing done in the performance or purported performance of a function under this Act or any other Act or a casino complex agreement may have been capable of being done whether or not, as the case requires — </w:t>
      </w:r>
    </w:p>
    <w:p>
      <w:pPr>
        <w:pStyle w:val="Indenta"/>
      </w:pPr>
      <w:r>
        <w:tab/>
        <w:t>(a)</w:t>
      </w:r>
      <w:r>
        <w:tab/>
        <w:t>this Act or any other Act had been enacted; or</w:t>
      </w:r>
    </w:p>
    <w:p>
      <w:pPr>
        <w:pStyle w:val="Indenta"/>
      </w:pPr>
      <w:r>
        <w:tab/>
        <w:t>(b)</w:t>
      </w:r>
      <w:r>
        <w:tab/>
        <w:t>the casino complex agreement had been entered into.</w:t>
      </w:r>
    </w:p>
    <w:p>
      <w:pPr>
        <w:pStyle w:val="Subsection"/>
        <w:spacing w:before="100"/>
      </w:pPr>
      <w:r>
        <w:tab/>
        <w:t>(4)</w:t>
      </w:r>
      <w:r>
        <w:tab/>
        <w:t xml:space="preserve">In this section — </w:t>
      </w:r>
    </w:p>
    <w:p>
      <w:pPr>
        <w:pStyle w:val="Indenta"/>
      </w:pPr>
      <w:r>
        <w:tab/>
        <w:t>(a)</w:t>
      </w:r>
      <w:r>
        <w:tab/>
        <w:t>a reference to the doing of anything includes a reference to the omission to do anything; and</w:t>
      </w:r>
    </w:p>
    <w:p>
      <w:pPr>
        <w:pStyle w:val="Indenta"/>
      </w:pPr>
      <w:r>
        <w:tab/>
        <w:t>(b)</w:t>
      </w:r>
      <w:r>
        <w:tab/>
        <w:t>a reference to the performance of a function includes a reference to the performance of a duty and the exercise of a power.</w:t>
      </w:r>
    </w:p>
    <w:p>
      <w:pPr>
        <w:pStyle w:val="Footnotesection"/>
      </w:pPr>
      <w:r>
        <w:tab/>
        <w:t>[Section 10 inserted by No. 24 of 1998 s. 7.]</w:t>
      </w:r>
    </w:p>
    <w:p>
      <w:pPr>
        <w:pStyle w:val="Heading5"/>
        <w:spacing w:before="120"/>
      </w:pPr>
      <w:bookmarkStart w:id="43" w:name="_Toc67305386"/>
      <w:bookmarkStart w:id="44" w:name="_Toc102797112"/>
      <w:bookmarkStart w:id="45" w:name="_Toc157836317"/>
      <w:r>
        <w:rPr>
          <w:rStyle w:val="CharSectno"/>
        </w:rPr>
        <w:t>11</w:t>
      </w:r>
      <w:r>
        <w:t>.</w:t>
      </w:r>
      <w:r>
        <w:tab/>
        <w:t>Chief Casino Officer may delegate</w:t>
      </w:r>
      <w:bookmarkEnd w:id="43"/>
      <w:bookmarkEnd w:id="44"/>
      <w:bookmarkEnd w:id="45"/>
    </w:p>
    <w:p>
      <w:pPr>
        <w:pStyle w:val="Subsection"/>
      </w:pPr>
      <w:r>
        <w:tab/>
        <w:t>(1)</w:t>
      </w:r>
      <w:r>
        <w:tab/>
        <w:t xml:space="preserve">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 </w:t>
      </w:r>
    </w:p>
    <w:p>
      <w:pPr>
        <w:pStyle w:val="Indenta"/>
      </w:pPr>
      <w:r>
        <w:tab/>
        <w:t>(a)</w:t>
      </w:r>
      <w:r>
        <w:tab/>
        <w:t>this power of delegation; or</w:t>
      </w:r>
    </w:p>
    <w:p>
      <w:pPr>
        <w:pStyle w:val="Indenta"/>
      </w:pPr>
      <w:r>
        <w:tab/>
        <w:t>(b)</w:t>
      </w:r>
      <w:r>
        <w:tab/>
        <w:t xml:space="preserve">a power or duty of the Commission delegated to the Chief Casino Officer under section 16 of the </w:t>
      </w:r>
      <w:r>
        <w:rPr>
          <w:i/>
        </w:rPr>
        <w:t>Gaming and Wagering Commission Act 1987</w:t>
      </w:r>
      <w:r>
        <w:t>.</w:t>
      </w:r>
    </w:p>
    <w:p>
      <w:pPr>
        <w:pStyle w:val="Subsection"/>
      </w:pPr>
      <w:r>
        <w:tab/>
        <w:t>(2)</w:t>
      </w:r>
      <w:r>
        <w:tab/>
        <w:t>A delegation may be general or as otherwise provided by the instrument of delegation.</w:t>
      </w:r>
    </w:p>
    <w:p>
      <w:pPr>
        <w:pStyle w:val="Footnotesection"/>
      </w:pPr>
      <w:r>
        <w:tab/>
        <w:t>[Section 11 inserted by No. 24 of 1998 s. 7; amended by No. 35 of 2003 s. 171(3).]</w:t>
      </w:r>
    </w:p>
    <w:bookmarkEnd w:id="42"/>
    <w:p>
      <w:pPr>
        <w:pStyle w:val="Ednotesection"/>
      </w:pPr>
      <w:r>
        <w:t>[</w:t>
      </w:r>
      <w:r>
        <w:rPr>
          <w:b/>
        </w:rPr>
        <w:t>12.</w:t>
      </w:r>
      <w:r>
        <w:tab/>
        <w:t>Deleted by No. 24 of 1998 s. 8.]</w:t>
      </w:r>
    </w:p>
    <w:p>
      <w:pPr>
        <w:pStyle w:val="Heading5"/>
        <w:rPr>
          <w:snapToGrid w:val="0"/>
        </w:rPr>
      </w:pPr>
      <w:bookmarkStart w:id="46" w:name="_Toc401978003"/>
      <w:bookmarkStart w:id="47" w:name="_Toc67305387"/>
      <w:bookmarkStart w:id="48" w:name="_Toc102797113"/>
      <w:bookmarkStart w:id="49" w:name="_Toc157836318"/>
      <w:r>
        <w:rPr>
          <w:rStyle w:val="CharSectno"/>
        </w:rPr>
        <w:t>13</w:t>
      </w:r>
      <w:r>
        <w:rPr>
          <w:snapToGrid w:val="0"/>
        </w:rPr>
        <w:t>.</w:t>
      </w:r>
      <w:r>
        <w:rPr>
          <w:snapToGrid w:val="0"/>
        </w:rPr>
        <w:tab/>
        <w:t>Secrecy</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 </w:t>
      </w:r>
    </w:p>
    <w:p>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w:t>
      </w:r>
    </w:p>
    <w:p>
      <w:pPr>
        <w:pStyle w:val="Indenta"/>
        <w:rPr>
          <w:snapToGrid w:val="0"/>
        </w:rPr>
      </w:pPr>
      <w:r>
        <w:rPr>
          <w:snapToGrid w:val="0"/>
        </w:rPr>
        <w:tab/>
        <w:t>(b)</w:t>
      </w:r>
      <w:r>
        <w:rPr>
          <w:snapToGrid w:val="0"/>
        </w:rPr>
        <w:tab/>
        <w:t>the provision of statistical data relating to the operations of a casino, subject to the agreement of the casino licensee; or</w:t>
      </w:r>
    </w:p>
    <w:p>
      <w:pPr>
        <w:pStyle w:val="Indenta"/>
        <w:rPr>
          <w:snapToGrid w:val="0"/>
        </w:rPr>
      </w:pPr>
      <w:r>
        <w:rPr>
          <w:snapToGrid w:val="0"/>
        </w:rPr>
        <w:tab/>
        <w:t>(c)</w:t>
      </w:r>
      <w:r>
        <w:rPr>
          <w:snapToGrid w:val="0"/>
        </w:rPr>
        <w:tab/>
        <w:t>compliance with a request by any person, in relation to the affairs of that person relating to gaming,</w:t>
      </w:r>
    </w:p>
    <w:p>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pPr>
        <w:pStyle w:val="Footnotesection"/>
      </w:pPr>
      <w:r>
        <w:tab/>
        <w:t>[Section 13 inserted by No. 74 of 1987 s. 17; amended by No. 57 of 1997 s. 28(2); No. 24 of 1998 s. 9; No. 35 of 2003 s. 171(3).]</w:t>
      </w:r>
    </w:p>
    <w:p>
      <w:pPr>
        <w:pStyle w:val="Heading5"/>
        <w:rPr>
          <w:snapToGrid w:val="0"/>
        </w:rPr>
      </w:pPr>
      <w:bookmarkStart w:id="50" w:name="_Toc401978004"/>
      <w:bookmarkStart w:id="51" w:name="_Toc67305388"/>
      <w:bookmarkStart w:id="52" w:name="_Toc102797114"/>
      <w:bookmarkStart w:id="53" w:name="_Toc157836319"/>
      <w:r>
        <w:rPr>
          <w:rStyle w:val="CharSectno"/>
        </w:rPr>
        <w:t>14</w:t>
      </w:r>
      <w:r>
        <w:rPr>
          <w:snapToGrid w:val="0"/>
        </w:rPr>
        <w:t>.</w:t>
      </w:r>
      <w:r>
        <w:rPr>
          <w:snapToGrid w:val="0"/>
        </w:rPr>
        <w:tab/>
        <w:t>Funds available for administration of Act</w:t>
      </w:r>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The funds available for the administration of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(aa)</w:t>
      </w:r>
      <w:r>
        <w:rPr>
          <w:snapToGrid w:val="0"/>
        </w:rPr>
        <w:tab/>
        <w:t>casino gaming licence fees paid under section 20; and</w:t>
      </w:r>
    </w:p>
    <w:p>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pPr>
        <w:pStyle w:val="Subsection"/>
        <w:rPr>
          <w:snapToGrid w:val="0"/>
        </w:rPr>
      </w:pPr>
      <w:r>
        <w:rPr>
          <w:snapToGrid w:val="0"/>
        </w:rPr>
        <w:tab/>
        <w:t>(2)</w:t>
      </w:r>
      <w:r>
        <w:rPr>
          <w:snapToGrid w:val="0"/>
        </w:rPr>
        <w:tab/>
        <w:t xml:space="preserve">The funds referred to in subsection (1) shall be, as the case requires — </w:t>
      </w:r>
    </w:p>
    <w:p>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pPr>
        <w:pStyle w:val="Indenta"/>
        <w:rPr>
          <w:snapToGrid w:val="0"/>
        </w:rPr>
      </w:pPr>
      <w:r>
        <w:rPr>
          <w:snapToGrid w:val="0"/>
        </w:rPr>
        <w:tab/>
        <w:t>(b)</w:t>
      </w:r>
      <w:r>
        <w:rPr>
          <w:snapToGrid w:val="0"/>
        </w:rPr>
        <w:tab/>
        <w:t>paid into and placed to the credit of the account referred to in section 9(2)(b) of that Act.</w:t>
      </w:r>
    </w:p>
    <w:p>
      <w:pPr>
        <w:pStyle w:val="Footnotesection"/>
      </w:pPr>
      <w:r>
        <w:tab/>
        <w:t xml:space="preserve">[Section 14 amended by No. 10 of 1985 s. 27; No. 74 of 1987 s. 18; No. 49 of 1996 s. 64; No. 24 of 1998 s. 10; No. 35 of 2003 s. 171(3).] </w:t>
      </w:r>
    </w:p>
    <w:p>
      <w:pPr>
        <w:pStyle w:val="Heading5"/>
      </w:pPr>
      <w:bookmarkStart w:id="54" w:name="_Toc67305389"/>
      <w:bookmarkStart w:id="55" w:name="_Toc102797115"/>
      <w:bookmarkStart w:id="56" w:name="_Toc157836320"/>
      <w:r>
        <w:rPr>
          <w:rStyle w:val="CharSectno"/>
        </w:rPr>
        <w:t>15</w:t>
      </w:r>
      <w:r>
        <w:t>.</w:t>
      </w:r>
      <w:r>
        <w:tab/>
        <w:t>Unclaimed winnings</w:t>
      </w:r>
      <w:bookmarkEnd w:id="54"/>
      <w:bookmarkEnd w:id="55"/>
      <w:bookmarkEnd w:id="56"/>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xml:space="preserve">), the casino licensee shall notify the Commission in writing, when directed by the Commission to do so, of — </w:t>
      </w:r>
    </w:p>
    <w:p>
      <w:pPr>
        <w:pStyle w:val="Indenta"/>
      </w:pPr>
      <w:r>
        <w:tab/>
        <w:t>(c)</w:t>
      </w:r>
      <w:r>
        <w:tab/>
        <w:t>details of the unclaimed winnings;</w:t>
      </w:r>
    </w:p>
    <w:p>
      <w:pPr>
        <w:pStyle w:val="Indenta"/>
      </w:pPr>
      <w:r>
        <w:tab/>
        <w:t>(d)</w:t>
      </w:r>
      <w:r>
        <w:tab/>
        <w:t>the name and address, if known, of the person entitled to be paid the unclaimed winnings (</w:t>
      </w:r>
      <w:r>
        <w:rPr>
          <w:rStyle w:val="CharDefText"/>
        </w:rPr>
        <w:t>the winner</w:t>
      </w:r>
      <w:r>
        <w:t>); and</w:t>
      </w:r>
    </w:p>
    <w:p>
      <w:pPr>
        <w:pStyle w:val="Indenta"/>
      </w:pPr>
      <w:r>
        <w:tab/>
        <w:t>(e)</w:t>
      </w:r>
      <w:r>
        <w:tab/>
        <w:t>details of any steps taken by the casino licensee to find and contact the winner.</w:t>
      </w:r>
    </w:p>
    <w:p>
      <w:pPr>
        <w:pStyle w:val="Subsection"/>
      </w:pPr>
      <w:r>
        <w:tab/>
        <w:t>(2)</w:t>
      </w:r>
      <w:r>
        <w:tab/>
        <w:t>On being notified of unclaimed winnings under subsection (1), the Commission may give directions to the casino licensee to take specified steps, or specified additional steps, to find and contact the winner.</w:t>
      </w:r>
    </w:p>
    <w:p>
      <w:pPr>
        <w:pStyle w:val="Subsection"/>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 xml:space="preserve">subject to subsection (4), the unclaimed winnings shall be dealt with under section 109C of the </w:t>
      </w:r>
      <w:r>
        <w:rPr>
          <w:i/>
        </w:rPr>
        <w:t>Gaming and Wagering Commission Act 1987</w:t>
      </w:r>
      <w:r>
        <w:t>.</w:t>
      </w:r>
    </w:p>
    <w:p>
      <w:pPr>
        <w:pStyle w:val="Subsection"/>
      </w:pPr>
      <w:r>
        <w:tab/>
        <w:t>(4)</w:t>
      </w:r>
      <w:r>
        <w:tab/>
        <w:t xml:space="preserve">The Commission may give directions to the casino licensee as to the disposal of any unclaimed winnings where — </w:t>
      </w:r>
    </w:p>
    <w:p>
      <w:pPr>
        <w:pStyle w:val="Indenta"/>
      </w:pPr>
      <w:r>
        <w:tab/>
        <w:t>(a)</w:t>
      </w:r>
      <w:r>
        <w:tab/>
        <w:t>the right of the winner to be paid the winnings has been extinguished under subsection (3); and</w:t>
      </w:r>
    </w:p>
    <w:p>
      <w:pPr>
        <w:pStyle w:val="Indenta"/>
      </w:pPr>
      <w:r>
        <w:tab/>
        <w:t>(b)</w:t>
      </w:r>
      <w:r>
        <w:tab/>
        <w:t>the winnings are in a form other than money,</w:t>
      </w:r>
    </w:p>
    <w:p>
      <w:pPr>
        <w:pStyle w:val="Subsection"/>
      </w:pPr>
      <w:r>
        <w:tab/>
      </w:r>
      <w:r>
        <w:tab/>
        <w:t xml:space="preserve">and any proceeds of that disposal shall be taken to be unclaimed winnings to be dealt with under section 109C of the </w:t>
      </w:r>
      <w:r>
        <w:rPr>
          <w:i/>
        </w:rPr>
        <w:t>Gaming and Wagering Commission Act 1987</w:t>
      </w:r>
      <w:r>
        <w:t>.</w:t>
      </w:r>
    </w:p>
    <w:p>
      <w:pPr>
        <w:pStyle w:val="Subsection"/>
      </w:pPr>
      <w:r>
        <w:tab/>
        <w:t>(5)</w:t>
      </w:r>
      <w:r>
        <w:tab/>
        <w:t>It is a condition of a casino gaming licence that the casino licensee complies with any direction given to the casino licensee under this section.</w:t>
      </w:r>
    </w:p>
    <w:p>
      <w:pPr>
        <w:pStyle w:val="Subsection"/>
        <w:keepNext/>
      </w:pPr>
      <w:r>
        <w:tab/>
        <w:t>(6)</w:t>
      </w:r>
      <w:r>
        <w:tab/>
        <w:t xml:space="preserve">In this section — </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15 inserted by No. 24 of 1998 s. 11(1); amended by No. 35 of 2003 s. 171(3).]</w:t>
      </w:r>
    </w:p>
    <w:p>
      <w:pPr>
        <w:pStyle w:val="Ednotesection"/>
      </w:pPr>
      <w:r>
        <w:t>[</w:t>
      </w:r>
      <w:r>
        <w:rPr>
          <w:b/>
        </w:rPr>
        <w:t>16.</w:t>
      </w:r>
      <w:r>
        <w:rPr>
          <w:b/>
        </w:rPr>
        <w:tab/>
      </w:r>
      <w:r>
        <w:t xml:space="preserve">Deleted by No. 74 of 1987 s. 19.] </w:t>
      </w:r>
    </w:p>
    <w:p>
      <w:pPr>
        <w:pStyle w:val="Ednotesection"/>
      </w:pPr>
      <w:r>
        <w:t>[</w:t>
      </w:r>
      <w:r>
        <w:rPr>
          <w:b/>
        </w:rPr>
        <w:t>17.</w:t>
      </w:r>
      <w:r>
        <w:rPr>
          <w:b/>
        </w:rPr>
        <w:tab/>
      </w:r>
      <w:r>
        <w:t xml:space="preserve">Deleted by No. 98 of 1985 s. 3.] </w:t>
      </w:r>
    </w:p>
    <w:p>
      <w:pPr>
        <w:pStyle w:val="Heading2"/>
      </w:pPr>
      <w:bookmarkStart w:id="57" w:name="_Toc68336806"/>
      <w:bookmarkStart w:id="58" w:name="_Toc68336872"/>
      <w:bookmarkStart w:id="59" w:name="_Toc68507309"/>
      <w:bookmarkStart w:id="60" w:name="_Toc68508141"/>
      <w:bookmarkStart w:id="61" w:name="_Toc71452139"/>
      <w:bookmarkStart w:id="62" w:name="_Toc95725617"/>
      <w:bookmarkStart w:id="63" w:name="_Toc96939106"/>
      <w:bookmarkStart w:id="64" w:name="_Toc102797116"/>
      <w:bookmarkStart w:id="65" w:name="_Toc157323499"/>
      <w:bookmarkStart w:id="66" w:name="_Toc157323654"/>
      <w:bookmarkStart w:id="67" w:name="_Toc157836321"/>
      <w:r>
        <w:rPr>
          <w:rStyle w:val="CharPartNo"/>
        </w:rPr>
        <w:t>Part III</w:t>
      </w:r>
      <w:r>
        <w:rPr>
          <w:rStyle w:val="CharDivNo"/>
        </w:rPr>
        <w:t> </w:t>
      </w:r>
      <w:r>
        <w:t>—</w:t>
      </w:r>
      <w:r>
        <w:rPr>
          <w:rStyle w:val="CharDivText"/>
        </w:rPr>
        <w:t> </w:t>
      </w:r>
      <w:r>
        <w:rPr>
          <w:rStyle w:val="CharPartText"/>
        </w:rPr>
        <w:t>Casino complex agreement</w:t>
      </w:r>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Footnoteheading"/>
      </w:pPr>
      <w:r>
        <w:tab/>
        <w:t xml:space="preserve">[Heading amended by No. 10 of 1985 s. 28.] </w:t>
      </w:r>
    </w:p>
    <w:p>
      <w:pPr>
        <w:pStyle w:val="Heading5"/>
        <w:rPr>
          <w:snapToGrid w:val="0"/>
        </w:rPr>
      </w:pPr>
      <w:bookmarkStart w:id="68" w:name="_Toc67305390"/>
      <w:bookmarkStart w:id="69" w:name="_Toc102797117"/>
      <w:bookmarkStart w:id="70" w:name="_Toc157836322"/>
      <w:bookmarkStart w:id="71" w:name="_Toc401978005"/>
      <w:r>
        <w:rPr>
          <w:rStyle w:val="CharSectno"/>
        </w:rPr>
        <w:t>18</w:t>
      </w:r>
      <w:r>
        <w:rPr>
          <w:snapToGrid w:val="0"/>
        </w:rPr>
        <w:t>.</w:t>
      </w:r>
      <w:r>
        <w:rPr>
          <w:rStyle w:val="CharSectno"/>
        </w:rPr>
        <w:tab/>
      </w:r>
      <w:r>
        <w:rPr>
          <w:snapToGrid w:val="0"/>
        </w:rPr>
        <w:t>“Close associate”, meaning of</w:t>
      </w:r>
      <w:bookmarkEnd w:id="68"/>
      <w:bookmarkEnd w:id="69"/>
      <w:bookmarkEnd w:id="70"/>
    </w:p>
    <w:p>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 </w:t>
      </w:r>
    </w:p>
    <w:p>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pPr>
        <w:pStyle w:val="Indenta"/>
      </w:pPr>
      <w:r>
        <w:tab/>
        <w:t>(b)</w:t>
      </w:r>
      <w:r>
        <w:tab/>
        <w:t>holds any relevant position, whether in the person’s own right or on behalf of any other person, in the public company.</w:t>
      </w:r>
    </w:p>
    <w:p>
      <w:pPr>
        <w:pStyle w:val="Subsection"/>
      </w:pPr>
      <w:r>
        <w:tab/>
        <w:t>(2)</w:t>
      </w:r>
      <w:r>
        <w:tab/>
        <w:t xml:space="preserve">In this section — </w:t>
      </w:r>
    </w:p>
    <w:p>
      <w:pPr>
        <w:pStyle w:val="Defstart"/>
      </w:pPr>
      <w:r>
        <w:tab/>
      </w:r>
      <w:r>
        <w:rPr>
          <w:rStyle w:val="CharDefText"/>
        </w:rPr>
        <w:t>relevant financial interest</w:t>
      </w:r>
      <w:r>
        <w:t xml:space="preserve"> means — </w:t>
      </w:r>
    </w:p>
    <w:p>
      <w:pPr>
        <w:pStyle w:val="Defpara"/>
      </w:pPr>
      <w:r>
        <w:tab/>
        <w:t>(a)</w:t>
      </w:r>
      <w:r>
        <w:tab/>
        <w:t>any share in the capital of the public company; or</w:t>
      </w:r>
    </w:p>
    <w:p>
      <w:pPr>
        <w:pStyle w:val="Defpara"/>
      </w:pPr>
      <w:r>
        <w:tab/>
        <w:t>(b)</w:t>
      </w:r>
      <w:r>
        <w:tab/>
        <w:t>any en</w:t>
      </w:r>
      <w:r>
        <w:rPr>
          <w:snapToGrid/>
        </w:rPr>
        <w:t>t</w:t>
      </w:r>
      <w:r>
        <w:t>itlement to receive any income derived from the public company;</w:t>
      </w:r>
    </w:p>
    <w:p>
      <w:pPr>
        <w:pStyle w:val="Defstart"/>
      </w:pPr>
      <w:r>
        <w:tab/>
      </w:r>
      <w:r>
        <w:rPr>
          <w:rStyle w:val="CharDefText"/>
        </w:rPr>
        <w:t>relevant position</w:t>
      </w:r>
      <w:r>
        <w:t xml:space="preserve"> means the position of director, manager or other executive position or secretary, however that position is designated;</w:t>
      </w:r>
    </w:p>
    <w:p>
      <w:pPr>
        <w:pStyle w:val="Defstart"/>
        <w:keepNex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any relevant position.</w:t>
      </w:r>
    </w:p>
    <w:p>
      <w:pPr>
        <w:pStyle w:val="Footnotesection"/>
      </w:pPr>
      <w:r>
        <w:tab/>
        <w:t>[Section 18 inserted by No. 24 of 1998 s. 12.]</w:t>
      </w:r>
    </w:p>
    <w:p>
      <w:pPr>
        <w:pStyle w:val="Heading5"/>
        <w:rPr>
          <w:snapToGrid w:val="0"/>
        </w:rPr>
      </w:pPr>
      <w:bookmarkStart w:id="72" w:name="_Toc67305391"/>
      <w:bookmarkStart w:id="73" w:name="_Toc102797118"/>
      <w:bookmarkStart w:id="74" w:name="_Toc157836323"/>
      <w:r>
        <w:rPr>
          <w:rStyle w:val="CharSectno"/>
        </w:rPr>
        <w:t>19</w:t>
      </w:r>
      <w:r>
        <w:rPr>
          <w:snapToGrid w:val="0"/>
        </w:rPr>
        <w:t>.</w:t>
      </w:r>
      <w:r>
        <w:rPr>
          <w:snapToGrid w:val="0"/>
        </w:rPr>
        <w:tab/>
        <w:t>Minister may enter into agreement with respect to construction and establishment of casino complex</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pPr>
        <w:pStyle w:val="Subsection"/>
        <w:keepNext/>
        <w:rPr>
          <w:snapToGrid w:val="0"/>
        </w:rPr>
      </w:pPr>
      <w:r>
        <w:rPr>
          <w:snapToGrid w:val="0"/>
        </w:rPr>
        <w:tab/>
        <w:t>(2)</w:t>
      </w:r>
      <w:r>
        <w:rPr>
          <w:snapToGrid w:val="0"/>
        </w:rPr>
        <w:tab/>
        <w:t xml:space="preserve">Without limiting the matters that may be investigated by the Commission under subsection (1a), investigations made under that subsection shall include such investigations as the Commission considers necessary or desirable to inform itself of — </w:t>
      </w:r>
    </w:p>
    <w:p>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w:t>
      </w:r>
    </w:p>
    <w:p>
      <w:pPr>
        <w:pStyle w:val="Indenta"/>
        <w:rPr>
          <w:snapToGrid w:val="0"/>
        </w:rPr>
      </w:pPr>
      <w:r>
        <w:rPr>
          <w:snapToGrid w:val="0"/>
        </w:rPr>
        <w:tab/>
        <w:t>(b)</w:t>
      </w:r>
      <w:r>
        <w:rPr>
          <w:snapToGrid w:val="0"/>
        </w:rPr>
        <w:tab/>
        <w:t xml:space="preserve">the reputation, financial status, and capacity to be concerned in or associated with the organization and conduct of the gaming operations of a licensed casino, of — </w:t>
      </w:r>
    </w:p>
    <w:p>
      <w:pPr>
        <w:pStyle w:val="Indenti"/>
        <w:rPr>
          <w:snapToGrid w:val="0"/>
        </w:rPr>
      </w:pPr>
      <w:r>
        <w:rPr>
          <w:snapToGrid w:val="0"/>
        </w:rPr>
        <w:tab/>
        <w:t>(i)</w:t>
      </w:r>
      <w:r>
        <w:rPr>
          <w:snapToGrid w:val="0"/>
        </w:rPr>
        <w:tab/>
        <w:t>each natural person; and</w:t>
      </w:r>
    </w:p>
    <w:p>
      <w:pPr>
        <w:pStyle w:val="Indenti"/>
        <w:rPr>
          <w:snapToGrid w:val="0"/>
        </w:rPr>
      </w:pPr>
      <w:r>
        <w:rPr>
          <w:snapToGrid w:val="0"/>
        </w:rPr>
        <w:tab/>
        <w:t>(ii)</w:t>
      </w:r>
      <w:r>
        <w:rPr>
          <w:snapToGrid w:val="0"/>
        </w:rPr>
        <w:tab/>
        <w:t>each director or other member of the governing body of, and each principal officer of, a body corporate,</w:t>
      </w:r>
    </w:p>
    <w:p>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pPr>
        <w:pStyle w:val="Indenta"/>
        <w:rPr>
          <w:snapToGrid w:val="0"/>
        </w:rPr>
      </w:pPr>
      <w:r>
        <w:rPr>
          <w:snapToGrid w:val="0"/>
        </w:rPr>
        <w:tab/>
        <w:t>(c)</w:t>
      </w:r>
      <w:r>
        <w:rPr>
          <w:snapToGrid w:val="0"/>
        </w:rPr>
        <w:tab/>
        <w:t>such other matters as may be prescribed.</w:t>
      </w:r>
    </w:p>
    <w:p>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 </w:t>
      </w:r>
    </w:p>
    <w:p>
      <w:pPr>
        <w:pStyle w:val="Indenta"/>
        <w:rPr>
          <w:snapToGrid w:val="0"/>
        </w:rPr>
      </w:pPr>
      <w:r>
        <w:rPr>
          <w:snapToGrid w:val="0"/>
        </w:rPr>
        <w:tab/>
        <w:t>(a)</w:t>
      </w:r>
      <w:r>
        <w:rPr>
          <w:snapToGrid w:val="0"/>
        </w:rPr>
        <w:tab/>
        <w:t>as the Commission requires for the purposes of an investigation carried out under that subsection; and</w:t>
      </w:r>
    </w:p>
    <w:p>
      <w:pPr>
        <w:pStyle w:val="Indenta"/>
        <w:rPr>
          <w:snapToGrid w:val="0"/>
        </w:rPr>
      </w:pPr>
      <w:r>
        <w:rPr>
          <w:snapToGrid w:val="0"/>
        </w:rPr>
        <w:tab/>
        <w:t>(b)</w:t>
      </w:r>
      <w:r>
        <w:rPr>
          <w:snapToGrid w:val="0"/>
        </w:rPr>
        <w:tab/>
        <w:t>as they are able to provide.</w:t>
      </w:r>
    </w:p>
    <w:p>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pPr>
        <w:pStyle w:val="Subsection"/>
        <w:rPr>
          <w:snapToGrid w:val="0"/>
        </w:rPr>
      </w:pPr>
      <w:r>
        <w:rPr>
          <w:snapToGrid w:val="0"/>
        </w:rPr>
        <w:tab/>
        <w:t>(5)</w:t>
      </w:r>
      <w:r>
        <w:rPr>
          <w:snapToGrid w:val="0"/>
        </w:rPr>
        <w:tab/>
        <w:t>A casino complex agreement may be amended or terminated in accordance with its provisions.</w:t>
      </w:r>
    </w:p>
    <w:p>
      <w:pPr>
        <w:pStyle w:val="Footnotesection"/>
      </w:pPr>
      <w:r>
        <w:tab/>
        <w:t xml:space="preserve">[Section 19 amended by No. 10 of 1985 s. 29; No. 74 of 1987 s. 20; No. 24 of 1998 s. 13.] </w:t>
      </w:r>
    </w:p>
    <w:p>
      <w:pPr>
        <w:pStyle w:val="Heading5"/>
      </w:pPr>
      <w:bookmarkStart w:id="75" w:name="_Toc67305392"/>
      <w:bookmarkStart w:id="76" w:name="_Toc102797119"/>
      <w:bookmarkStart w:id="77" w:name="_Toc157836324"/>
      <w:bookmarkStart w:id="78" w:name="_Toc401978006"/>
      <w:r>
        <w:rPr>
          <w:rStyle w:val="CharSectno"/>
        </w:rPr>
        <w:t>19A</w:t>
      </w:r>
      <w:r>
        <w:t>.</w:t>
      </w:r>
      <w:r>
        <w:tab/>
        <w:t>Notice to be given of proposal to exercise power under s. 19B</w:t>
      </w:r>
      <w:bookmarkEnd w:id="75"/>
      <w:bookmarkEnd w:id="76"/>
      <w:bookmarkEnd w:id="77"/>
    </w:p>
    <w:p>
      <w:pPr>
        <w:pStyle w:val="Subsection"/>
      </w:pPr>
      <w:r>
        <w:tab/>
        <w:t>(1)</w:t>
      </w:r>
      <w:r>
        <w:tab/>
        <w:t xml:space="preserve">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 </w:t>
      </w:r>
    </w:p>
    <w:p>
      <w:pPr>
        <w:pStyle w:val="Indenta"/>
      </w:pPr>
      <w:r>
        <w:tab/>
        <w:t>(a)</w:t>
      </w:r>
      <w:r>
        <w:tab/>
        <w:t>specifying the reasons for the Minister’s opinion and that the Minister proposes to exercise the power; and</w:t>
      </w:r>
    </w:p>
    <w:p>
      <w:pPr>
        <w:pStyle w:val="Indenta"/>
      </w:pPr>
      <w:r>
        <w:tab/>
        <w:t>(b)</w:t>
      </w:r>
      <w:r>
        <w:tab/>
        <w:t>requiring each person served with the notice to show cause in writing within a period of 14 days after the date of that service why that power should not be exercised.</w:t>
      </w:r>
    </w:p>
    <w:p>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pPr>
        <w:pStyle w:val="Footnotesection"/>
      </w:pPr>
      <w:r>
        <w:tab/>
        <w:t>[Section 19A inserted by No. 24 of 1998 s. 14.]</w:t>
      </w:r>
    </w:p>
    <w:p>
      <w:pPr>
        <w:pStyle w:val="Heading5"/>
      </w:pPr>
      <w:bookmarkStart w:id="79" w:name="_Toc67305393"/>
      <w:bookmarkStart w:id="80" w:name="_Toc102797120"/>
      <w:bookmarkStart w:id="81" w:name="_Toc157836325"/>
      <w:r>
        <w:rPr>
          <w:rStyle w:val="CharSectno"/>
        </w:rPr>
        <w:t>19B</w:t>
      </w:r>
      <w:r>
        <w:t>.</w:t>
      </w:r>
      <w:r>
        <w:tab/>
        <w:t>Close associate may be required to dispose of shares, etc.</w:t>
      </w:r>
      <w:bookmarkEnd w:id="79"/>
      <w:bookmarkEnd w:id="80"/>
      <w:bookmarkEnd w:id="81"/>
    </w:p>
    <w:p>
      <w:pPr>
        <w:pStyle w:val="Subsection"/>
      </w:pPr>
      <w:r>
        <w:tab/>
        <w:t>(1)</w:t>
      </w:r>
      <w:r>
        <w:tab/>
        <w:t xml:space="preserve">If the Minister determines, on the advice of the Commission, that a person that is a close associate of a public company — </w:t>
      </w:r>
    </w:p>
    <w:p>
      <w:pPr>
        <w:pStyle w:val="Indenta"/>
      </w:pPr>
      <w:r>
        <w:tab/>
        <w:t>(a)</w:t>
      </w:r>
      <w:r>
        <w:tab/>
        <w:t>with which the Minister has entered into a casino complex agreement; or</w:t>
      </w:r>
    </w:p>
    <w:p>
      <w:pPr>
        <w:pStyle w:val="Indenta"/>
      </w:pPr>
      <w:r>
        <w:tab/>
        <w:t>(b)</w:t>
      </w:r>
      <w:r>
        <w:tab/>
        <w:t>that is a casino licensee,</w:t>
      </w:r>
    </w:p>
    <w:p>
      <w:pPr>
        <w:pStyle w:val="Subsection"/>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pPr>
        <w:pStyle w:val="Subsection"/>
      </w:pPr>
      <w:r>
        <w:tab/>
        <w:t>(2)</w:t>
      </w:r>
      <w:r>
        <w:tab/>
        <w:t>A person served with a notice under subsection (1) shall comply with the notice.</w:t>
      </w:r>
    </w:p>
    <w:p>
      <w:pPr>
        <w:pStyle w:val="Penstart"/>
      </w:pPr>
      <w:r>
        <w:tab/>
        <w:t>Penalty: $30 000.</w:t>
      </w:r>
    </w:p>
    <w:p>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pPr>
        <w:pStyle w:val="Footnotesection"/>
      </w:pPr>
      <w:r>
        <w:tab/>
        <w:t>[Section 19B inserted by No. 24 of 1998 s. 14; amended by No. 77 of 2006 s. 17.]</w:t>
      </w:r>
    </w:p>
    <w:p>
      <w:pPr>
        <w:pStyle w:val="Heading5"/>
        <w:rPr>
          <w:snapToGrid w:val="0"/>
        </w:rPr>
      </w:pPr>
      <w:bookmarkStart w:id="82" w:name="_Toc67305394"/>
      <w:bookmarkStart w:id="83" w:name="_Toc102797121"/>
      <w:bookmarkStart w:id="84" w:name="_Toc157836326"/>
      <w:r>
        <w:rPr>
          <w:rStyle w:val="CharSectno"/>
        </w:rPr>
        <w:t>20</w:t>
      </w:r>
      <w:r>
        <w:rPr>
          <w:snapToGrid w:val="0"/>
        </w:rPr>
        <w:t>.</w:t>
      </w:r>
      <w:r>
        <w:rPr>
          <w:snapToGrid w:val="0"/>
        </w:rPr>
        <w:tab/>
        <w:t>Casino gaming licence fees and taxes</w:t>
      </w:r>
      <w:bookmarkEnd w:id="78"/>
      <w:bookmarkEnd w:id="82"/>
      <w:bookmarkEnd w:id="83"/>
      <w:bookmarkEnd w:id="84"/>
      <w:r>
        <w:rPr>
          <w:snapToGrid w:val="0"/>
        </w:rPr>
        <w:t xml:space="preserve"> </w:t>
      </w:r>
    </w:p>
    <w:p>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 </w:t>
      </w:r>
    </w:p>
    <w:p>
      <w:pPr>
        <w:pStyle w:val="Indenta"/>
        <w:rPr>
          <w:snapToGrid w:val="0"/>
        </w:rPr>
      </w:pPr>
      <w:r>
        <w:rPr>
          <w:snapToGrid w:val="0"/>
        </w:rPr>
        <w:tab/>
        <w:t>(a)</w:t>
      </w:r>
      <w:r>
        <w:rPr>
          <w:snapToGrid w:val="0"/>
        </w:rPr>
        <w:tab/>
        <w:t>to the Commission a casino gaming licence fee in an amount; and</w:t>
      </w:r>
    </w:p>
    <w:p>
      <w:pPr>
        <w:pStyle w:val="Indenta"/>
        <w:rPr>
          <w:snapToGrid w:val="0"/>
        </w:rPr>
      </w:pPr>
      <w:r>
        <w:rPr>
          <w:snapToGrid w:val="0"/>
        </w:rPr>
        <w:tab/>
        <w:t>(b)</w:t>
      </w:r>
      <w:r>
        <w:rPr>
          <w:snapToGrid w:val="0"/>
        </w:rPr>
        <w:tab/>
        <w:t>to the Treasurer a tax at a rate,</w:t>
      </w:r>
    </w:p>
    <w:p>
      <w:pPr>
        <w:pStyle w:val="Subsection"/>
        <w:rPr>
          <w:snapToGrid w:val="0"/>
        </w:rPr>
      </w:pPr>
      <w:r>
        <w:rPr>
          <w:snapToGrid w:val="0"/>
        </w:rPr>
        <w:tab/>
      </w:r>
      <w:r>
        <w:rPr>
          <w:snapToGrid w:val="0"/>
        </w:rPr>
        <w:tab/>
        <w:t>specified in the casino complex agreement at times specified therein.</w:t>
      </w:r>
    </w:p>
    <w:p>
      <w:pPr>
        <w:pStyle w:val="Subsection"/>
        <w:rPr>
          <w:snapToGrid w:val="0"/>
        </w:rPr>
      </w:pPr>
      <w:r>
        <w:rPr>
          <w:snapToGrid w:val="0"/>
        </w:rPr>
        <w:tab/>
        <w:t>(2)</w:t>
      </w:r>
      <w:r>
        <w:rPr>
          <w:snapToGrid w:val="0"/>
        </w:rPr>
        <w:tab/>
        <w:t>A casino complex agreement may provide — </w:t>
      </w:r>
    </w:p>
    <w:p>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pPr>
        <w:pStyle w:val="Footnotesection"/>
      </w:pPr>
      <w:r>
        <w:tab/>
        <w:t xml:space="preserve">[Section 20 inserted by No. 10 of 1985 s. 30; amended by No. 74 of 1987 s. 20.] </w:t>
      </w:r>
    </w:p>
    <w:p>
      <w:pPr>
        <w:pStyle w:val="Heading5"/>
        <w:rPr>
          <w:snapToGrid w:val="0"/>
        </w:rPr>
      </w:pPr>
      <w:bookmarkStart w:id="85" w:name="_Toc401978007"/>
      <w:bookmarkStart w:id="86" w:name="_Toc67305395"/>
      <w:bookmarkStart w:id="87" w:name="_Toc102797122"/>
      <w:bookmarkStart w:id="88" w:name="_Toc157836327"/>
      <w:r>
        <w:rPr>
          <w:rStyle w:val="CharSectno"/>
        </w:rPr>
        <w:t>20A</w:t>
      </w:r>
      <w:r>
        <w:rPr>
          <w:snapToGrid w:val="0"/>
        </w:rPr>
        <w:t>.</w:t>
      </w:r>
      <w:r>
        <w:rPr>
          <w:snapToGrid w:val="0"/>
        </w:rPr>
        <w:tab/>
        <w:t>Late payment</w:t>
      </w:r>
      <w:bookmarkEnd w:id="85"/>
      <w:r>
        <w:rPr>
          <w:snapToGrid w:val="0"/>
        </w:rPr>
        <w:t xml:space="preserve"> of licence fee or tax, penalty for</w:t>
      </w:r>
      <w:bookmarkEnd w:id="86"/>
      <w:bookmarkEnd w:id="87"/>
      <w:bookmarkEnd w:id="88"/>
      <w:r>
        <w:rPr>
          <w:snapToGrid w:val="0"/>
        </w:rPr>
        <w:t xml:space="preserve"> </w:t>
      </w:r>
    </w:p>
    <w:p>
      <w:pPr>
        <w:pStyle w:val="Subsection"/>
        <w:rPr>
          <w:snapToGrid w:val="0"/>
        </w:rPr>
      </w:pPr>
      <w:r>
        <w:rPr>
          <w:snapToGrid w:val="0"/>
        </w:rPr>
        <w:tab/>
        <w:t>(1)</w:t>
      </w:r>
      <w:r>
        <w:rPr>
          <w:snapToGrid w:val="0"/>
        </w:rPr>
        <w:tab/>
        <w:t>There shall be charged and become due and payable forthwith to — </w:t>
      </w:r>
    </w:p>
    <w:p>
      <w:pPr>
        <w:pStyle w:val="Indenta"/>
        <w:rPr>
          <w:snapToGrid w:val="0"/>
        </w:rPr>
      </w:pPr>
      <w:r>
        <w:rPr>
          <w:snapToGrid w:val="0"/>
        </w:rPr>
        <w:tab/>
        <w:t>(a)</w:t>
      </w:r>
      <w:r>
        <w:rPr>
          <w:snapToGrid w:val="0"/>
        </w:rPr>
        <w:tab/>
        <w:t>the Commission on the amount of any casino gaming licence fee; or</w:t>
      </w:r>
    </w:p>
    <w:p>
      <w:pPr>
        <w:pStyle w:val="Indenta"/>
        <w:rPr>
          <w:snapToGrid w:val="0"/>
        </w:rPr>
      </w:pPr>
      <w:r>
        <w:rPr>
          <w:snapToGrid w:val="0"/>
        </w:rPr>
        <w:tab/>
        <w:t>(b)</w:t>
      </w:r>
      <w:r>
        <w:rPr>
          <w:snapToGrid w:val="0"/>
        </w:rPr>
        <w:tab/>
        <w:t>the Treasurer on the amount of any tax,</w:t>
      </w:r>
    </w:p>
    <w:p>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pPr>
        <w:pStyle w:val="Footnotesection"/>
      </w:pPr>
      <w:r>
        <w:tab/>
        <w:t xml:space="preserve">[Section 20A inserted by No. 10 of 1985 s. 30; amended by No. 74 of 1987 s. 20.] </w:t>
      </w:r>
    </w:p>
    <w:p>
      <w:pPr>
        <w:pStyle w:val="Heading5"/>
        <w:rPr>
          <w:snapToGrid w:val="0"/>
        </w:rPr>
      </w:pPr>
      <w:bookmarkStart w:id="89" w:name="_Toc401978008"/>
      <w:bookmarkStart w:id="90" w:name="_Toc67305396"/>
      <w:bookmarkStart w:id="91" w:name="_Toc102797123"/>
      <w:bookmarkStart w:id="92" w:name="_Toc157836328"/>
      <w:r>
        <w:rPr>
          <w:rStyle w:val="CharSectno"/>
        </w:rPr>
        <w:t>20B</w:t>
      </w:r>
      <w:r>
        <w:rPr>
          <w:snapToGrid w:val="0"/>
        </w:rPr>
        <w:t>.</w:t>
      </w:r>
      <w:r>
        <w:rPr>
          <w:snapToGrid w:val="0"/>
        </w:rPr>
        <w:tab/>
        <w:t>Recovery of, and liability for, licence fees, taxes and penalties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Casino gaming licence fees — </w:t>
      </w:r>
    </w:p>
    <w:p>
      <w:pPr>
        <w:pStyle w:val="Indenta"/>
        <w:rPr>
          <w:snapToGrid w:val="0"/>
        </w:rPr>
      </w:pPr>
      <w:r>
        <w:rPr>
          <w:snapToGrid w:val="0"/>
        </w:rPr>
        <w:tab/>
        <w:t>(a)</w:t>
      </w:r>
      <w:r>
        <w:rPr>
          <w:snapToGrid w:val="0"/>
        </w:rPr>
        <w:tab/>
        <w:t>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fee, shall be deemed to be payable to the Commission.</w:t>
      </w:r>
    </w:p>
    <w:p>
      <w:pPr>
        <w:pStyle w:val="Subsection"/>
        <w:rPr>
          <w:snapToGrid w:val="0"/>
        </w:rPr>
      </w:pPr>
      <w:r>
        <w:rPr>
          <w:snapToGrid w:val="0"/>
        </w:rPr>
        <w:tab/>
        <w:t>(2)</w:t>
      </w:r>
      <w:r>
        <w:rPr>
          <w:snapToGrid w:val="0"/>
        </w:rPr>
        <w:tab/>
        <w:t>A casino tax — </w:t>
      </w:r>
    </w:p>
    <w:p>
      <w:pPr>
        <w:pStyle w:val="Indenta"/>
        <w:rPr>
          <w:snapToGrid w:val="0"/>
        </w:rPr>
      </w:pPr>
      <w:r>
        <w:rPr>
          <w:snapToGrid w:val="0"/>
        </w:rPr>
        <w:tab/>
        <w:t>(a)</w:t>
      </w:r>
      <w:r>
        <w:rPr>
          <w:snapToGrid w:val="0"/>
        </w:rPr>
        <w:tab/>
        <w:t>at the rate 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tax, shall be payable to the Treasurer.</w:t>
      </w:r>
    </w:p>
    <w:p>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pPr>
        <w:pStyle w:val="Subsection"/>
        <w:rPr>
          <w:snapToGrid w:val="0"/>
        </w:rPr>
      </w:pPr>
      <w:r>
        <w:rPr>
          <w:snapToGrid w:val="0"/>
        </w:rPr>
        <w:tab/>
        <w:t>(4)</w:t>
      </w:r>
      <w:r>
        <w:rPr>
          <w:snapToGrid w:val="0"/>
        </w:rPr>
        <w:tab/>
        <w:t>In any court of competent jurisdiction there may be recovered — </w:t>
      </w:r>
    </w:p>
    <w:p>
      <w:pPr>
        <w:pStyle w:val="Indenta"/>
        <w:rPr>
          <w:snapToGrid w:val="0"/>
        </w:rPr>
      </w:pPr>
      <w:r>
        <w:rPr>
          <w:snapToGrid w:val="0"/>
        </w:rPr>
        <w:tab/>
        <w:t>(a)</w:t>
      </w:r>
      <w:r>
        <w:rPr>
          <w:snapToGrid w:val="0"/>
        </w:rPr>
        <w:tab/>
        <w:t>by the Commission, any casino gaming licence fee or penalty in respect of that fee; or</w:t>
      </w:r>
    </w:p>
    <w:p>
      <w:pPr>
        <w:pStyle w:val="Indenta"/>
        <w:rPr>
          <w:snapToGrid w:val="0"/>
        </w:rPr>
      </w:pPr>
      <w:r>
        <w:rPr>
          <w:snapToGrid w:val="0"/>
        </w:rPr>
        <w:tab/>
        <w:t>(b)</w:t>
      </w:r>
      <w:r>
        <w:rPr>
          <w:snapToGrid w:val="0"/>
        </w:rPr>
        <w:tab/>
        <w:t>by the Treasurer, any casino tax or penalty in respect of that tax,</w:t>
      </w:r>
    </w:p>
    <w:p>
      <w:pPr>
        <w:pStyle w:val="Subsection"/>
        <w:rPr>
          <w:snapToGrid w:val="0"/>
        </w:rPr>
      </w:pPr>
      <w:r>
        <w:rPr>
          <w:snapToGrid w:val="0"/>
        </w:rPr>
        <w:tab/>
      </w:r>
      <w:r>
        <w:rPr>
          <w:snapToGrid w:val="0"/>
        </w:rPr>
        <w:tab/>
        <w:t>which remains unpaid, as being a debt due.</w:t>
      </w:r>
    </w:p>
    <w:p>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pPr>
        <w:pStyle w:val="Footnotesection"/>
      </w:pPr>
      <w:r>
        <w:tab/>
        <w:t xml:space="preserve">[Section 20B inserted by No. 10 of 1985 s. 30; amended by No. 29 of 1985 s. 10; No. 74 of 1987 s. 21.] </w:t>
      </w:r>
    </w:p>
    <w:p>
      <w:pPr>
        <w:pStyle w:val="Heading2"/>
      </w:pPr>
      <w:bookmarkStart w:id="93" w:name="_Toc68336814"/>
      <w:bookmarkStart w:id="94" w:name="_Toc68336880"/>
      <w:bookmarkStart w:id="95" w:name="_Toc68507317"/>
      <w:bookmarkStart w:id="96" w:name="_Toc68508149"/>
      <w:bookmarkStart w:id="97" w:name="_Toc71452147"/>
      <w:bookmarkStart w:id="98" w:name="_Toc95725625"/>
      <w:bookmarkStart w:id="99" w:name="_Toc96939114"/>
      <w:bookmarkStart w:id="100" w:name="_Toc102797124"/>
      <w:bookmarkStart w:id="101" w:name="_Toc157323507"/>
      <w:bookmarkStart w:id="102" w:name="_Toc157323662"/>
      <w:bookmarkStart w:id="103" w:name="_Toc157836329"/>
      <w:r>
        <w:rPr>
          <w:rStyle w:val="CharPartNo"/>
        </w:rPr>
        <w:t>Part IV</w:t>
      </w:r>
      <w:r>
        <w:rPr>
          <w:rStyle w:val="CharDivNo"/>
        </w:rPr>
        <w:t> </w:t>
      </w:r>
      <w:r>
        <w:t>—</w:t>
      </w:r>
      <w:r>
        <w:rPr>
          <w:rStyle w:val="CharDivText"/>
        </w:rPr>
        <w:t> </w:t>
      </w:r>
      <w:r>
        <w:rPr>
          <w:rStyle w:val="CharPartText"/>
        </w:rPr>
        <w:t>Casino gaming licence</w:t>
      </w:r>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01978009"/>
      <w:bookmarkStart w:id="105" w:name="_Toc67305397"/>
      <w:bookmarkStart w:id="106" w:name="_Toc102797125"/>
      <w:bookmarkStart w:id="107" w:name="_Toc157836330"/>
      <w:r>
        <w:rPr>
          <w:rStyle w:val="CharSectno"/>
        </w:rPr>
        <w:t>21</w:t>
      </w:r>
      <w:r>
        <w:rPr>
          <w:snapToGrid w:val="0"/>
        </w:rPr>
        <w:t>.</w:t>
      </w:r>
      <w:r>
        <w:rPr>
          <w:snapToGrid w:val="0"/>
        </w:rPr>
        <w:tab/>
        <w:t>Application for casino gaming licence</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rPr>
          <w:rStyle w:val="CharDefText"/>
        </w:rPr>
        <w:t>the applicant</w:t>
      </w:r>
      <w:r>
        <w:rPr>
          <w:snapToGrid w:val="0"/>
        </w:rPr>
        <w:t>) may lodge with the Commission its application for that casino gaming licence, together with — </w:t>
      </w:r>
    </w:p>
    <w:p>
      <w:pPr>
        <w:pStyle w:val="Indenta"/>
        <w:rPr>
          <w:snapToGrid w:val="0"/>
        </w:rPr>
      </w:pPr>
      <w:r>
        <w:rPr>
          <w:snapToGrid w:val="0"/>
        </w:rPr>
        <w:tab/>
        <w:t>(a)</w:t>
      </w:r>
      <w:r>
        <w:rPr>
          <w:snapToGrid w:val="0"/>
        </w:rPr>
        <w:tab/>
        <w:t>an application fee of $5 000 or such other amount as is prescribed;</w:t>
      </w:r>
    </w:p>
    <w:p>
      <w:pPr>
        <w:pStyle w:val="Indenta"/>
        <w:rPr>
          <w:snapToGrid w:val="0"/>
        </w:rPr>
      </w:pPr>
      <w:r>
        <w:rPr>
          <w:snapToGrid w:val="0"/>
        </w:rPr>
        <w:tab/>
        <w:t>(b)</w:t>
      </w:r>
      <w:r>
        <w:rPr>
          <w:snapToGrid w:val="0"/>
        </w:rPr>
        <w:tab/>
        <w:t>such information relating to — </w:t>
      </w:r>
    </w:p>
    <w:p>
      <w:pPr>
        <w:pStyle w:val="Indenti"/>
        <w:rPr>
          <w:snapToGrid w:val="0"/>
        </w:rPr>
      </w:pPr>
      <w:r>
        <w:rPr>
          <w:snapToGrid w:val="0"/>
        </w:rPr>
        <w:tab/>
        <w:t>(i)</w:t>
      </w:r>
      <w:r>
        <w:rPr>
          <w:snapToGrid w:val="0"/>
        </w:rPr>
        <w:tab/>
        <w:t>that application; and</w:t>
      </w:r>
    </w:p>
    <w:p>
      <w:pPr>
        <w:pStyle w:val="Indenti"/>
        <w:rPr>
          <w:snapToGrid w:val="0"/>
        </w:rPr>
      </w:pPr>
      <w:r>
        <w:rPr>
          <w:snapToGrid w:val="0"/>
        </w:rPr>
        <w:tab/>
        <w:t>(ii)</w:t>
      </w:r>
      <w:r>
        <w:rPr>
          <w:snapToGrid w:val="0"/>
        </w:rPr>
        <w:tab/>
        <w:t>the question whether or not the applicant has complied with the preliminary requirements,</w:t>
      </w:r>
    </w:p>
    <w:p>
      <w:pPr>
        <w:pStyle w:val="Indenta"/>
        <w:rPr>
          <w:snapToGrid w:val="0"/>
        </w:rPr>
      </w:pPr>
      <w:r>
        <w:rPr>
          <w:snapToGrid w:val="0"/>
        </w:rPr>
        <w:tab/>
      </w:r>
      <w:r>
        <w:rPr>
          <w:snapToGrid w:val="0"/>
        </w:rPr>
        <w:tab/>
        <w:t>as is prescribed and as the Commission requires; and</w:t>
      </w:r>
    </w:p>
    <w:p>
      <w:pPr>
        <w:pStyle w:val="Indenta"/>
        <w:rPr>
          <w:snapToGrid w:val="0"/>
        </w:rPr>
      </w:pPr>
      <w:r>
        <w:rPr>
          <w:snapToGrid w:val="0"/>
        </w:rPr>
        <w:tab/>
        <w:t>(c)</w:t>
      </w:r>
      <w:r>
        <w:rPr>
          <w:snapToGrid w:val="0"/>
        </w:rPr>
        <w:tab/>
        <w:t>if the Commission so requires, the consent in writing of any person who is — </w:t>
      </w:r>
    </w:p>
    <w:p>
      <w:pPr>
        <w:pStyle w:val="Indenti"/>
        <w:rPr>
          <w:snapToGrid w:val="0"/>
        </w:rPr>
      </w:pPr>
      <w:r>
        <w:rPr>
          <w:snapToGrid w:val="0"/>
        </w:rPr>
        <w:tab/>
        <w:t>(i)</w:t>
      </w:r>
      <w:r>
        <w:rPr>
          <w:snapToGrid w:val="0"/>
        </w:rPr>
        <w:tab/>
        <w:t>believed by the Commission; or</w:t>
      </w:r>
    </w:p>
    <w:p>
      <w:pPr>
        <w:pStyle w:val="Indenti"/>
        <w:rPr>
          <w:snapToGrid w:val="0"/>
        </w:rPr>
      </w:pPr>
      <w:r>
        <w:rPr>
          <w:snapToGrid w:val="0"/>
        </w:rPr>
        <w:tab/>
        <w:t>(ii)</w:t>
      </w:r>
      <w:r>
        <w:rPr>
          <w:snapToGrid w:val="0"/>
        </w:rPr>
        <w:tab/>
        <w:t>known to the applicant,</w:t>
      </w:r>
    </w:p>
    <w:p>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pPr>
        <w:pStyle w:val="Subsection"/>
        <w:rPr>
          <w:snapToGrid w:val="0"/>
        </w:rPr>
      </w:pPr>
      <w:r>
        <w:rPr>
          <w:snapToGrid w:val="0"/>
        </w:rPr>
        <w:tab/>
        <w:t>(2)</w:t>
      </w:r>
      <w:r>
        <w:rPr>
          <w:snapToGrid w:val="0"/>
        </w:rPr>
        <w:tab/>
        <w:t>On receiving an application made under subsection (1), the Commission shall — </w:t>
      </w:r>
    </w:p>
    <w:p>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pPr>
        <w:pStyle w:val="Subsection"/>
        <w:rPr>
          <w:snapToGrid w:val="0"/>
        </w:rPr>
      </w:pPr>
      <w:r>
        <w:rPr>
          <w:snapToGrid w:val="0"/>
        </w:rPr>
        <w:tab/>
        <w:t>(3)</w:t>
      </w:r>
      <w:r>
        <w:rPr>
          <w:snapToGrid w:val="0"/>
        </w:rPr>
        <w:tab/>
        <w:t xml:space="preserve">On receiving a copy of an application and the opinion of the Commission submitted to him under subsection (2) or resubmitted to him under subsection (4)(b), the Minister shall — </w:t>
      </w:r>
    </w:p>
    <w:p>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w:t>
      </w:r>
    </w:p>
    <w:p>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pPr>
        <w:pStyle w:val="Subsection"/>
        <w:rPr>
          <w:snapToGrid w:val="0"/>
        </w:rPr>
      </w:pPr>
      <w:r>
        <w:rPr>
          <w:snapToGrid w:val="0"/>
        </w:rPr>
        <w:tab/>
      </w:r>
      <w:r>
        <w:rPr>
          <w:snapToGrid w:val="0"/>
        </w:rPr>
        <w:tab/>
        <w:t>and shall advise the Commission accordingly.</w:t>
      </w:r>
    </w:p>
    <w:p>
      <w:pPr>
        <w:pStyle w:val="Subsection"/>
        <w:rPr>
          <w:snapToGrid w:val="0"/>
        </w:rPr>
      </w:pPr>
      <w:r>
        <w:rPr>
          <w:snapToGrid w:val="0"/>
        </w:rPr>
        <w:tab/>
        <w:t>(4)</w:t>
      </w:r>
      <w:r>
        <w:rPr>
          <w:snapToGrid w:val="0"/>
        </w:rPr>
        <w:tab/>
        <w:t>On being advised by the Minister under subsection (3), the Commission shall — </w:t>
      </w:r>
    </w:p>
    <w:p>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w:t>
      </w:r>
    </w:p>
    <w:p>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pPr>
        <w:pStyle w:val="Indenta"/>
        <w:keepNext/>
        <w:rPr>
          <w:snapToGrid w:val="0"/>
        </w:rPr>
      </w:pPr>
      <w:r>
        <w:rPr>
          <w:snapToGrid w:val="0"/>
        </w:rPr>
        <w:tab/>
        <w:t>(c)</w:t>
      </w:r>
      <w:r>
        <w:rPr>
          <w:snapToGrid w:val="0"/>
        </w:rPr>
        <w:tab/>
        <w:t>if the Minister refuses to approve of the application concerned, refuse to grant that application,</w:t>
      </w:r>
    </w:p>
    <w:p>
      <w:pPr>
        <w:pStyle w:val="Subsection"/>
        <w:rPr>
          <w:snapToGrid w:val="0"/>
        </w:rPr>
      </w:pPr>
      <w:r>
        <w:rPr>
          <w:snapToGrid w:val="0"/>
        </w:rPr>
        <w:tab/>
      </w:r>
      <w:r>
        <w:rPr>
          <w:snapToGrid w:val="0"/>
        </w:rPr>
        <w:tab/>
        <w:t>and shall advise the applicant accordingly.</w:t>
      </w:r>
    </w:p>
    <w:p>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area to which a casino gaming licence relates; or</w:t>
      </w:r>
    </w:p>
    <w:p>
      <w:pPr>
        <w:pStyle w:val="Indenta"/>
        <w:rPr>
          <w:snapToGrid w:val="0"/>
        </w:rPr>
      </w:pPr>
      <w:r>
        <w:rPr>
          <w:snapToGrid w:val="0"/>
        </w:rPr>
        <w:tab/>
        <w:t>(b)</w:t>
      </w:r>
      <w:r>
        <w:rPr>
          <w:snapToGrid w:val="0"/>
        </w:rPr>
        <w:tab/>
        <w:t>alter an area fixed under this subsection.</w:t>
      </w:r>
    </w:p>
    <w:p>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pPr>
        <w:pStyle w:val="Subsection"/>
        <w:rPr>
          <w:snapToGrid w:val="0"/>
        </w:rPr>
      </w:pPr>
      <w:r>
        <w:rPr>
          <w:snapToGrid w:val="0"/>
        </w:rPr>
        <w:tab/>
        <w:t>(6)</w:t>
      </w:r>
      <w:r>
        <w:rPr>
          <w:snapToGrid w:val="0"/>
        </w:rPr>
        <w:tab/>
        <w:t>In this section — </w:t>
      </w:r>
    </w:p>
    <w:p>
      <w:pPr>
        <w:pStyle w:val="Defstart"/>
      </w:pPr>
      <w:r>
        <w:tab/>
      </w:r>
      <w:r>
        <w:rPr>
          <w:rStyle w:val="CharDefText"/>
        </w:rPr>
        <w:t>specified</w:t>
      </w:r>
      <w:r>
        <w:t>, in relation to a notice under subsection (4a), means specified in the notice;</w:t>
      </w:r>
    </w:p>
    <w:p>
      <w:pPr>
        <w:pStyle w:val="Defstart"/>
      </w:pPr>
      <w:r>
        <w:tab/>
      </w:r>
      <w:r>
        <w:rPr>
          <w:rStyle w:val="CharDefText"/>
        </w:rPr>
        <w:t>the 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pPr>
        <w:pStyle w:val="Footnotesection"/>
      </w:pPr>
      <w:r>
        <w:tab/>
        <w:t xml:space="preserve">[Section 21 inserted by No. 10 of 1985 s. 31; amended by No. 29 of 1985 s. 11; No. 44 of 1987 s. 12; No. 74 of 1987 s. 22; No. 24 of 1998 s. 15.] </w:t>
      </w:r>
    </w:p>
    <w:p>
      <w:pPr>
        <w:pStyle w:val="Heading5"/>
        <w:rPr>
          <w:snapToGrid w:val="0"/>
        </w:rPr>
      </w:pPr>
      <w:bookmarkStart w:id="108" w:name="_Toc401978010"/>
      <w:bookmarkStart w:id="109" w:name="_Toc67305398"/>
      <w:bookmarkStart w:id="110" w:name="_Toc102797126"/>
      <w:bookmarkStart w:id="111" w:name="_Toc157836331"/>
      <w:r>
        <w:rPr>
          <w:rStyle w:val="CharSectno"/>
        </w:rPr>
        <w:t>21A</w:t>
      </w:r>
      <w:r>
        <w:rPr>
          <w:snapToGrid w:val="0"/>
        </w:rPr>
        <w:t>.</w:t>
      </w:r>
      <w:r>
        <w:rPr>
          <w:snapToGrid w:val="0"/>
        </w:rPr>
        <w:tab/>
        <w:t>Investigations and inquiries</w:t>
      </w:r>
      <w:bookmarkEnd w:id="108"/>
      <w:r>
        <w:rPr>
          <w:snapToGrid w:val="0"/>
        </w:rPr>
        <w:t xml:space="preserve"> by Commission</w:t>
      </w:r>
      <w:bookmarkEnd w:id="109"/>
      <w:bookmarkEnd w:id="110"/>
      <w:bookmarkEnd w:id="111"/>
    </w:p>
    <w:p>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 </w:t>
      </w:r>
    </w:p>
    <w:p>
      <w:pPr>
        <w:pStyle w:val="Indenta"/>
        <w:rPr>
          <w:snapToGrid w:val="0"/>
        </w:rPr>
      </w:pPr>
      <w:r>
        <w:rPr>
          <w:snapToGrid w:val="0"/>
        </w:rPr>
        <w:tab/>
        <w:t>(a)</w:t>
      </w:r>
      <w:r>
        <w:rPr>
          <w:snapToGrid w:val="0"/>
        </w:rPr>
        <w:tab/>
        <w:t>any party to, or any manager or other person, trust, premises or property the subject of, a casino complex agreement;</w:t>
      </w:r>
    </w:p>
    <w:p>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pPr>
        <w:pStyle w:val="Subsection"/>
        <w:rPr>
          <w:snapToGrid w:val="0"/>
        </w:rPr>
      </w:pPr>
      <w:r>
        <w:rPr>
          <w:snapToGrid w:val="0"/>
        </w:rPr>
        <w:tab/>
        <w:t>(2)</w:t>
      </w:r>
      <w:r>
        <w:rPr>
          <w:snapToGrid w:val="0"/>
        </w:rPr>
        <w:tab/>
        <w:t>Without prejudice to the generality of subsection (1), the Commission or a member, or an officer of the Commission, may in particular — </w:t>
      </w:r>
    </w:p>
    <w:p>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 </w:t>
      </w:r>
    </w:p>
    <w:p>
      <w:pPr>
        <w:pStyle w:val="Indenti"/>
        <w:rPr>
          <w:snapToGrid w:val="0"/>
        </w:rPr>
      </w:pPr>
      <w:r>
        <w:rPr>
          <w:snapToGrid w:val="0"/>
        </w:rPr>
        <w:tab/>
        <w:t>(i)</w:t>
      </w:r>
      <w:r>
        <w:rPr>
          <w:snapToGrid w:val="0"/>
        </w:rPr>
        <w:tab/>
        <w:t>produce for inspection on behalf of the Commission any such gaming equipment, instruments of gaming or books; and</w:t>
      </w:r>
    </w:p>
    <w:p>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pPr>
        <w:pStyle w:val="Indenta"/>
        <w:rPr>
          <w:snapToGrid w:val="0"/>
        </w:rPr>
      </w:pPr>
      <w:r>
        <w:rPr>
          <w:snapToGrid w:val="0"/>
        </w:rPr>
        <w:tab/>
        <w:t>(d)</w:t>
      </w:r>
      <w:r>
        <w:rPr>
          <w:snapToGrid w:val="0"/>
        </w:rPr>
        <w:tab/>
        <w:t>exercise any other prescribed function,</w:t>
      </w:r>
    </w:p>
    <w:p>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pPr>
        <w:pStyle w:val="Subsection"/>
        <w:rPr>
          <w:snapToGrid w:val="0"/>
        </w:rPr>
      </w:pPr>
      <w:r>
        <w:rPr>
          <w:snapToGrid w:val="0"/>
        </w:rPr>
        <w:tab/>
        <w:t>(6)</w:t>
      </w:r>
      <w:r>
        <w:rPr>
          <w:snapToGrid w:val="0"/>
        </w:rPr>
        <w:tab/>
        <w:t>Related matters that may be made the subject of an inquiry include — </w:t>
      </w:r>
    </w:p>
    <w:p>
      <w:pPr>
        <w:pStyle w:val="Indenta"/>
        <w:rPr>
          <w:snapToGrid w:val="0"/>
        </w:rPr>
      </w:pPr>
      <w:r>
        <w:rPr>
          <w:snapToGrid w:val="0"/>
        </w:rPr>
        <w:tab/>
        <w:t>(a)</w:t>
      </w:r>
      <w:r>
        <w:rPr>
          <w:snapToGrid w:val="0"/>
        </w:rPr>
        <w:tab/>
        <w:t>gaming or betting, whether in the casino or elsewhere;</w:t>
      </w:r>
    </w:p>
    <w:p>
      <w:pPr>
        <w:pStyle w:val="Indenta"/>
        <w:rPr>
          <w:snapToGrid w:val="0"/>
        </w:rPr>
      </w:pPr>
      <w:r>
        <w:rPr>
          <w:snapToGrid w:val="0"/>
        </w:rPr>
        <w:tab/>
        <w:t>(b)</w:t>
      </w:r>
      <w:r>
        <w:rPr>
          <w:snapToGrid w:val="0"/>
        </w:rPr>
        <w:tab/>
        <w:t>suspected corruption;</w:t>
      </w:r>
    </w:p>
    <w:p>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pPr>
        <w:pStyle w:val="Indenta"/>
        <w:rPr>
          <w:snapToGrid w:val="0"/>
        </w:rPr>
      </w:pPr>
      <w:r>
        <w:rPr>
          <w:snapToGrid w:val="0"/>
        </w:rPr>
        <w:tab/>
        <w:t>(d)</w:t>
      </w:r>
      <w:r>
        <w:rPr>
          <w:snapToGrid w:val="0"/>
        </w:rPr>
        <w:tab/>
        <w:t>whether or not it is in the public interest that a casino licence, or a casino complex agreement, remain in force.</w:t>
      </w:r>
    </w:p>
    <w:p>
      <w:pPr>
        <w:pStyle w:val="Subsection"/>
        <w:rPr>
          <w:snapToGrid w:val="0"/>
        </w:rPr>
      </w:pPr>
      <w:r>
        <w:rPr>
          <w:snapToGrid w:val="0"/>
        </w:rPr>
        <w:tab/>
        <w:t>(7)</w:t>
      </w:r>
      <w:r>
        <w:rPr>
          <w:snapToGrid w:val="0"/>
        </w:rPr>
        <w:tab/>
        <w:t>A direction given under subsection (5) — </w:t>
      </w:r>
    </w:p>
    <w:p>
      <w:pPr>
        <w:pStyle w:val="Indenta"/>
        <w:rPr>
          <w:snapToGrid w:val="0"/>
        </w:rPr>
      </w:pPr>
      <w:r>
        <w:rPr>
          <w:snapToGrid w:val="0"/>
        </w:rPr>
        <w:tab/>
        <w:t>(a)</w:t>
      </w:r>
      <w:r>
        <w:rPr>
          <w:snapToGrid w:val="0"/>
        </w:rPr>
        <w:tab/>
        <w:t>shall specify the affairs or matters to be the subject of the inquiry; and</w:t>
      </w:r>
    </w:p>
    <w:p>
      <w:pPr>
        <w:pStyle w:val="Indenta"/>
        <w:rPr>
          <w:snapToGrid w:val="0"/>
        </w:rPr>
      </w:pPr>
      <w:r>
        <w:rPr>
          <w:snapToGrid w:val="0"/>
        </w:rPr>
        <w:tab/>
        <w:t>(b)</w:t>
      </w:r>
      <w:r>
        <w:rPr>
          <w:snapToGrid w:val="0"/>
        </w:rPr>
        <w:tab/>
        <w:t>may require the inquiry to be carried out by a person appointed by the Minister.</w:t>
      </w:r>
    </w:p>
    <w:p>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specifying the affairs or matters concerned; and</w:t>
      </w:r>
    </w:p>
    <w:p>
      <w:pPr>
        <w:pStyle w:val="Indenta"/>
        <w:rPr>
          <w:snapToGrid w:val="0"/>
        </w:rPr>
      </w:pPr>
      <w:r>
        <w:rPr>
          <w:snapToGrid w:val="0"/>
        </w:rPr>
        <w:tab/>
        <w:t>(b)</w:t>
      </w:r>
      <w:r>
        <w:rPr>
          <w:snapToGrid w:val="0"/>
        </w:rPr>
        <w:tab/>
        <w:t>stating the name of the person carrying out the inquiry.</w:t>
      </w:r>
    </w:p>
    <w:p>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pPr>
        <w:pStyle w:val="Footnotesection"/>
      </w:pPr>
      <w:r>
        <w:tab/>
        <w:t xml:space="preserve">[Section 21A inserted by No. 74 of 1987 s. 23; amended by No. 73 of 1994 s. 4; No. 24 of 1998 s. 16; No. 35 of 2003 s. 171(3).] </w:t>
      </w:r>
    </w:p>
    <w:p>
      <w:pPr>
        <w:pStyle w:val="Heading5"/>
        <w:rPr>
          <w:snapToGrid w:val="0"/>
        </w:rPr>
      </w:pPr>
      <w:bookmarkStart w:id="112" w:name="_Toc401978011"/>
      <w:bookmarkStart w:id="113" w:name="_Toc67305399"/>
      <w:bookmarkStart w:id="114" w:name="_Toc102797127"/>
      <w:bookmarkStart w:id="115" w:name="_Toc157836332"/>
      <w:r>
        <w:rPr>
          <w:rStyle w:val="CharSectno"/>
        </w:rPr>
        <w:t>21B</w:t>
      </w:r>
      <w:r>
        <w:rPr>
          <w:snapToGrid w:val="0"/>
        </w:rPr>
        <w:t>.</w:t>
      </w:r>
      <w:r>
        <w:rPr>
          <w:snapToGrid w:val="0"/>
        </w:rPr>
        <w:tab/>
      </w:r>
      <w:bookmarkEnd w:id="112"/>
      <w:r>
        <w:rPr>
          <w:snapToGrid w:val="0"/>
        </w:rPr>
        <w:t>Report etc. under s. 21A, Minister’s powers on receiving</w:t>
      </w:r>
      <w:bookmarkEnd w:id="113"/>
      <w:bookmarkEnd w:id="114"/>
      <w:bookmarkEnd w:id="115"/>
      <w:r>
        <w:rPr>
          <w:snapToGrid w:val="0"/>
        </w:rPr>
        <w:t xml:space="preserve"> </w:t>
      </w:r>
    </w:p>
    <w:p>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 </w:t>
      </w:r>
    </w:p>
    <w:p>
      <w:pPr>
        <w:pStyle w:val="Indenta"/>
        <w:rPr>
          <w:snapToGrid w:val="0"/>
        </w:rPr>
      </w:pPr>
      <w:r>
        <w:rPr>
          <w:snapToGrid w:val="0"/>
        </w:rPr>
        <w:tab/>
        <w:t>(a)</w:t>
      </w:r>
      <w:r>
        <w:rPr>
          <w:snapToGrid w:val="0"/>
        </w:rPr>
        <w:tab/>
        <w:t>specifying the reasons for his opinion and which of those powers he proposes to exercise; and</w:t>
      </w:r>
    </w:p>
    <w:p>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 </w:t>
      </w:r>
    </w:p>
    <w:p>
      <w:pPr>
        <w:pStyle w:val="Indenta"/>
        <w:rPr>
          <w:snapToGrid w:val="0"/>
        </w:rPr>
      </w:pPr>
      <w:r>
        <w:rPr>
          <w:snapToGrid w:val="0"/>
        </w:rPr>
        <w:tab/>
        <w:t>(aa)</w:t>
      </w:r>
      <w:r>
        <w:rPr>
          <w:snapToGrid w:val="0"/>
        </w:rPr>
        <w:tab/>
        <w:t>serve a letter of censure on the casino licensee concerned;</w:t>
      </w:r>
    </w:p>
    <w:p>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w:t>
      </w:r>
    </w:p>
    <w:p>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pPr>
        <w:pStyle w:val="Footnotesection"/>
      </w:pPr>
      <w:r>
        <w:tab/>
        <w:t xml:space="preserve">[Section 21B inserted by No. 10 of 1985 s. 31; amended by No. 74 of 1987 s. 24; No. 24 of 1998 s. 17.] </w:t>
      </w:r>
    </w:p>
    <w:p>
      <w:pPr>
        <w:pStyle w:val="Heading5"/>
        <w:rPr>
          <w:snapToGrid w:val="0"/>
        </w:rPr>
      </w:pPr>
      <w:bookmarkStart w:id="116" w:name="_Toc401978012"/>
      <w:bookmarkStart w:id="117" w:name="_Toc67305400"/>
      <w:bookmarkStart w:id="118" w:name="_Toc102797128"/>
      <w:bookmarkStart w:id="119" w:name="_Toc157836333"/>
      <w:r>
        <w:rPr>
          <w:rStyle w:val="CharSectno"/>
        </w:rPr>
        <w:t>21C</w:t>
      </w:r>
      <w:r>
        <w:rPr>
          <w:snapToGrid w:val="0"/>
        </w:rPr>
        <w:t>.</w:t>
      </w:r>
      <w:r>
        <w:rPr>
          <w:snapToGrid w:val="0"/>
        </w:rPr>
        <w:tab/>
        <w:t>Termination of casino complex agreement</w:t>
      </w:r>
      <w:bookmarkEnd w:id="116"/>
      <w:r>
        <w:rPr>
          <w:snapToGrid w:val="0"/>
        </w:rPr>
        <w:t>, Minister may revoke licence</w:t>
      </w:r>
      <w:bookmarkEnd w:id="117"/>
      <w:bookmarkEnd w:id="118"/>
      <w:bookmarkEnd w:id="119"/>
      <w:r>
        <w:rPr>
          <w:snapToGrid w:val="0"/>
        </w:rPr>
        <w:t xml:space="preserve"> </w:t>
      </w:r>
    </w:p>
    <w:p>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pPr>
        <w:pStyle w:val="Footnotesection"/>
      </w:pPr>
      <w:r>
        <w:tab/>
        <w:t xml:space="preserve">[Section 21C inserted by No. 10 of 1985 s. 31.] </w:t>
      </w:r>
    </w:p>
    <w:p>
      <w:pPr>
        <w:pStyle w:val="Heading5"/>
        <w:rPr>
          <w:snapToGrid w:val="0"/>
        </w:rPr>
      </w:pPr>
      <w:bookmarkStart w:id="120" w:name="_Toc401978013"/>
      <w:bookmarkStart w:id="121" w:name="_Toc67305401"/>
      <w:bookmarkStart w:id="122" w:name="_Toc102797129"/>
      <w:bookmarkStart w:id="123" w:name="_Toc157836334"/>
      <w:r>
        <w:rPr>
          <w:rStyle w:val="CharSectno"/>
        </w:rPr>
        <w:t>21D</w:t>
      </w:r>
      <w:r>
        <w:rPr>
          <w:snapToGrid w:val="0"/>
        </w:rPr>
        <w:t>.</w:t>
      </w:r>
      <w:r>
        <w:rPr>
          <w:snapToGrid w:val="0"/>
        </w:rPr>
        <w:tab/>
        <w:t>Casino gaming licence</w:t>
      </w:r>
      <w:bookmarkEnd w:id="120"/>
      <w:r>
        <w:rPr>
          <w:snapToGrid w:val="0"/>
        </w:rPr>
        <w:t xml:space="preserve"> may be surrendered</w:t>
      </w:r>
      <w:bookmarkEnd w:id="121"/>
      <w:bookmarkEnd w:id="122"/>
      <w:bookmarkEnd w:id="123"/>
    </w:p>
    <w:p>
      <w:pPr>
        <w:pStyle w:val="Subsection"/>
        <w:rPr>
          <w:snapToGrid w:val="0"/>
        </w:rPr>
      </w:pPr>
      <w:r>
        <w:rPr>
          <w:snapToGrid w:val="0"/>
        </w:rPr>
        <w:tab/>
        <w:t>(1)</w:t>
      </w:r>
      <w:r>
        <w:rPr>
          <w:snapToGrid w:val="0"/>
        </w:rPr>
        <w:tab/>
        <w:t>A casino licensee may apply in writing to the Commission to surrender its casino gaming licence.</w:t>
      </w:r>
    </w:p>
    <w:p>
      <w:pPr>
        <w:pStyle w:val="Subsection"/>
        <w:rPr>
          <w:snapToGrid w:val="0"/>
        </w:rPr>
      </w:pPr>
      <w:r>
        <w:rPr>
          <w:snapToGrid w:val="0"/>
        </w:rPr>
        <w:tab/>
        <w:t>(2)</w:t>
      </w:r>
      <w:r>
        <w:rPr>
          <w:snapToGrid w:val="0"/>
        </w:rPr>
        <w:tab/>
        <w:t>An application made under subsection (1) shall set out in detail the grounds on which it is made.</w:t>
      </w:r>
    </w:p>
    <w:p>
      <w:pPr>
        <w:pStyle w:val="Subsection"/>
        <w:rPr>
          <w:snapToGrid w:val="0"/>
        </w:rPr>
      </w:pPr>
      <w:r>
        <w:rPr>
          <w:snapToGrid w:val="0"/>
        </w:rPr>
        <w:tab/>
        <w:t>(3)</w:t>
      </w:r>
      <w:r>
        <w:rPr>
          <w:snapToGrid w:val="0"/>
        </w:rPr>
        <w:tab/>
        <w:t>After considering an application made under subsection (1) and the grounds on which it is made, the Commission may — </w:t>
      </w:r>
    </w:p>
    <w:p>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pPr>
        <w:pStyle w:val="Indenta"/>
        <w:rPr>
          <w:snapToGrid w:val="0"/>
        </w:rPr>
      </w:pPr>
      <w:r>
        <w:rPr>
          <w:snapToGrid w:val="0"/>
        </w:rPr>
        <w:tab/>
        <w:t>(b)</w:t>
      </w:r>
      <w:r>
        <w:rPr>
          <w:snapToGrid w:val="0"/>
        </w:rPr>
        <w:tab/>
        <w:t>refuse that application.</w:t>
      </w:r>
    </w:p>
    <w:p>
      <w:pPr>
        <w:pStyle w:val="Footnotesection"/>
      </w:pPr>
      <w:r>
        <w:tab/>
        <w:t xml:space="preserve">[Section 21D inserted by No. 10 of 1985 s. 31; amended by No. 74 of 1987 s. 25.] </w:t>
      </w:r>
    </w:p>
    <w:p>
      <w:pPr>
        <w:pStyle w:val="Heading5"/>
        <w:rPr>
          <w:snapToGrid w:val="0"/>
        </w:rPr>
      </w:pPr>
      <w:bookmarkStart w:id="124" w:name="_Toc401978014"/>
      <w:bookmarkStart w:id="125" w:name="_Toc67305402"/>
      <w:bookmarkStart w:id="126" w:name="_Toc102797130"/>
      <w:bookmarkStart w:id="127" w:name="_Toc157836335"/>
      <w:r>
        <w:rPr>
          <w:rStyle w:val="CharSectno"/>
        </w:rPr>
        <w:t>21E</w:t>
      </w:r>
      <w:r>
        <w:rPr>
          <w:snapToGrid w:val="0"/>
        </w:rPr>
        <w:t>.</w:t>
      </w:r>
      <w:r>
        <w:rPr>
          <w:snapToGrid w:val="0"/>
        </w:rPr>
        <w:tab/>
        <w:t>Suspension or revocation of licence</w:t>
      </w:r>
      <w:bookmarkEnd w:id="124"/>
      <w:r>
        <w:rPr>
          <w:snapToGrid w:val="0"/>
        </w:rPr>
        <w:t>, administrator may be appointed</w:t>
      </w:r>
      <w:bookmarkEnd w:id="125"/>
      <w:bookmarkEnd w:id="126"/>
      <w:bookmarkEnd w:id="127"/>
    </w:p>
    <w:p>
      <w:pPr>
        <w:pStyle w:val="Subsection"/>
        <w:rPr>
          <w:snapToGrid w:val="0"/>
        </w:rPr>
      </w:pPr>
      <w:r>
        <w:rPr>
          <w:snapToGrid w:val="0"/>
        </w:rPr>
        <w:tab/>
        <w:t>(1)</w:t>
      </w:r>
      <w:r>
        <w:rPr>
          <w:snapToGrid w:val="0"/>
        </w:rPr>
        <w:tab/>
        <w:t>Subject to this section, when a casino gaming licence held by a party to a casino complex agreement is — </w:t>
      </w:r>
    </w:p>
    <w:p>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pPr>
        <w:pStyle w:val="Indenta"/>
        <w:rPr>
          <w:snapToGrid w:val="0"/>
        </w:rPr>
      </w:pPr>
      <w:r>
        <w:rPr>
          <w:snapToGrid w:val="0"/>
        </w:rPr>
        <w:tab/>
        <w:t>(b)</w:t>
      </w:r>
      <w:r>
        <w:rPr>
          <w:snapToGrid w:val="0"/>
        </w:rPr>
        <w:tab/>
        <w:t>under section 21B(3)(a) or 21C revoked, the Minister shall within a period of 7 days of the day of that revocation,</w:t>
      </w:r>
    </w:p>
    <w:p>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pPr>
        <w:pStyle w:val="Subsection"/>
        <w:rPr>
          <w:snapToGrid w:val="0"/>
        </w:rPr>
      </w:pPr>
      <w:r>
        <w:rPr>
          <w:snapToGrid w:val="0"/>
        </w:rPr>
        <w:tab/>
        <w:t>(3)</w:t>
      </w:r>
      <w:r>
        <w:rPr>
          <w:snapToGrid w:val="0"/>
        </w:rPr>
        <w:tab/>
        <w:t>An administrator shall operate the licensed casino concerned as the agent of the specified person or as otherwise provided in — </w:t>
      </w:r>
    </w:p>
    <w:p>
      <w:pPr>
        <w:pStyle w:val="Indenta"/>
        <w:rPr>
          <w:snapToGrid w:val="0"/>
        </w:rPr>
      </w:pPr>
      <w:r>
        <w:rPr>
          <w:snapToGrid w:val="0"/>
        </w:rPr>
        <w:tab/>
        <w:t>(a)</w:t>
      </w:r>
      <w:r>
        <w:rPr>
          <w:snapToGrid w:val="0"/>
        </w:rPr>
        <w:tab/>
        <w:t>the relevant mortgage, charge or other encumbrance; or</w:t>
      </w:r>
    </w:p>
    <w:p>
      <w:pPr>
        <w:pStyle w:val="Indenta"/>
        <w:rPr>
          <w:snapToGrid w:val="0"/>
        </w:rPr>
      </w:pPr>
      <w:r>
        <w:rPr>
          <w:snapToGrid w:val="0"/>
        </w:rPr>
        <w:tab/>
        <w:t>(b)</w:t>
      </w:r>
      <w:r>
        <w:rPr>
          <w:snapToGrid w:val="0"/>
        </w:rPr>
        <w:tab/>
        <w:t>any other relevant agreement approved by the Minister.</w:t>
      </w:r>
    </w:p>
    <w:p>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 </w:t>
      </w:r>
    </w:p>
    <w:p>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pPr>
        <w:pStyle w:val="Indenta"/>
        <w:rPr>
          <w:snapToGrid w:val="0"/>
        </w:rPr>
      </w:pPr>
      <w:r>
        <w:rPr>
          <w:snapToGrid w:val="0"/>
        </w:rPr>
        <w:tab/>
        <w:t>(b)</w:t>
      </w:r>
      <w:r>
        <w:rPr>
          <w:snapToGrid w:val="0"/>
        </w:rPr>
        <w:tab/>
        <w:t>any other conditions imposed by the Minister from time to time on the recommendation of the Commission.</w:t>
      </w:r>
    </w:p>
    <w:p>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pPr>
        <w:pStyle w:val="Subsection"/>
        <w:rPr>
          <w:snapToGrid w:val="0"/>
        </w:rPr>
      </w:pPr>
      <w:r>
        <w:rPr>
          <w:snapToGrid w:val="0"/>
        </w:rPr>
        <w:tab/>
        <w:t>(6)</w:t>
      </w:r>
      <w:r>
        <w:rPr>
          <w:snapToGrid w:val="0"/>
        </w:rPr>
        <w:tab/>
        <w:t>Subject to subsection (3), an administrator — </w:t>
      </w:r>
    </w:p>
    <w:p>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w:t>
      </w:r>
    </w:p>
    <w:p>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pPr>
        <w:pStyle w:val="Indenta"/>
        <w:keepNext/>
        <w:rPr>
          <w:snapToGrid w:val="0"/>
        </w:rPr>
      </w:pPr>
      <w:r>
        <w:rPr>
          <w:snapToGrid w:val="0"/>
        </w:rPr>
        <w:tab/>
        <w:t>(c)</w:t>
      </w:r>
      <w:r>
        <w:rPr>
          <w:snapToGrid w:val="0"/>
        </w:rPr>
        <w:tab/>
        <w:t>ceases to hold office when — </w:t>
      </w:r>
    </w:p>
    <w:p>
      <w:pPr>
        <w:pStyle w:val="Indenti"/>
        <w:rPr>
          <w:snapToGrid w:val="0"/>
        </w:rPr>
      </w:pPr>
      <w:r>
        <w:rPr>
          <w:snapToGrid w:val="0"/>
        </w:rPr>
        <w:tab/>
        <w:t>(i)</w:t>
      </w:r>
      <w:r>
        <w:rPr>
          <w:snapToGrid w:val="0"/>
        </w:rPr>
        <w:tab/>
        <w:t>his appointment is terminated under subsection (2); or</w:t>
      </w:r>
    </w:p>
    <w:p>
      <w:pPr>
        <w:pStyle w:val="Indenti"/>
        <w:rPr>
          <w:snapToGrid w:val="0"/>
        </w:rPr>
      </w:pPr>
      <w:r>
        <w:rPr>
          <w:snapToGrid w:val="0"/>
        </w:rPr>
        <w:tab/>
        <w:t>(ii)</w:t>
      </w:r>
      <w:r>
        <w:rPr>
          <w:snapToGrid w:val="0"/>
        </w:rPr>
        <w:tab/>
        <w:t>in the case of the suspension of a casino gaming licence under section 21B(3)(a), that suspension ends.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the specified person</w:t>
      </w:r>
      <w:r>
        <w:t xml:space="preserve"> means — </w:t>
      </w:r>
    </w:p>
    <w:p>
      <w:pPr>
        <w:pStyle w:val="Defpara"/>
      </w:pPr>
      <w:r>
        <w:tab/>
        <w:t>(a)</w:t>
      </w:r>
      <w:r>
        <w:tab/>
        <w:t>a mortgagee or, if there is more than one mortgagee, the mortgagee having priority over the other mortgagee or mortgagees;</w:t>
      </w:r>
    </w:p>
    <w:p>
      <w:pPr>
        <w:pStyle w:val="Defpara"/>
      </w:pPr>
      <w:r>
        <w:tab/>
        <w:t>(b)</w:t>
      </w:r>
      <w:r>
        <w:tab/>
        <w:t>if there is at the relevant time no mortgagee, a person specified for the purposes of this definition in an agreement approved by the Minister; or</w:t>
      </w:r>
    </w:p>
    <w:p>
      <w:pPr>
        <w:pStyle w:val="Defpara"/>
        <w:keepNext/>
        <w:rPr>
          <w:spacing w:val="-4"/>
        </w:rPr>
      </w:pPr>
      <w:r>
        <w:rPr>
          <w:spacing w:val="-4"/>
        </w:rPr>
        <w:tab/>
        <w:t>(c)</w:t>
      </w:r>
      <w:r>
        <w:rPr>
          <w:spacing w:val="-4"/>
        </w:rPr>
        <w:tab/>
        <w:t>if there is at the relevant time neither a mortgagee nor a person specified within the meaning of paragraph (b), the owner of the casino complex concerned.</w:t>
      </w:r>
    </w:p>
    <w:p>
      <w:pPr>
        <w:pStyle w:val="Footnotesection"/>
      </w:pPr>
      <w:r>
        <w:tab/>
        <w:t xml:space="preserve">[Section 21E inserted by No. 10 of 1985 s. 31; amended by No. 29 of 1985 s. 12; No. 74 of 1987 s. 25.] </w:t>
      </w:r>
    </w:p>
    <w:p>
      <w:pPr>
        <w:pStyle w:val="Heading5"/>
        <w:rPr>
          <w:snapToGrid w:val="0"/>
        </w:rPr>
      </w:pPr>
      <w:bookmarkStart w:id="128" w:name="_Toc401978015"/>
      <w:bookmarkStart w:id="129" w:name="_Toc67305403"/>
      <w:bookmarkStart w:id="130" w:name="_Toc102797131"/>
      <w:bookmarkStart w:id="131" w:name="_Toc157836336"/>
      <w:r>
        <w:rPr>
          <w:rStyle w:val="CharSectno"/>
        </w:rPr>
        <w:t>21F</w:t>
      </w:r>
      <w:r>
        <w:rPr>
          <w:snapToGrid w:val="0"/>
        </w:rPr>
        <w:t>.</w:t>
      </w:r>
      <w:r>
        <w:rPr>
          <w:snapToGrid w:val="0"/>
        </w:rPr>
        <w:tab/>
      </w:r>
      <w:bookmarkEnd w:id="128"/>
      <w:r>
        <w:rPr>
          <w:snapToGrid w:val="0"/>
        </w:rPr>
        <w:t>Casino licensee’s powers to mortgage, sell, assign etc. its licence, premises etc.</w:t>
      </w:r>
      <w:bookmarkEnd w:id="129"/>
      <w:bookmarkEnd w:id="130"/>
      <w:bookmarkEnd w:id="131"/>
      <w:r>
        <w:rPr>
          <w:snapToGrid w:val="0"/>
        </w:rPr>
        <w:t xml:space="preserve"> </w:t>
      </w:r>
    </w:p>
    <w:p>
      <w:pPr>
        <w:pStyle w:val="Subsection"/>
        <w:spacing w:before="100"/>
        <w:rPr>
          <w:snapToGrid w:val="0"/>
        </w:rPr>
      </w:pPr>
      <w:r>
        <w:rPr>
          <w:snapToGrid w:val="0"/>
        </w:rPr>
        <w:tab/>
        <w:t>(1)</w:t>
      </w:r>
      <w:r>
        <w:rPr>
          <w:snapToGrid w:val="0"/>
        </w:rPr>
        <w:tab/>
        <w:t>A casino licensee may create a mortgage, charge or other encumbrance over — </w:t>
      </w:r>
    </w:p>
    <w:p>
      <w:pPr>
        <w:pStyle w:val="Indenta"/>
        <w:rPr>
          <w:snapToGrid w:val="0"/>
        </w:rPr>
      </w:pPr>
      <w:r>
        <w:rPr>
          <w:snapToGrid w:val="0"/>
        </w:rPr>
        <w:tab/>
        <w:t>(a)</w:t>
      </w:r>
      <w:r>
        <w:rPr>
          <w:snapToGrid w:val="0"/>
        </w:rPr>
        <w:tab/>
        <w:t>its casino gaming licence;</w:t>
      </w:r>
    </w:p>
    <w:p>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pPr>
        <w:pStyle w:val="Indenta"/>
        <w:rPr>
          <w:snapToGrid w:val="0"/>
        </w:rPr>
      </w:pPr>
      <w:r>
        <w:rPr>
          <w:snapToGrid w:val="0"/>
        </w:rPr>
        <w:tab/>
        <w:t>(c)</w:t>
      </w:r>
      <w:r>
        <w:rPr>
          <w:snapToGrid w:val="0"/>
        </w:rPr>
        <w:tab/>
        <w:t>its rights and benefits under the relevant casino complex agreement,</w:t>
      </w:r>
    </w:p>
    <w:p>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pPr>
        <w:pStyle w:val="Subsection"/>
        <w:spacing w:before="100"/>
        <w:rPr>
          <w:snapToGrid w:val="0"/>
        </w:rPr>
      </w:pPr>
      <w:r>
        <w:rPr>
          <w:snapToGrid w:val="0"/>
        </w:rPr>
        <w:tab/>
        <w:t>(1b)</w:t>
      </w:r>
      <w:r>
        <w:rPr>
          <w:snapToGrid w:val="0"/>
        </w:rPr>
        <w:tab/>
        <w:t>The Minister may, on the disposition of part of a casino complex to a person approved under subsection (1a) — </w:t>
      </w:r>
    </w:p>
    <w:p>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pPr>
        <w:pStyle w:val="Indenta"/>
        <w:rPr>
          <w:snapToGrid w:val="0"/>
        </w:rPr>
      </w:pPr>
      <w:r>
        <w:rPr>
          <w:snapToGrid w:val="0"/>
        </w:rPr>
        <w:tab/>
        <w:t>(b)</w:t>
      </w:r>
      <w:r>
        <w:rPr>
          <w:snapToGrid w:val="0"/>
        </w:rPr>
        <w:tab/>
        <w:t>by order declare that — </w:t>
      </w:r>
    </w:p>
    <w:p>
      <w:pPr>
        <w:pStyle w:val="Indenti"/>
        <w:rPr>
          <w:snapToGrid w:val="0"/>
        </w:rPr>
      </w:pPr>
      <w:r>
        <w:rPr>
          <w:snapToGrid w:val="0"/>
        </w:rPr>
        <w:tab/>
        <w:t>(i)</w:t>
      </w:r>
      <w:r>
        <w:rPr>
          <w:snapToGrid w:val="0"/>
        </w:rPr>
        <w:tab/>
        <w:t>the relevant casino complex agreement does not apply to that part; and</w:t>
      </w:r>
    </w:p>
    <w:p>
      <w:pPr>
        <w:pStyle w:val="Indenti"/>
        <w:rPr>
          <w:snapToGrid w:val="0"/>
        </w:rPr>
      </w:pPr>
      <w:r>
        <w:rPr>
          <w:snapToGrid w:val="0"/>
        </w:rPr>
        <w:tab/>
        <w:t>(ii)</w:t>
      </w:r>
      <w:r>
        <w:rPr>
          <w:snapToGrid w:val="0"/>
        </w:rPr>
        <w:tab/>
        <w:t>that part ceases to form part of the casino complex,</w:t>
      </w:r>
    </w:p>
    <w:p>
      <w:pPr>
        <w:pStyle w:val="Indenta"/>
        <w:rPr>
          <w:snapToGrid w:val="0"/>
        </w:rPr>
      </w:pPr>
      <w:r>
        <w:rPr>
          <w:snapToGrid w:val="0"/>
        </w:rPr>
        <w:tab/>
      </w:r>
      <w:r>
        <w:rPr>
          <w:snapToGrid w:val="0"/>
        </w:rPr>
        <w:tab/>
        <w:t>which order has effect according to its tenor.</w:t>
      </w:r>
    </w:p>
    <w:p>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pPr>
        <w:pStyle w:val="Subsection"/>
        <w:spacing w:before="120"/>
        <w:rPr>
          <w:snapToGrid w:val="0"/>
        </w:rPr>
      </w:pPr>
      <w:r>
        <w:rPr>
          <w:snapToGrid w:val="0"/>
        </w:rPr>
        <w:tab/>
        <w:t>(4)</w:t>
      </w:r>
      <w:r>
        <w:rPr>
          <w:snapToGrid w:val="0"/>
        </w:rPr>
        <w:tab/>
        <w:t>If a mortgagee wishes to enforce his security under a mortgage, charge or other encumbrance — </w:t>
      </w:r>
    </w:p>
    <w:p>
      <w:pPr>
        <w:pStyle w:val="Indenta"/>
        <w:rPr>
          <w:snapToGrid w:val="0"/>
        </w:rPr>
      </w:pPr>
      <w:r>
        <w:rPr>
          <w:snapToGrid w:val="0"/>
        </w:rPr>
        <w:tab/>
        <w:t>(a)</w:t>
      </w:r>
      <w:r>
        <w:rPr>
          <w:snapToGrid w:val="0"/>
        </w:rPr>
        <w:tab/>
        <w:t>any receiver appointed thereunder shall be; and</w:t>
      </w:r>
    </w:p>
    <w:p>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pPr>
        <w:pStyle w:val="Subsection"/>
        <w:spacing w:before="120"/>
        <w:rPr>
          <w:snapToGrid w:val="0"/>
        </w:rPr>
      </w:pPr>
      <w:r>
        <w:rPr>
          <w:snapToGrid w:val="0"/>
        </w:rPr>
        <w:tab/>
      </w:r>
      <w:r>
        <w:rPr>
          <w:snapToGrid w:val="0"/>
        </w:rPr>
        <w:tab/>
        <w:t>a person approved by the Minister on the recommendation of the Commission.</w:t>
      </w:r>
    </w:p>
    <w:p>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pPr>
        <w:pStyle w:val="Subsection"/>
        <w:spacing w:before="120"/>
        <w:rPr>
          <w:snapToGrid w:val="0"/>
        </w:rPr>
      </w:pPr>
      <w:r>
        <w:rPr>
          <w:snapToGrid w:val="0"/>
        </w:rPr>
        <w:tab/>
        <w:t>(6)</w:t>
      </w:r>
      <w:r>
        <w:rPr>
          <w:snapToGrid w:val="0"/>
        </w:rPr>
        <w:tab/>
        <w:t xml:space="preserve">The Minister may refuse to approve a person (in this subsection called </w:t>
      </w:r>
      <w:r>
        <w:rPr>
          <w:rStyle w:val="CharDefText"/>
        </w:rPr>
        <w:t>the proposed assignee</w:t>
      </w:r>
      <w:r>
        <w:rPr>
          <w:snapToGrid w:val="0"/>
        </w:rPr>
        <w:t>) for the purpose of subsection (2), (3) or (4)(b) until — </w:t>
      </w:r>
    </w:p>
    <w:p>
      <w:pPr>
        <w:pStyle w:val="Indenta"/>
        <w:rPr>
          <w:snapToGrid w:val="0"/>
        </w:rPr>
      </w:pPr>
      <w:r>
        <w:rPr>
          <w:snapToGrid w:val="0"/>
        </w:rPr>
        <w:tab/>
        <w:t>(a)</w:t>
      </w:r>
      <w:r>
        <w:rPr>
          <w:snapToGrid w:val="0"/>
        </w:rPr>
        <w:tab/>
        <w:t>the proposed assignee enters into an agreement with the Minister; and, additionally or alternatively,</w:t>
      </w:r>
    </w:p>
    <w:p>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rPr>
          <w:rStyle w:val="CharDefText"/>
        </w:rPr>
        <w:t>the proposed assignment</w:t>
      </w:r>
      <w:r>
        <w:rPr>
          <w:snapToGrid w:val="0"/>
        </w:rPr>
        <w:t>) enters into such an agreement with the Minister,</w:t>
      </w:r>
    </w:p>
    <w:p>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dispose of</w:t>
      </w:r>
      <w:r>
        <w:t xml:space="preserve"> includes dispose of any estate or interest by sale, assignment, transfer, lease or licence;</w:t>
      </w:r>
    </w:p>
    <w:p>
      <w:pPr>
        <w:pStyle w:val="Defstart"/>
      </w:pPr>
      <w:r>
        <w:rPr>
          <w:b/>
        </w:rPr>
        <w:tab/>
      </w:r>
      <w:r>
        <w:rPr>
          <w:rStyle w:val="CharDefText"/>
        </w:rPr>
        <w:t>receiver</w:t>
      </w:r>
      <w:r>
        <w:t xml:space="preserve"> means receiver or receiver and manager, according to the nature of the appointment concerned.</w:t>
      </w:r>
    </w:p>
    <w:p>
      <w:pPr>
        <w:pStyle w:val="Footnotesection"/>
      </w:pPr>
      <w:r>
        <w:tab/>
        <w:t xml:space="preserve">[Section 21F inserted by No. 10 of 1985 s. 31; amended by No. 44 of 1987 s. 13; No. 74 of 1987 s. 25.] </w:t>
      </w:r>
    </w:p>
    <w:p>
      <w:pPr>
        <w:pStyle w:val="Heading2"/>
      </w:pPr>
      <w:bookmarkStart w:id="132" w:name="_Toc68336822"/>
      <w:bookmarkStart w:id="133" w:name="_Toc68336888"/>
      <w:bookmarkStart w:id="134" w:name="_Toc68507325"/>
      <w:bookmarkStart w:id="135" w:name="_Toc68508157"/>
      <w:bookmarkStart w:id="136" w:name="_Toc71452155"/>
      <w:bookmarkStart w:id="137" w:name="_Toc95725633"/>
      <w:bookmarkStart w:id="138" w:name="_Toc96939122"/>
      <w:bookmarkStart w:id="139" w:name="_Toc102797132"/>
      <w:bookmarkStart w:id="140" w:name="_Toc157323515"/>
      <w:bookmarkStart w:id="141" w:name="_Toc157323670"/>
      <w:bookmarkStart w:id="142" w:name="_Toc157836337"/>
      <w:r>
        <w:rPr>
          <w:rStyle w:val="CharPartNo"/>
        </w:rPr>
        <w:t>Part V</w:t>
      </w:r>
      <w:r>
        <w:rPr>
          <w:rStyle w:val="CharDivNo"/>
        </w:rPr>
        <w:t> </w:t>
      </w:r>
      <w:r>
        <w:t>—</w:t>
      </w:r>
      <w:r>
        <w:rPr>
          <w:rStyle w:val="CharDivText"/>
        </w:rPr>
        <w:t> </w:t>
      </w:r>
      <w:r>
        <w:rPr>
          <w:rStyle w:val="CharPartText"/>
        </w:rPr>
        <w:t>Control of casino</w:t>
      </w:r>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01978016"/>
      <w:bookmarkStart w:id="144" w:name="_Toc67305404"/>
      <w:bookmarkStart w:id="145" w:name="_Toc102797133"/>
      <w:bookmarkStart w:id="146" w:name="_Toc157836338"/>
      <w:r>
        <w:rPr>
          <w:rStyle w:val="CharSectno"/>
        </w:rPr>
        <w:t>22</w:t>
      </w:r>
      <w:r>
        <w:rPr>
          <w:snapToGrid w:val="0"/>
        </w:rPr>
        <w:t>.</w:t>
      </w:r>
      <w:r>
        <w:rPr>
          <w:snapToGrid w:val="0"/>
        </w:rPr>
        <w:tab/>
        <w:t>Authorised games</w:t>
      </w:r>
      <w:bookmarkEnd w:id="143"/>
      <w:r>
        <w:rPr>
          <w:snapToGrid w:val="0"/>
        </w:rPr>
        <w:t>, rules of games</w:t>
      </w:r>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 </w:t>
      </w:r>
    </w:p>
    <w:p>
      <w:pPr>
        <w:pStyle w:val="Indenta"/>
        <w:rPr>
          <w:snapToGrid w:val="0"/>
        </w:rPr>
      </w:pPr>
      <w:r>
        <w:rPr>
          <w:snapToGrid w:val="0"/>
        </w:rPr>
        <w:tab/>
        <w:t>(a)</w:t>
      </w:r>
      <w:r>
        <w:rPr>
          <w:snapToGrid w:val="0"/>
        </w:rPr>
        <w:tab/>
        <w:t>declare any game, except for a game played with poker machines, to be an authorised game for the purposes of this Act; and</w:t>
      </w:r>
    </w:p>
    <w:p>
      <w:pPr>
        <w:pStyle w:val="Indenta"/>
        <w:rPr>
          <w:snapToGrid w:val="0"/>
        </w:rPr>
      </w:pPr>
      <w:r>
        <w:rPr>
          <w:snapToGrid w:val="0"/>
        </w:rPr>
        <w:tab/>
        <w:t>(b)</w:t>
      </w:r>
      <w:r>
        <w:rPr>
          <w:snapToGrid w:val="0"/>
        </w:rPr>
        <w:tab/>
        <w:t>revoke a declaration made under this subsection.</w:t>
      </w:r>
    </w:p>
    <w:p>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 </w:t>
      </w:r>
    </w:p>
    <w:p>
      <w:pPr>
        <w:pStyle w:val="Indenta"/>
        <w:rPr>
          <w:snapToGrid w:val="0"/>
        </w:rPr>
      </w:pPr>
      <w:r>
        <w:rPr>
          <w:snapToGrid w:val="0"/>
        </w:rPr>
        <w:tab/>
        <w:t>(a)</w:t>
      </w:r>
      <w:r>
        <w:rPr>
          <w:snapToGrid w:val="0"/>
        </w:rPr>
        <w:tab/>
        <w:t>specifying the authorised game to which the proposed revocation relates and the reasons for the proposed revocation; and</w:t>
      </w:r>
    </w:p>
    <w:p>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 </w:t>
      </w:r>
    </w:p>
    <w:p>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pPr>
        <w:pStyle w:val="Indenta"/>
        <w:rPr>
          <w:snapToGrid w:val="0"/>
        </w:rPr>
      </w:pPr>
      <w:r>
        <w:rPr>
          <w:snapToGrid w:val="0"/>
        </w:rPr>
        <w:tab/>
        <w:t>(b)</w:t>
      </w:r>
      <w:r>
        <w:rPr>
          <w:snapToGrid w:val="0"/>
        </w:rPr>
        <w:tab/>
        <w:t>declare the game referred to in paragraph (a) to be an authorised game under subsection (1).</w:t>
      </w:r>
    </w:p>
    <w:p>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 </w:t>
      </w:r>
    </w:p>
    <w:p>
      <w:pPr>
        <w:pStyle w:val="Indenta"/>
        <w:rPr>
          <w:snapToGrid w:val="0"/>
        </w:rPr>
      </w:pPr>
      <w:r>
        <w:rPr>
          <w:snapToGrid w:val="0"/>
        </w:rPr>
        <w:tab/>
        <w:t>(a)</w:t>
      </w:r>
      <w:r>
        <w:rPr>
          <w:snapToGrid w:val="0"/>
        </w:rPr>
        <w:tab/>
        <w:t>other than an authorised game; or</w:t>
      </w:r>
    </w:p>
    <w:p>
      <w:pPr>
        <w:pStyle w:val="Indenta"/>
        <w:rPr>
          <w:snapToGrid w:val="0"/>
        </w:rPr>
      </w:pPr>
      <w:r>
        <w:rPr>
          <w:snapToGrid w:val="0"/>
        </w:rPr>
        <w:tab/>
        <w:t>(b)</w:t>
      </w:r>
      <w:r>
        <w:rPr>
          <w:snapToGrid w:val="0"/>
        </w:rPr>
        <w:tab/>
        <w:t>if the game is not conducted and played in accordance with the approved rules of the game.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person shall not in a casino — </w:t>
      </w:r>
    </w:p>
    <w:p>
      <w:pPr>
        <w:pStyle w:val="Indenta"/>
        <w:rPr>
          <w:snapToGrid w:val="0"/>
        </w:rPr>
      </w:pPr>
      <w:r>
        <w:rPr>
          <w:snapToGrid w:val="0"/>
        </w:rPr>
        <w:tab/>
        <w:t>(a)</w:t>
      </w:r>
      <w:r>
        <w:rPr>
          <w:snapToGrid w:val="0"/>
        </w:rPr>
        <w:tab/>
        <w:t>conduct a game; or</w:t>
      </w:r>
    </w:p>
    <w:p>
      <w:pPr>
        <w:pStyle w:val="Indenta"/>
        <w:rPr>
          <w:snapToGrid w:val="0"/>
        </w:rPr>
      </w:pPr>
      <w:r>
        <w:rPr>
          <w:snapToGrid w:val="0"/>
        </w:rPr>
        <w:tab/>
        <w:t>(b)</w:t>
      </w:r>
      <w:r>
        <w:rPr>
          <w:snapToGrid w:val="0"/>
        </w:rPr>
        <w:tab/>
        <w:t>permit a game conducted by that person to be played by any other participant,</w:t>
      </w:r>
    </w:p>
    <w:p>
      <w:pPr>
        <w:pStyle w:val="Subsection"/>
        <w:rPr>
          <w:snapToGrid w:val="0"/>
        </w:rPr>
      </w:pPr>
      <w:r>
        <w:rPr>
          <w:snapToGrid w:val="0"/>
        </w:rPr>
        <w:tab/>
      </w:r>
      <w:r>
        <w:rPr>
          <w:snapToGrid w:val="0"/>
        </w:rPr>
        <w:tab/>
        <w:t>otherwise than in accordance with the approved rules of the game.</w:t>
      </w:r>
    </w:p>
    <w:p>
      <w:pPr>
        <w:pStyle w:val="Penstart"/>
        <w:rPr>
          <w:snapToGrid w:val="0"/>
        </w:rPr>
      </w:pPr>
      <w:r>
        <w:rPr>
          <w:snapToGrid w:val="0"/>
        </w:rPr>
        <w:tab/>
        <w:t>Penalty: $2 500.</w:t>
      </w:r>
    </w:p>
    <w:p>
      <w:pPr>
        <w:pStyle w:val="Footnotesection"/>
        <w:rPr>
          <w:spacing w:val="-4"/>
        </w:rPr>
      </w:pPr>
      <w:r>
        <w:rPr>
          <w:spacing w:val="-4"/>
        </w:rPr>
        <w:tab/>
        <w:t xml:space="preserve">[Section 22 amended by No. 10 of 1985 s. 32; No. 74 of 1987 s. 26.] </w:t>
      </w:r>
    </w:p>
    <w:p>
      <w:pPr>
        <w:pStyle w:val="Heading5"/>
        <w:rPr>
          <w:snapToGrid w:val="0"/>
        </w:rPr>
      </w:pPr>
      <w:bookmarkStart w:id="147" w:name="_Toc401978017"/>
      <w:bookmarkStart w:id="148" w:name="_Toc67305405"/>
      <w:bookmarkStart w:id="149" w:name="_Toc102797134"/>
      <w:bookmarkStart w:id="150" w:name="_Toc157836339"/>
      <w:r>
        <w:rPr>
          <w:rStyle w:val="CharSectno"/>
        </w:rPr>
        <w:t>23</w:t>
      </w:r>
      <w:r>
        <w:rPr>
          <w:snapToGrid w:val="0"/>
        </w:rPr>
        <w:t>.</w:t>
      </w:r>
      <w:r>
        <w:rPr>
          <w:snapToGrid w:val="0"/>
        </w:rPr>
        <w:tab/>
        <w:t xml:space="preserve">Authorised games, miscellaneous provisions </w:t>
      </w:r>
      <w:bookmarkEnd w:id="147"/>
      <w:r>
        <w:rPr>
          <w:snapToGrid w:val="0"/>
        </w:rPr>
        <w:t>about</w:t>
      </w:r>
      <w:bookmarkEnd w:id="148"/>
      <w:bookmarkEnd w:id="149"/>
      <w:bookmarkEnd w:id="150"/>
    </w:p>
    <w:p>
      <w:pPr>
        <w:pStyle w:val="Subsection"/>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 </w:t>
      </w:r>
    </w:p>
    <w:p>
      <w:pPr>
        <w:pStyle w:val="Indenta"/>
        <w:rPr>
          <w:snapToGrid w:val="0"/>
        </w:rPr>
      </w:pPr>
      <w:r>
        <w:rPr>
          <w:snapToGrid w:val="0"/>
        </w:rPr>
        <w:tab/>
        <w:t>(a)</w:t>
      </w:r>
      <w:r>
        <w:rPr>
          <w:snapToGrid w:val="0"/>
        </w:rPr>
        <w:tab/>
        <w:t>casino premises to which a relevant casino gaming licence relates shall where — </w:t>
      </w:r>
    </w:p>
    <w:p>
      <w:pPr>
        <w:pStyle w:val="Indenti"/>
        <w:rPr>
          <w:snapToGrid w:val="0"/>
        </w:rPr>
      </w:pPr>
      <w:r>
        <w:rPr>
          <w:snapToGrid w:val="0"/>
        </w:rPr>
        <w:tab/>
        <w:t>(i)</w:t>
      </w:r>
      <w:r>
        <w:rPr>
          <w:snapToGrid w:val="0"/>
        </w:rPr>
        <w:tab/>
        <w:t>that licence is not contravened;</w:t>
      </w:r>
    </w:p>
    <w:p>
      <w:pPr>
        <w:pStyle w:val="Indenti"/>
        <w:rPr>
          <w:snapToGrid w:val="0"/>
        </w:rPr>
      </w:pPr>
      <w:r>
        <w:rPr>
          <w:snapToGrid w:val="0"/>
        </w:rPr>
        <w:tab/>
        <w:t>(ii)</w:t>
      </w:r>
      <w:r>
        <w:rPr>
          <w:snapToGrid w:val="0"/>
        </w:rPr>
        <w:tab/>
        <w:t>the games conducted or played are authorised games conducted and played in accordance with the approved rules;</w:t>
      </w:r>
    </w:p>
    <w:p>
      <w:pPr>
        <w:pStyle w:val="Indenti"/>
        <w:rPr>
          <w:snapToGrid w:val="0"/>
          <w:spacing w:val="-4"/>
        </w:rPr>
      </w:pPr>
      <w:r>
        <w:rPr>
          <w:snapToGrid w:val="0"/>
          <w:spacing w:val="-4"/>
        </w:rPr>
        <w:tab/>
        <w:t>(iii)</w:t>
      </w:r>
      <w:r>
        <w:rPr>
          <w:snapToGrid w:val="0"/>
          <w:spacing w:val="-4"/>
        </w:rPr>
        <w:tab/>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pPr>
        <w:pStyle w:val="Indenti"/>
        <w:keepNext/>
        <w:rPr>
          <w:snapToGrid w:val="0"/>
        </w:rPr>
      </w:pPr>
      <w:r>
        <w:rPr>
          <w:snapToGrid w:val="0"/>
        </w:rPr>
        <w:tab/>
        <w:t>(iv)</w:t>
      </w:r>
      <w:r>
        <w:rPr>
          <w:snapToGrid w:val="0"/>
        </w:rPr>
        <w:tab/>
        <w:t>this Act is not otherwise contravened by the licensee or that manager or operator,</w:t>
      </w:r>
    </w:p>
    <w:p>
      <w:pPr>
        <w:pStyle w:val="Indenta"/>
        <w:rPr>
          <w:snapToGrid w:val="0"/>
        </w:rPr>
      </w:pPr>
      <w:r>
        <w:rPr>
          <w:snapToGrid w:val="0"/>
        </w:rPr>
        <w:tab/>
      </w:r>
      <w:r>
        <w:rPr>
          <w:snapToGrid w:val="0"/>
        </w:rPr>
        <w:tab/>
        <w:t>be taken not to be premises open, kept or used as a common gaming house; and</w:t>
      </w:r>
    </w:p>
    <w:p>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pPr>
        <w:pStyle w:val="Subsection"/>
        <w:spacing w:before="100"/>
        <w:rPr>
          <w:snapToGrid w:val="0"/>
        </w:rPr>
      </w:pPr>
      <w:r>
        <w:rPr>
          <w:snapToGrid w:val="0"/>
        </w:rPr>
        <w:tab/>
        <w:t>(2)</w:t>
      </w:r>
      <w:r>
        <w:rPr>
          <w:snapToGrid w:val="0"/>
        </w:rPr>
        <w:tab/>
        <w:t>Subject to subsection (2a), where a person — </w:t>
      </w:r>
    </w:p>
    <w:p>
      <w:pPr>
        <w:pStyle w:val="Indenta"/>
        <w:rPr>
          <w:snapToGrid w:val="0"/>
        </w:rPr>
      </w:pPr>
      <w:r>
        <w:rPr>
          <w:snapToGrid w:val="0"/>
        </w:rPr>
        <w:tab/>
        <w:t>(i)</w:t>
      </w:r>
      <w:r>
        <w:rPr>
          <w:snapToGrid w:val="0"/>
        </w:rPr>
        <w:tab/>
        <w:t>who is a member of the Commission or the Chief Casino Officer, a government inspector or other officer appointed under section 9(1);</w:t>
      </w:r>
    </w:p>
    <w:p>
      <w:pPr>
        <w:pStyle w:val="Indenta"/>
        <w:ind w:left="1610" w:hanging="1610"/>
        <w:rPr>
          <w:snapToGrid w:val="0"/>
        </w:rPr>
      </w:pPr>
      <w:r>
        <w:rPr>
          <w:snapToGrid w:val="0"/>
        </w:rPr>
        <w:tab/>
        <w:t>(ia)</w:t>
      </w:r>
      <w:r>
        <w:rPr>
          <w:snapToGrid w:val="0"/>
        </w:rPr>
        <w:tab/>
        <w:t>who is a casino key employee or casino employee; or</w:t>
      </w:r>
    </w:p>
    <w:p>
      <w:pPr>
        <w:pStyle w:val="Indenta"/>
        <w:rPr>
          <w:snapToGrid w:val="0"/>
        </w:rPr>
      </w:pPr>
      <w:r>
        <w:rPr>
          <w:snapToGrid w:val="0"/>
        </w:rPr>
        <w:tab/>
        <w:t>(ii)</w:t>
      </w:r>
      <w:r>
        <w:rPr>
          <w:snapToGrid w:val="0"/>
        </w:rPr>
        <w:tab/>
        <w:t>in respect of whom a prohibition or direction under section 26 is in force,</w:t>
      </w:r>
    </w:p>
    <w:p>
      <w:pPr>
        <w:pStyle w:val="Subsection"/>
        <w:rPr>
          <w:snapToGrid w:val="0"/>
        </w:rPr>
      </w:pPr>
      <w:r>
        <w:rPr>
          <w:snapToGrid w:val="0"/>
        </w:rPr>
        <w:tab/>
      </w:r>
      <w:r>
        <w:rPr>
          <w:snapToGrid w:val="0"/>
        </w:rPr>
        <w:tab/>
        <w:t>participates as a player in any game in the casino, the person commits an offence.</w:t>
      </w:r>
    </w:p>
    <w:p>
      <w:pPr>
        <w:pStyle w:val="Penstart"/>
        <w:rPr>
          <w:snapToGrid w:val="0"/>
        </w:rPr>
      </w:pPr>
      <w:r>
        <w:rPr>
          <w:snapToGrid w:val="0"/>
        </w:rPr>
        <w:tab/>
        <w:t>Penalty: $1 000.</w:t>
      </w:r>
    </w:p>
    <w:p>
      <w:pPr>
        <w:pStyle w:val="Subsection"/>
        <w:spacing w:before="100"/>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pPr>
        <w:pStyle w:val="Subsection"/>
        <w:spacing w:before="100"/>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(3)</w:t>
      </w:r>
      <w:r>
        <w:rPr>
          <w:snapToGrid w:val="0"/>
        </w:rPr>
        <w:tab/>
        <w:t>A licensed casino shall not be deemed to be a nuisance, public or private, by reason only that it is used as a casino.</w:t>
      </w:r>
    </w:p>
    <w:p>
      <w:pPr>
        <w:pStyle w:val="Subsection"/>
        <w:rPr>
          <w:snapToGrid w:val="0"/>
        </w:rPr>
      </w:pPr>
      <w:r>
        <w:rPr>
          <w:snapToGrid w:val="0"/>
        </w:rPr>
        <w:tab/>
        <w:t>(4)</w:t>
      </w:r>
      <w:r>
        <w:rPr>
          <w:snapToGrid w:val="0"/>
        </w:rPr>
        <w:tab/>
        <w:t>A person shall not be entitled, except as against a casino licensee, to bring legal proceedings to recover — </w:t>
      </w:r>
    </w:p>
    <w:p>
      <w:pPr>
        <w:pStyle w:val="Indenta"/>
        <w:rPr>
          <w:snapToGrid w:val="0"/>
        </w:rPr>
      </w:pPr>
      <w:r>
        <w:rPr>
          <w:snapToGrid w:val="0"/>
        </w:rPr>
        <w:tab/>
        <w:t>(a)</w:t>
      </w:r>
      <w:r>
        <w:rPr>
          <w:snapToGrid w:val="0"/>
        </w:rPr>
        <w:tab/>
        <w:t>money won at gaming in a licensed casino;</w:t>
      </w:r>
    </w:p>
    <w:p>
      <w:pPr>
        <w:pStyle w:val="Indenta"/>
        <w:rPr>
          <w:snapToGrid w:val="0"/>
        </w:rPr>
      </w:pPr>
      <w:r>
        <w:rPr>
          <w:snapToGrid w:val="0"/>
        </w:rPr>
        <w:tab/>
        <w:t>(b)</w:t>
      </w:r>
      <w:r>
        <w:rPr>
          <w:snapToGrid w:val="0"/>
        </w:rPr>
        <w:tab/>
        <w:t>money on a cheque or other instrument given in payment of money so won; or</w:t>
      </w:r>
    </w:p>
    <w:p>
      <w:pPr>
        <w:pStyle w:val="Indenta"/>
        <w:rPr>
          <w:snapToGrid w:val="0"/>
        </w:rPr>
      </w:pPr>
      <w:r>
        <w:rPr>
          <w:snapToGrid w:val="0"/>
        </w:rPr>
        <w:tab/>
        <w:t>(c)</w:t>
      </w:r>
      <w:r>
        <w:rPr>
          <w:snapToGrid w:val="0"/>
        </w:rPr>
        <w:tab/>
        <w:t>a loan of money with which to play a game in a licensed casino,</w:t>
      </w:r>
    </w:p>
    <w:p>
      <w:pPr>
        <w:pStyle w:val="Subsection"/>
        <w:keepNext/>
        <w:rPr>
          <w:snapToGrid w:val="0"/>
        </w:rPr>
      </w:pPr>
      <w:r>
        <w:rPr>
          <w:snapToGrid w:val="0"/>
        </w:rPr>
        <w:tab/>
      </w:r>
      <w:r>
        <w:rPr>
          <w:snapToGrid w:val="0"/>
        </w:rPr>
        <w:tab/>
        <w:t>that could not be brought if this Act had not been enacted.</w:t>
      </w:r>
    </w:p>
    <w:p>
      <w:pPr>
        <w:pStyle w:val="Footnotesection"/>
      </w:pPr>
      <w:r>
        <w:tab/>
        <w:t xml:space="preserve">[Section 23 amended by No. 10 of 1985 s. 33; No. 74 of 1987 s. 27; No. 57 of 1997 s. 28(3) and (4); No. 24 of 1998 s. 18; No. 35 of 2003 s. 171(3); No. 84 of 2004 s. 80.] </w:t>
      </w:r>
    </w:p>
    <w:p>
      <w:pPr>
        <w:pStyle w:val="Heading5"/>
        <w:rPr>
          <w:snapToGrid w:val="0"/>
        </w:rPr>
      </w:pPr>
      <w:bookmarkStart w:id="151" w:name="_Toc401978018"/>
      <w:bookmarkStart w:id="152" w:name="_Toc67305406"/>
      <w:bookmarkStart w:id="153" w:name="_Toc102797135"/>
      <w:bookmarkStart w:id="154" w:name="_Toc157836340"/>
      <w:r>
        <w:rPr>
          <w:rStyle w:val="CharSectno"/>
        </w:rPr>
        <w:t>24</w:t>
      </w:r>
      <w:r>
        <w:rPr>
          <w:snapToGrid w:val="0"/>
        </w:rPr>
        <w:t>.</w:t>
      </w:r>
      <w:r>
        <w:rPr>
          <w:snapToGrid w:val="0"/>
        </w:rPr>
        <w:tab/>
        <w:t>Commission may direct casino licensee on running of gaming operations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pPr>
        <w:pStyle w:val="Subsection"/>
        <w:rPr>
          <w:snapToGrid w:val="0"/>
        </w:rPr>
      </w:pPr>
      <w:r>
        <w:rPr>
          <w:snapToGrid w:val="0"/>
        </w:rPr>
        <w:tab/>
        <w:t>(1a)</w:t>
      </w:r>
      <w:r>
        <w:rPr>
          <w:snapToGrid w:val="0"/>
        </w:rPr>
        <w:tab/>
        <w:t>A direction may be amended from time to time by the Commission as the Commission thinks fit.</w:t>
      </w:r>
    </w:p>
    <w:p>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pPr>
        <w:pStyle w:val="Footnotesection"/>
      </w:pPr>
      <w:r>
        <w:tab/>
        <w:t xml:space="preserve">[Section 24 amended by No. 10 of 1985 s. 34; No. 74 of 1987 s. 28; No. 24 of 1998 s. 19; No. 35 of 2003 s. 171(3).] </w:t>
      </w:r>
    </w:p>
    <w:p>
      <w:pPr>
        <w:pStyle w:val="Heading5"/>
        <w:rPr>
          <w:snapToGrid w:val="0"/>
        </w:rPr>
      </w:pPr>
      <w:bookmarkStart w:id="155" w:name="_Toc401978019"/>
      <w:bookmarkStart w:id="156" w:name="_Toc67305407"/>
      <w:bookmarkStart w:id="157" w:name="_Toc102797136"/>
      <w:bookmarkStart w:id="158" w:name="_Toc157836341"/>
      <w:r>
        <w:rPr>
          <w:rStyle w:val="CharSectno"/>
        </w:rPr>
        <w:t>25</w:t>
      </w:r>
      <w:r>
        <w:rPr>
          <w:snapToGrid w:val="0"/>
        </w:rPr>
        <w:t>.</w:t>
      </w:r>
      <w:r>
        <w:rPr>
          <w:snapToGrid w:val="0"/>
        </w:rPr>
        <w:tab/>
      </w:r>
      <w:bookmarkEnd w:id="155"/>
      <w:r>
        <w:rPr>
          <w:snapToGrid w:val="0"/>
        </w:rPr>
        <w:t>Records of gaming operations etc.</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pPr>
        <w:pStyle w:val="Subsection"/>
        <w:keepNext/>
        <w:rPr>
          <w:snapToGrid w:val="0"/>
        </w:rPr>
      </w:pPr>
      <w:r>
        <w:rPr>
          <w:snapToGrid w:val="0"/>
        </w:rPr>
        <w:tab/>
        <w:t>(2)</w:t>
      </w:r>
      <w:r>
        <w:rPr>
          <w:snapToGrid w:val="0"/>
        </w:rPr>
        <w:tab/>
        <w:t>The Chief Casino Officer may by notice in writing — </w:t>
      </w:r>
    </w:p>
    <w:p>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 </w:t>
      </w:r>
    </w:p>
    <w:p>
      <w:pPr>
        <w:pStyle w:val="Indenta"/>
        <w:rPr>
          <w:snapToGrid w:val="0"/>
        </w:rPr>
      </w:pPr>
      <w:r>
        <w:rPr>
          <w:snapToGrid w:val="0"/>
        </w:rPr>
        <w:tab/>
        <w:t>(a)</w:t>
      </w:r>
      <w:r>
        <w:rPr>
          <w:snapToGrid w:val="0"/>
        </w:rPr>
        <w:tab/>
        <w:t>the retention of the books in an alternative form or manner; or</w:t>
      </w:r>
    </w:p>
    <w:p>
      <w:pPr>
        <w:pStyle w:val="Indenta"/>
        <w:rPr>
          <w:snapToGrid w:val="0"/>
        </w:rPr>
      </w:pPr>
      <w:r>
        <w:rPr>
          <w:snapToGrid w:val="0"/>
        </w:rPr>
        <w:tab/>
        <w:t>(b)</w:t>
      </w:r>
      <w:r>
        <w:rPr>
          <w:snapToGrid w:val="0"/>
        </w:rPr>
        <w:tab/>
        <w:t>the destruction of any books, the retention of which the Commission does not consider to be essential.</w:t>
      </w:r>
    </w:p>
    <w:p>
      <w:pPr>
        <w:pStyle w:val="Footnotesection"/>
      </w:pPr>
      <w:r>
        <w:tab/>
        <w:t xml:space="preserve">[Section 25 inserted by No. 74 of 1987 s. 29; amended by No. 24 of 1998 s. 20; No. 35 of 2003 s. 171(3).] </w:t>
      </w:r>
    </w:p>
    <w:p>
      <w:pPr>
        <w:pStyle w:val="Heading5"/>
      </w:pPr>
      <w:bookmarkStart w:id="159" w:name="_Toc67305408"/>
      <w:bookmarkStart w:id="160" w:name="_Toc102797137"/>
      <w:bookmarkStart w:id="161" w:name="_Toc157836342"/>
      <w:bookmarkStart w:id="162" w:name="_Toc401978020"/>
      <w:r>
        <w:rPr>
          <w:rStyle w:val="CharSectno"/>
        </w:rPr>
        <w:t>25A</w:t>
      </w:r>
      <w:r>
        <w:t>.</w:t>
      </w:r>
      <w:r>
        <w:tab/>
        <w:t>Junkets and junket operators</w:t>
      </w:r>
      <w:bookmarkEnd w:id="159"/>
      <w:bookmarkEnd w:id="160"/>
      <w:bookmarkEnd w:id="161"/>
    </w:p>
    <w:p>
      <w:pPr>
        <w:pStyle w:val="Subsection"/>
        <w:rPr>
          <w:snapToGrid w:val="0"/>
        </w:rPr>
      </w:pPr>
      <w:r>
        <w:rPr>
          <w:snapToGrid w:val="0"/>
        </w:rPr>
        <w:tab/>
        <w:t>(1)</w:t>
      </w:r>
      <w:r>
        <w:rPr>
          <w:snapToGrid w:val="0"/>
        </w:rPr>
        <w:tab/>
        <w:t xml:space="preserve">Regulations made under section 37 may make provision for or with respect to regulating or prohibiting — </w:t>
      </w:r>
    </w:p>
    <w:p>
      <w:pPr>
        <w:pStyle w:val="Indenta"/>
      </w:pPr>
      <w:r>
        <w:tab/>
        <w:t>(a)</w:t>
      </w:r>
      <w:r>
        <w:tab/>
        <w:t>the conduct of junkets; and</w:t>
      </w:r>
    </w:p>
    <w:p>
      <w:pPr>
        <w:pStyle w:val="Indenta"/>
      </w:pPr>
      <w:r>
        <w:tab/>
        <w:t>(b)</w:t>
      </w:r>
      <w:r>
        <w:tab/>
        <w:t>the offering to persons of inducements, whether in the form of rebates or commissions or otherwise, to conduct or participate in junkets.</w:t>
      </w:r>
    </w:p>
    <w:p>
      <w:pPr>
        <w:pStyle w:val="Subsection"/>
        <w:rPr>
          <w:snapToGrid w:val="0"/>
        </w:rPr>
      </w:pPr>
      <w:r>
        <w:rPr>
          <w:snapToGrid w:val="0"/>
        </w:rPr>
        <w:tab/>
        <w:t>(2)</w:t>
      </w:r>
      <w:r>
        <w:rPr>
          <w:snapToGrid w:val="0"/>
        </w:rPr>
        <w:tab/>
        <w:t xml:space="preserve">Without limiting subsection (1), the regulations may — </w:t>
      </w:r>
    </w:p>
    <w:p>
      <w:pPr>
        <w:pStyle w:val="Indenta"/>
        <w:keepNext/>
      </w:pPr>
      <w:r>
        <w:tab/>
        <w:t>(a)</w:t>
      </w:r>
      <w:r>
        <w:tab/>
        <w:t>impose restrictions on who may conduct junkets or offer inducements;</w:t>
      </w:r>
    </w:p>
    <w:p>
      <w:pPr>
        <w:pStyle w:val="Indenta"/>
      </w:pPr>
      <w:r>
        <w:tab/>
        <w:t>(b)</w:t>
      </w:r>
      <w:r>
        <w:tab/>
        <w:t>require a person to be approved by the Commission before the person may conduct junkets;</w:t>
      </w:r>
    </w:p>
    <w:p>
      <w:pPr>
        <w:pStyle w:val="Indenta"/>
      </w:pPr>
      <w:r>
        <w:tab/>
        <w:t>(c)</w:t>
      </w:r>
      <w:r>
        <w:tab/>
        <w:t>require a person to provide information and documents to the Commission, including photographs, fingerprints and palm prints, for the purposes of being approved by the Commission to conduct junkets;</w:t>
      </w:r>
    </w:p>
    <w:p>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w:t>
      </w:r>
    </w:p>
    <w:p>
      <w:pPr>
        <w:pStyle w:val="Indenta"/>
      </w:pPr>
      <w:r>
        <w:tab/>
        <w:t>(e)</w:t>
      </w:r>
      <w:r>
        <w:tab/>
        <w:t>require any contract or other agreement that relates to the conduct of a junket or the offer of an inducement to be in a form, and contain provisions, approved by the Commission; and</w:t>
      </w:r>
    </w:p>
    <w:p>
      <w:pPr>
        <w:pStyle w:val="Indenta"/>
      </w:pPr>
      <w:r>
        <w:tab/>
        <w:t>(f)</w:t>
      </w:r>
      <w:r>
        <w:tab/>
        <w:t>require the person who conducts a junket, or a casino licensee, to give specified information concerning the conduct of the junket to participants in the junket.</w:t>
      </w:r>
    </w:p>
    <w:p>
      <w:pPr>
        <w:pStyle w:val="Subsection"/>
      </w:pPr>
      <w:r>
        <w:tab/>
        <w:t>(3)</w:t>
      </w:r>
      <w:r>
        <w:tab/>
        <w:t xml:space="preserve">In this section — </w:t>
      </w:r>
    </w:p>
    <w:p>
      <w:pPr>
        <w:pStyle w:val="Defstart"/>
      </w:pPr>
      <w:r>
        <w:tab/>
      </w:r>
      <w:r>
        <w:rPr>
          <w:rStyle w:val="CharDefText"/>
        </w:rPr>
        <w:t>junket</w:t>
      </w:r>
      <w:r>
        <w:t xml:space="preserve"> means any arrangement for the promotion of gaming in a licensed casino by groups of persons, usually involving — </w:t>
      </w:r>
    </w:p>
    <w:p>
      <w:pPr>
        <w:pStyle w:val="Defpara"/>
      </w:pPr>
      <w:r>
        <w:tab/>
        <w:t>(a)</w:t>
      </w:r>
      <w:r>
        <w:tab/>
        <w:t>payment by the casino licensee of a commission to the person who conducts the junket; and</w:t>
      </w:r>
    </w:p>
    <w:p>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pPr>
        <w:pStyle w:val="Footnotesection"/>
      </w:pPr>
      <w:r>
        <w:tab/>
        <w:t>[Section 25A inserted by No. 24 of 1998 s. 21.]</w:t>
      </w:r>
    </w:p>
    <w:p>
      <w:pPr>
        <w:pStyle w:val="Heading5"/>
        <w:rPr>
          <w:snapToGrid w:val="0"/>
        </w:rPr>
      </w:pPr>
      <w:bookmarkStart w:id="163" w:name="_Toc67305409"/>
      <w:bookmarkStart w:id="164" w:name="_Toc102797138"/>
      <w:bookmarkStart w:id="165" w:name="_Toc157836343"/>
      <w:r>
        <w:rPr>
          <w:rStyle w:val="CharSectno"/>
        </w:rPr>
        <w:t>26</w:t>
      </w:r>
      <w:r>
        <w:rPr>
          <w:snapToGrid w:val="0"/>
        </w:rPr>
        <w:t>.</w:t>
      </w:r>
      <w:r>
        <w:rPr>
          <w:snapToGrid w:val="0"/>
        </w:rPr>
        <w:tab/>
      </w:r>
      <w:bookmarkEnd w:id="162"/>
      <w:r>
        <w:rPr>
          <w:snapToGrid w:val="0"/>
        </w:rPr>
        <w:t>Banning people from casinos</w:t>
      </w:r>
      <w:bookmarkEnd w:id="163"/>
      <w:bookmarkEnd w:id="164"/>
      <w:bookmarkEnd w:id="165"/>
      <w:r>
        <w:rPr>
          <w:snapToGrid w:val="0"/>
        </w:rPr>
        <w:t xml:space="preserve"> </w:t>
      </w:r>
    </w:p>
    <w:p>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pPr>
        <w:pStyle w:val="Subsection"/>
        <w:rPr>
          <w:snapToGrid w:val="0"/>
        </w:rPr>
      </w:pPr>
      <w:r>
        <w:rPr>
          <w:snapToGrid w:val="0"/>
        </w:rPr>
        <w:tab/>
        <w:t>(1b)</w:t>
      </w:r>
      <w:r>
        <w:rPr>
          <w:snapToGrid w:val="0"/>
        </w:rPr>
        <w:tab/>
        <w:t>A prohibition made under subsection (1a) remains in force — </w:t>
      </w:r>
    </w:p>
    <w:p>
      <w:pPr>
        <w:pStyle w:val="Indenta"/>
        <w:ind w:left="1610" w:hanging="1610"/>
        <w:rPr>
          <w:snapToGrid w:val="0"/>
        </w:rPr>
      </w:pPr>
      <w:r>
        <w:rPr>
          <w:snapToGrid w:val="0"/>
        </w:rPr>
        <w:tab/>
        <w:t>(a)</w:t>
      </w:r>
      <w:r>
        <w:rPr>
          <w:snapToGrid w:val="0"/>
        </w:rPr>
        <w:tab/>
        <w:t>for a period of 24 hours from the time at which it was so made; or</w:t>
      </w:r>
    </w:p>
    <w:p>
      <w:pPr>
        <w:pStyle w:val="Indenta"/>
        <w:ind w:left="1610" w:hanging="1610"/>
        <w:rPr>
          <w:snapToGrid w:val="0"/>
        </w:rPr>
      </w:pPr>
      <w:r>
        <w:rPr>
          <w:snapToGrid w:val="0"/>
        </w:rPr>
        <w:tab/>
        <w:t>(b)</w:t>
      </w:r>
      <w:r>
        <w:rPr>
          <w:snapToGrid w:val="0"/>
        </w:rPr>
        <w:tab/>
        <w:t>until it is revoked by a person authorised within the meaning of that subsection,</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pPr>
        <w:pStyle w:val="Subsection"/>
        <w:keepNext/>
        <w:rPr>
          <w:snapToGrid w:val="0"/>
        </w:rPr>
      </w:pPr>
      <w:r>
        <w:rPr>
          <w:snapToGrid w:val="0"/>
        </w:rPr>
        <w:tab/>
        <w:t>(4)</w:t>
      </w:r>
      <w:r>
        <w:rPr>
          <w:snapToGrid w:val="0"/>
        </w:rPr>
        <w:tab/>
        <w:t>A direction given under subsection (2) by — </w:t>
      </w:r>
    </w:p>
    <w:p>
      <w:pPr>
        <w:pStyle w:val="Indenta"/>
        <w:rPr>
          <w:snapToGrid w:val="0"/>
        </w:rPr>
      </w:pPr>
      <w:r>
        <w:rPr>
          <w:snapToGrid w:val="0"/>
        </w:rPr>
        <w:tab/>
        <w:t>(a)</w:t>
      </w:r>
      <w:r>
        <w:rPr>
          <w:snapToGrid w:val="0"/>
        </w:rPr>
        <w:tab/>
        <w:t xml:space="preserve">the casino licensee concerned or a person acting under the licensee’s authority remains in force until it is revoked — </w:t>
      </w:r>
    </w:p>
    <w:p>
      <w:pPr>
        <w:pStyle w:val="Indenti"/>
        <w:rPr>
          <w:snapToGrid w:val="0"/>
        </w:rPr>
      </w:pPr>
      <w:r>
        <w:rPr>
          <w:snapToGrid w:val="0"/>
        </w:rPr>
        <w:tab/>
        <w:t>(i)</w:t>
      </w:r>
      <w:r>
        <w:rPr>
          <w:snapToGrid w:val="0"/>
        </w:rPr>
        <w:tab/>
        <w:t>by that casino licensee; or</w:t>
      </w:r>
    </w:p>
    <w:p>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pPr>
        <w:pStyle w:val="Subsection"/>
        <w:spacing w:before="10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pPr>
        <w:pStyle w:val="Subsection"/>
        <w:spacing w:before="10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pPr>
        <w:pStyle w:val="Penstart"/>
      </w:pPr>
      <w:r>
        <w:tab/>
        <w:t>Penalty: $1 000.</w:t>
      </w:r>
    </w:p>
    <w:p>
      <w:pPr>
        <w:pStyle w:val="Subsection"/>
        <w:spacing w:before="10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pPr>
        <w:pStyle w:val="Penstart"/>
      </w:pPr>
      <w:r>
        <w:tab/>
        <w:t>Penalty: $5 000.</w:t>
      </w:r>
    </w:p>
    <w:p>
      <w:pPr>
        <w:pStyle w:val="Subsection"/>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pPr>
        <w:pStyle w:val="Footnotesection"/>
      </w:pPr>
      <w:r>
        <w:tab/>
        <w:t xml:space="preserve">[Section 26 amended by No. 10 of 1985 s. 36; No. 74 of 1987 s. 30; No. 78 of 1995 s. 147; No. 24 of 1998 s. 22.] </w:t>
      </w:r>
    </w:p>
    <w:p>
      <w:pPr>
        <w:pStyle w:val="Heading5"/>
        <w:spacing w:before="160"/>
        <w:rPr>
          <w:spacing w:val="-6"/>
        </w:rPr>
      </w:pPr>
      <w:bookmarkStart w:id="166" w:name="_Toc67305410"/>
      <w:bookmarkStart w:id="167" w:name="_Toc102797139"/>
      <w:bookmarkStart w:id="168" w:name="_Toc157836344"/>
      <w:r>
        <w:rPr>
          <w:rStyle w:val="CharSectno"/>
          <w:spacing w:val="-6"/>
        </w:rPr>
        <w:t>26A</w:t>
      </w:r>
      <w:r>
        <w:rPr>
          <w:spacing w:val="-6"/>
        </w:rPr>
        <w:t>.</w:t>
      </w:r>
      <w:r>
        <w:rPr>
          <w:spacing w:val="-6"/>
        </w:rPr>
        <w:tab/>
        <w:t>Commission may review ban under s. 26</w:t>
      </w:r>
      <w:bookmarkEnd w:id="166"/>
      <w:bookmarkEnd w:id="167"/>
      <w:bookmarkEnd w:id="168"/>
    </w:p>
    <w:p>
      <w:pPr>
        <w:pStyle w:val="Subsection"/>
        <w:spacing w:before="120"/>
      </w:pPr>
      <w:r>
        <w:tab/>
        <w:t>(1)</w:t>
      </w:r>
      <w:r>
        <w:tab/>
        <w:t xml:space="preserve">A </w:t>
      </w:r>
      <w:r>
        <w:rPr>
          <w:snapToGrid w:val="0"/>
        </w:rPr>
        <w:t>person</w:t>
      </w:r>
      <w:r>
        <w:t xml:space="preserve"> (</w:t>
      </w:r>
      <w:r>
        <w:rPr>
          <w:rStyle w:val="CharDefText"/>
        </w:rPr>
        <w:t>the applicant</w:t>
      </w:r>
      <w:r>
        <w:t>) who is given a direction under section 26(2) by the casino licensee concerned or a person acting under the licensee’s authority may apply to the Commission to review the direction.</w:t>
      </w:r>
    </w:p>
    <w:p>
      <w:pPr>
        <w:pStyle w:val="Subsection"/>
      </w:pPr>
      <w:r>
        <w:tab/>
        <w:t>(2)</w:t>
      </w:r>
      <w:r>
        <w:tab/>
        <w:t>A direction that is reviewed under this section remains in force during the period of the review.</w:t>
      </w:r>
    </w:p>
    <w:p>
      <w:pPr>
        <w:pStyle w:val="Subsection"/>
        <w:spacing w:before="120"/>
      </w:pPr>
      <w:r>
        <w:tab/>
        <w:t>(3)</w:t>
      </w:r>
      <w:r>
        <w:tab/>
        <w:t xml:space="preserve">An </w:t>
      </w:r>
      <w:r>
        <w:rPr>
          <w:snapToGrid w:val="0"/>
        </w:rPr>
        <w:t>application</w:t>
      </w:r>
      <w:r>
        <w:t xml:space="preserve"> made under subsection (1) shall be — </w:t>
      </w:r>
    </w:p>
    <w:p>
      <w:pPr>
        <w:pStyle w:val="Indenta"/>
      </w:pPr>
      <w:r>
        <w:tab/>
        <w:t>(a)</w:t>
      </w:r>
      <w:r>
        <w:tab/>
        <w:t>in writing, setting out the grounds of the application; and</w:t>
      </w:r>
    </w:p>
    <w:p>
      <w:pPr>
        <w:pStyle w:val="Indenta"/>
      </w:pPr>
      <w:r>
        <w:tab/>
        <w:t>(b)</w:t>
      </w:r>
      <w:r>
        <w:tab/>
        <w:t>accompanied by the prescribed fee, if any.</w:t>
      </w:r>
    </w:p>
    <w:p>
      <w:pPr>
        <w:pStyle w:val="Subsection"/>
        <w:spacing w:before="120"/>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pPr>
        <w:pStyle w:val="Subsection"/>
        <w:spacing w:before="120"/>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 </w:t>
      </w:r>
    </w:p>
    <w:p>
      <w:pPr>
        <w:pStyle w:val="Indenta"/>
      </w:pPr>
      <w:r>
        <w:tab/>
        <w:t>(a)</w:t>
      </w:r>
      <w:r>
        <w:tab/>
        <w:t>to confirm the direction; or</w:t>
      </w:r>
    </w:p>
    <w:p>
      <w:pPr>
        <w:pStyle w:val="Indenta"/>
      </w:pPr>
      <w:r>
        <w:tab/>
        <w:t>(b)</w:t>
      </w:r>
      <w:r>
        <w:tab/>
        <w:t>to revoke the direction,</w:t>
      </w:r>
    </w:p>
    <w:p>
      <w:pPr>
        <w:pStyle w:val="Subsection"/>
        <w:spacing w:before="120"/>
      </w:pPr>
      <w:r>
        <w:tab/>
      </w:r>
      <w:r>
        <w:tab/>
        <w:t xml:space="preserve">and </w:t>
      </w:r>
      <w:r>
        <w:rPr>
          <w:snapToGrid w:val="0"/>
        </w:rPr>
        <w:t>shall</w:t>
      </w:r>
      <w:r>
        <w:t xml:space="preserve"> give notification in writing of that determination to the applicant and casino licensee concerned.</w:t>
      </w:r>
    </w:p>
    <w:p>
      <w:pPr>
        <w:pStyle w:val="Footnotesection"/>
      </w:pPr>
      <w:r>
        <w:tab/>
        <w:t>[Section 26A inserted by No. 24 of 1998 s. 23.]</w:t>
      </w:r>
    </w:p>
    <w:p>
      <w:pPr>
        <w:pStyle w:val="Heading5"/>
        <w:spacing w:before="160"/>
        <w:rPr>
          <w:snapToGrid w:val="0"/>
        </w:rPr>
      </w:pPr>
      <w:bookmarkStart w:id="169" w:name="_Toc67305411"/>
      <w:bookmarkStart w:id="170" w:name="_Toc102797140"/>
      <w:bookmarkStart w:id="171" w:name="_Toc157836345"/>
      <w:bookmarkStart w:id="172" w:name="_Toc401978021"/>
      <w:r>
        <w:rPr>
          <w:rStyle w:val="CharSectno"/>
        </w:rPr>
        <w:t>27</w:t>
      </w:r>
      <w:r>
        <w:rPr>
          <w:snapToGrid w:val="0"/>
        </w:rPr>
        <w:t>.</w:t>
      </w:r>
      <w:r>
        <w:rPr>
          <w:snapToGrid w:val="0"/>
        </w:rPr>
        <w:tab/>
        <w:t>Children not permitted in casinos except in some cases</w:t>
      </w:r>
      <w:bookmarkEnd w:id="169"/>
      <w:bookmarkEnd w:id="170"/>
      <w:bookmarkEnd w:id="171"/>
      <w:r>
        <w:rPr>
          <w:snapToGrid w:val="0"/>
        </w:rPr>
        <w:t xml:space="preserve"> </w:t>
      </w:r>
      <w:bookmarkEnd w:id="172"/>
    </w:p>
    <w:p>
      <w:pPr>
        <w:pStyle w:val="Subsection"/>
        <w:spacing w:before="120"/>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pPr>
        <w:pStyle w:val="Penstart"/>
      </w:pPr>
      <w:r>
        <w:tab/>
        <w:t>Penalty: $5 000.</w:t>
      </w:r>
    </w:p>
    <w:p>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pPr>
        <w:pStyle w:val="Penstart"/>
        <w:rPr>
          <w:snapToGrid w:val="0"/>
        </w:rPr>
      </w:pPr>
      <w:r>
        <w:rPr>
          <w:snapToGrid w:val="0"/>
        </w:rPr>
        <w:tab/>
        <w:t>Penalty: For a first offence, $500; for a second or subsequent offence, $1 000.</w:t>
      </w:r>
    </w:p>
    <w:p>
      <w:pPr>
        <w:pStyle w:val="Subsection"/>
        <w:rPr>
          <w:snapToGrid w:val="0"/>
        </w:rPr>
      </w:pPr>
      <w:r>
        <w:rPr>
          <w:snapToGrid w:val="0"/>
        </w:rPr>
        <w:tab/>
        <w:t>(3a)</w:t>
      </w:r>
      <w:r>
        <w:rPr>
          <w:snapToGrid w:val="0"/>
        </w:rPr>
        <w:tab/>
        <w:t>A person under the age of 18 years shall not participate in gaming in a licensed casino.</w:t>
      </w:r>
    </w:p>
    <w:p>
      <w:pPr>
        <w:pStyle w:val="Penstart"/>
        <w:rPr>
          <w:snapToGrid w:val="0"/>
        </w:rPr>
      </w:pPr>
      <w:r>
        <w:rPr>
          <w:snapToGrid w:val="0"/>
        </w:rPr>
        <w:tab/>
        <w:t>Penalty: $1 000.</w:t>
      </w:r>
    </w:p>
    <w:p>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 </w:t>
      </w:r>
    </w:p>
    <w:p>
      <w:pPr>
        <w:pStyle w:val="Indenta"/>
        <w:rPr>
          <w:snapToGrid w:val="0"/>
        </w:rPr>
      </w:pPr>
      <w:r>
        <w:rPr>
          <w:snapToGrid w:val="0"/>
        </w:rPr>
        <w:tab/>
        <w:t>(a)</w:t>
      </w:r>
      <w:r>
        <w:rPr>
          <w:snapToGrid w:val="0"/>
        </w:rPr>
        <w:tab/>
        <w:t>employment in connection with the provision of amenities ancillary to the gaming therein; or</w:t>
      </w:r>
    </w:p>
    <w:p>
      <w:pPr>
        <w:pStyle w:val="Indenta"/>
        <w:rPr>
          <w:snapToGrid w:val="0"/>
        </w:rPr>
      </w:pPr>
      <w:r>
        <w:rPr>
          <w:snapToGrid w:val="0"/>
        </w:rPr>
        <w:tab/>
        <w:t>(b)</w:t>
      </w:r>
      <w:r>
        <w:rPr>
          <w:snapToGrid w:val="0"/>
        </w:rPr>
        <w:tab/>
        <w:t>obtaining a meal, if that person is accompanied by another person who is over the age of 18 years and is — </w:t>
      </w:r>
    </w:p>
    <w:p>
      <w:pPr>
        <w:pStyle w:val="Indenti"/>
        <w:rPr>
          <w:snapToGrid w:val="0"/>
        </w:rPr>
      </w:pPr>
      <w:r>
        <w:rPr>
          <w:snapToGrid w:val="0"/>
        </w:rPr>
        <w:tab/>
        <w:t>(i)</w:t>
      </w:r>
      <w:r>
        <w:rPr>
          <w:snapToGrid w:val="0"/>
        </w:rPr>
        <w:tab/>
        <w:t>the spouse or parent of;</w:t>
      </w:r>
    </w:p>
    <w:p>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pPr>
        <w:pStyle w:val="Indenti"/>
        <w:keepNext/>
        <w:rPr>
          <w:snapToGrid w:val="0"/>
        </w:rPr>
      </w:pPr>
      <w:r>
        <w:rPr>
          <w:snapToGrid w:val="0"/>
        </w:rPr>
        <w:tab/>
        <w:t>(iii)</w:t>
      </w:r>
      <w:r>
        <w:rPr>
          <w:snapToGrid w:val="0"/>
        </w:rPr>
        <w:tab/>
        <w:t>the guardian of,</w:t>
      </w:r>
    </w:p>
    <w:p>
      <w:pPr>
        <w:pStyle w:val="Indenta"/>
        <w:keepNext/>
        <w:rPr>
          <w:snapToGrid w:val="0"/>
        </w:rPr>
      </w:pPr>
      <w:r>
        <w:rPr>
          <w:snapToGrid w:val="0"/>
        </w:rPr>
        <w:tab/>
      </w:r>
      <w:r>
        <w:rPr>
          <w:snapToGrid w:val="0"/>
        </w:rPr>
        <w:tab/>
        <w:t>the person under the age of 18 years,</w:t>
      </w:r>
    </w:p>
    <w:p>
      <w:pPr>
        <w:pStyle w:val="Subsection"/>
        <w:keepNext/>
        <w:keepLines/>
        <w:rPr>
          <w:snapToGrid w:val="0"/>
        </w:rPr>
      </w:pPr>
      <w:r>
        <w:rPr>
          <w:snapToGrid w:val="0"/>
        </w:rPr>
        <w:tab/>
      </w:r>
      <w:r>
        <w:rPr>
          <w:snapToGrid w:val="0"/>
        </w:rPr>
        <w:tab/>
        <w:t>and the person under the age of 18 years does not participate in gaming in that licensed casino.</w:t>
      </w:r>
    </w:p>
    <w:p>
      <w:pPr>
        <w:pStyle w:val="Footnotesection"/>
        <w:keepLines w:val="0"/>
      </w:pPr>
      <w:r>
        <w:tab/>
        <w:t xml:space="preserve">[Section 27 amended by No. 10 of 1985 s. 37; No. 44 of 1987 s. 14; No. 78 of 1995 s. 147; No. 24 of 1998 s. 24; No. 84 of 2004 s. 80 and 82.] </w:t>
      </w:r>
    </w:p>
    <w:p>
      <w:pPr>
        <w:pStyle w:val="Heading5"/>
      </w:pPr>
      <w:bookmarkStart w:id="173" w:name="_Toc67305412"/>
      <w:bookmarkStart w:id="174" w:name="_Toc102797141"/>
      <w:bookmarkStart w:id="175" w:name="_Toc157836346"/>
      <w:r>
        <w:rPr>
          <w:rStyle w:val="CharSectno"/>
        </w:rPr>
        <w:t>27A</w:t>
      </w:r>
      <w:r>
        <w:t>.</w:t>
      </w:r>
      <w:r>
        <w:tab/>
        <w:t>Proof of age may be required</w:t>
      </w:r>
      <w:bookmarkEnd w:id="173"/>
      <w:bookmarkEnd w:id="174"/>
      <w:bookmarkEnd w:id="175"/>
    </w:p>
    <w:p>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pPr>
        <w:pStyle w:val="Subsection"/>
      </w:pPr>
      <w:r>
        <w:tab/>
        <w:t>(2)</w:t>
      </w:r>
      <w:r>
        <w:tab/>
        <w:t xml:space="preserve">If the stated age appears to the authorised person to be false, the authorised person may require the person — </w:t>
      </w:r>
    </w:p>
    <w:p>
      <w:pPr>
        <w:pStyle w:val="Indenta"/>
      </w:pPr>
      <w:r>
        <w:tab/>
        <w:t>(a)</w:t>
      </w:r>
      <w:r>
        <w:tab/>
        <w:t>to produce evidence of his or her age; or</w:t>
      </w:r>
    </w:p>
    <w:p>
      <w:pPr>
        <w:pStyle w:val="Indenta"/>
      </w:pPr>
      <w:r>
        <w:tab/>
        <w:t>(b)</w:t>
      </w:r>
      <w:r>
        <w:tab/>
        <w:t>if the person is unable or refuses to produce such evidence, to leave the licensed casino.</w:t>
      </w:r>
    </w:p>
    <w:p>
      <w:pPr>
        <w:pStyle w:val="Subsection"/>
      </w:pPr>
      <w:r>
        <w:tab/>
        <w:t>(3)</w:t>
      </w:r>
      <w:r>
        <w:tab/>
        <w:t>If a person fails to comply with a requirement under subsection (2)(b), an authorised person may with the use of reasonable force remove the person from the licensed casino.</w:t>
      </w:r>
    </w:p>
    <w:p>
      <w:pPr>
        <w:pStyle w:val="Subsection"/>
        <w:keepNext/>
      </w:pPr>
      <w:r>
        <w:tab/>
        <w:t>(4)</w:t>
      </w:r>
      <w:r>
        <w:tab/>
        <w:t xml:space="preserve">A person who — </w:t>
      </w:r>
    </w:p>
    <w:p>
      <w:pPr>
        <w:pStyle w:val="Indenta"/>
      </w:pPr>
      <w:r>
        <w:tab/>
        <w:t>(a)</w:t>
      </w:r>
      <w:r>
        <w:tab/>
        <w:t>in response to a requirement under subsection (2)(a), makes a statement, or produces a document or another form of evidence, that is false or misleading in any material respect; or</w:t>
      </w:r>
    </w:p>
    <w:p>
      <w:pPr>
        <w:pStyle w:val="Indenta"/>
      </w:pPr>
      <w:r>
        <w:tab/>
        <w:t>(b)</w:t>
      </w:r>
      <w:r>
        <w:tab/>
        <w:t>fails, without reasonable excuse, to comply with a requirement under subsection (2)(b),</w:t>
      </w:r>
    </w:p>
    <w:p>
      <w:pPr>
        <w:pStyle w:val="Subsection"/>
      </w:pPr>
      <w:r>
        <w:tab/>
      </w:r>
      <w:r>
        <w:tab/>
        <w:t>commits an offence.</w:t>
      </w:r>
    </w:p>
    <w:p>
      <w:pPr>
        <w:pStyle w:val="Penstart"/>
      </w:pPr>
      <w:r>
        <w:tab/>
        <w:t>Penalty: $1 000.</w:t>
      </w:r>
    </w:p>
    <w:p>
      <w:pPr>
        <w:pStyle w:val="Subsection"/>
        <w:keepNext/>
      </w:pPr>
      <w:r>
        <w:tab/>
        <w:t>(5)</w:t>
      </w:r>
      <w:r>
        <w:tab/>
        <w:t xml:space="preserve">In this section — </w:t>
      </w:r>
    </w:p>
    <w:p>
      <w:pPr>
        <w:pStyle w:val="Defstart"/>
        <w:keepNext/>
      </w:pPr>
      <w:r>
        <w:tab/>
      </w:r>
      <w:r>
        <w:rPr>
          <w:rStyle w:val="CharDefText"/>
        </w:rPr>
        <w:t>authorised person</w:t>
      </w:r>
      <w:r>
        <w:t xml:space="preserve"> means — </w:t>
      </w:r>
    </w:p>
    <w:p>
      <w:pPr>
        <w:pStyle w:val="Defpara"/>
      </w:pPr>
      <w:r>
        <w:tab/>
        <w:t>(a)</w:t>
      </w:r>
      <w:r>
        <w:tab/>
        <w:t>the casino licensee concerned or a person acting under the licensee’s authority;</w:t>
      </w:r>
    </w:p>
    <w:p>
      <w:pPr>
        <w:pStyle w:val="Defpara"/>
      </w:pPr>
      <w:r>
        <w:tab/>
        <w:t>(b)</w:t>
      </w:r>
      <w:r>
        <w:tab/>
        <w:t>an officer of the Commission; or</w:t>
      </w:r>
    </w:p>
    <w:p>
      <w:pPr>
        <w:pStyle w:val="Defpara"/>
      </w:pPr>
      <w:r>
        <w:tab/>
        <w:t>(c)</w:t>
      </w:r>
      <w:r>
        <w:tab/>
        <w:t>a member of the Police Force.</w:t>
      </w:r>
    </w:p>
    <w:p>
      <w:pPr>
        <w:pStyle w:val="Footnotesection"/>
      </w:pPr>
      <w:r>
        <w:tab/>
        <w:t>[Section 27A inserted by No. 24 of 1998 s. 25.]</w:t>
      </w:r>
    </w:p>
    <w:p>
      <w:pPr>
        <w:pStyle w:val="Heading5"/>
        <w:rPr>
          <w:snapToGrid w:val="0"/>
        </w:rPr>
      </w:pPr>
      <w:bookmarkStart w:id="176" w:name="_Toc401978022"/>
      <w:bookmarkStart w:id="177" w:name="_Toc67305413"/>
      <w:bookmarkStart w:id="178" w:name="_Toc102797142"/>
      <w:bookmarkStart w:id="179" w:name="_Toc157836347"/>
      <w:r>
        <w:rPr>
          <w:rStyle w:val="CharSectno"/>
        </w:rPr>
        <w:t>28</w:t>
      </w:r>
      <w:r>
        <w:rPr>
          <w:snapToGrid w:val="0"/>
        </w:rPr>
        <w:t>.</w:t>
      </w:r>
      <w:r>
        <w:rPr>
          <w:snapToGrid w:val="0"/>
        </w:rPr>
        <w:tab/>
      </w:r>
      <w:bookmarkEnd w:id="176"/>
      <w:r>
        <w:rPr>
          <w:snapToGrid w:val="0"/>
        </w:rPr>
        <w:t>Entry powers to licensed casinos of police and others</w:t>
      </w:r>
      <w:bookmarkEnd w:id="177"/>
      <w:bookmarkEnd w:id="178"/>
      <w:bookmarkEnd w:id="179"/>
    </w:p>
    <w:p>
      <w:pPr>
        <w:pStyle w:val="Subsection"/>
        <w:rPr>
          <w:snapToGrid w:val="0"/>
        </w:rPr>
      </w:pPr>
      <w:r>
        <w:rPr>
          <w:snapToGrid w:val="0"/>
        </w:rPr>
        <w:tab/>
        <w:t>(1)</w:t>
      </w:r>
      <w:r>
        <w:rPr>
          <w:snapToGrid w:val="0"/>
        </w:rPr>
        <w:tab/>
        <w:t>A member of the Police Force acting in the course of police duty — </w:t>
      </w:r>
    </w:p>
    <w:p>
      <w:pPr>
        <w:pStyle w:val="Indenta"/>
        <w:rPr>
          <w:snapToGrid w:val="0"/>
        </w:rPr>
      </w:pPr>
      <w:r>
        <w:rPr>
          <w:snapToGrid w:val="0"/>
        </w:rPr>
        <w:tab/>
        <w:t>(a)</w:t>
      </w:r>
      <w:r>
        <w:rPr>
          <w:snapToGrid w:val="0"/>
        </w:rPr>
        <w:tab/>
        <w:t>may, without warrant, enter into any part of a licensed casino to which the public has access; or</w:t>
      </w:r>
    </w:p>
    <w:p>
      <w:pPr>
        <w:pStyle w:val="Indenta"/>
        <w:rPr>
          <w:snapToGrid w:val="0"/>
        </w:rPr>
      </w:pPr>
      <w:r>
        <w:rPr>
          <w:snapToGrid w:val="0"/>
        </w:rPr>
        <w:tab/>
        <w:t>(b)</w:t>
      </w:r>
      <w:r>
        <w:rPr>
          <w:snapToGrid w:val="0"/>
        </w:rPr>
        <w:tab/>
        <w:t>being a police officer of or above the rank of inspector or who, not being of or above that rank, is so authorised by — </w:t>
      </w:r>
    </w:p>
    <w:p>
      <w:pPr>
        <w:pStyle w:val="Indenti"/>
        <w:rPr>
          <w:snapToGrid w:val="0"/>
        </w:rPr>
      </w:pPr>
      <w:r>
        <w:rPr>
          <w:snapToGrid w:val="0"/>
        </w:rPr>
        <w:tab/>
        <w:t>(i)</w:t>
      </w:r>
      <w:r>
        <w:rPr>
          <w:snapToGrid w:val="0"/>
        </w:rPr>
        <w:tab/>
        <w:t>another police officer of or above that rank;</w:t>
      </w:r>
    </w:p>
    <w:p>
      <w:pPr>
        <w:pStyle w:val="Indenti"/>
        <w:rPr>
          <w:snapToGrid w:val="0"/>
        </w:rPr>
      </w:pPr>
      <w:r>
        <w:rPr>
          <w:snapToGrid w:val="0"/>
        </w:rPr>
        <w:tab/>
        <w:t>(ii)</w:t>
      </w:r>
      <w:r>
        <w:rPr>
          <w:snapToGrid w:val="0"/>
        </w:rPr>
        <w:tab/>
        <w:t>an officer of the Commission; or</w:t>
      </w:r>
    </w:p>
    <w:p>
      <w:pPr>
        <w:pStyle w:val="Indenti"/>
        <w:keepNext/>
        <w:rPr>
          <w:snapToGrid w:val="0"/>
        </w:rPr>
      </w:pPr>
      <w:r>
        <w:rPr>
          <w:snapToGrid w:val="0"/>
        </w:rPr>
        <w:tab/>
        <w:t>(iii)</w:t>
      </w:r>
      <w:r>
        <w:rPr>
          <w:snapToGrid w:val="0"/>
        </w:rPr>
        <w:tab/>
        <w:t>a person ostensibly acting on behalf of the casino licensee,</w:t>
      </w:r>
    </w:p>
    <w:p>
      <w:pPr>
        <w:pStyle w:val="Indenta"/>
        <w:keepNext/>
        <w:rPr>
          <w:snapToGrid w:val="0"/>
        </w:rPr>
      </w:pPr>
      <w:r>
        <w:rPr>
          <w:snapToGrid w:val="0"/>
        </w:rPr>
        <w:tab/>
      </w:r>
      <w:r>
        <w:rPr>
          <w:snapToGrid w:val="0"/>
        </w:rPr>
        <w:tab/>
        <w:t>may, without warrant, enter any part of a licensed casino to which the public does not have access,</w:t>
      </w:r>
    </w:p>
    <w:p>
      <w:pPr>
        <w:pStyle w:val="Subsection"/>
        <w:rPr>
          <w:snapToGrid w:val="0"/>
        </w:rPr>
      </w:pPr>
      <w:r>
        <w:rPr>
          <w:snapToGrid w:val="0"/>
        </w:rPr>
        <w:tab/>
      </w:r>
      <w:r>
        <w:rPr>
          <w:snapToGrid w:val="0"/>
        </w:rPr>
        <w:tab/>
        <w:t>and may remain there for the purpose of discharging that duty.</w:t>
      </w:r>
    </w:p>
    <w:p>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pPr>
        <w:pStyle w:val="Footnotesection"/>
      </w:pPr>
      <w:r>
        <w:tab/>
        <w:t xml:space="preserve">[Section 28 amended by No. 10 of 1985 s. 38; No. 74 of 1987 s. 31; No. 73 of 1994 s. 4.] </w:t>
      </w:r>
    </w:p>
    <w:p>
      <w:pPr>
        <w:pStyle w:val="Heading5"/>
        <w:rPr>
          <w:snapToGrid w:val="0"/>
        </w:rPr>
      </w:pPr>
      <w:bookmarkStart w:id="180" w:name="_Toc401978023"/>
      <w:bookmarkStart w:id="181" w:name="_Toc67305414"/>
      <w:bookmarkStart w:id="182" w:name="_Toc102797143"/>
      <w:bookmarkStart w:id="183" w:name="_Toc157836348"/>
      <w:r>
        <w:rPr>
          <w:rStyle w:val="CharSectno"/>
        </w:rPr>
        <w:t>29</w:t>
      </w:r>
      <w:r>
        <w:rPr>
          <w:snapToGrid w:val="0"/>
        </w:rPr>
        <w:t>.</w:t>
      </w:r>
      <w:bookmarkEnd w:id="180"/>
      <w:r>
        <w:rPr>
          <w:snapToGrid w:val="0"/>
        </w:rPr>
        <w:tab/>
        <w:t>Casino gaming licence may contain conditions about casino staff</w:t>
      </w:r>
      <w:bookmarkEnd w:id="181"/>
      <w:bookmarkEnd w:id="182"/>
      <w:bookmarkEnd w:id="183"/>
      <w:r>
        <w:rPr>
          <w:snapToGrid w:val="0"/>
        </w:rPr>
        <w:t xml:space="preserve"> </w:t>
      </w:r>
    </w:p>
    <w:p>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pPr>
        <w:pStyle w:val="Footnotesection"/>
      </w:pPr>
      <w:r>
        <w:tab/>
        <w:t>[Section 29 amended by No. 24 of 1998 s. 26.]</w:t>
      </w:r>
    </w:p>
    <w:p>
      <w:pPr>
        <w:pStyle w:val="Heading2"/>
      </w:pPr>
      <w:bookmarkStart w:id="184" w:name="_Toc68336834"/>
      <w:bookmarkStart w:id="185" w:name="_Toc68336900"/>
      <w:bookmarkStart w:id="186" w:name="_Toc68507337"/>
      <w:bookmarkStart w:id="187" w:name="_Toc68508169"/>
      <w:bookmarkStart w:id="188" w:name="_Toc71452167"/>
      <w:bookmarkStart w:id="189" w:name="_Toc95725645"/>
      <w:bookmarkStart w:id="190" w:name="_Toc96939134"/>
      <w:bookmarkStart w:id="191" w:name="_Toc102797144"/>
      <w:bookmarkStart w:id="192" w:name="_Toc157323527"/>
      <w:bookmarkStart w:id="193" w:name="_Toc157323682"/>
      <w:bookmarkStart w:id="194" w:name="_Toc157836349"/>
      <w:r>
        <w:rPr>
          <w:rStyle w:val="CharPartNo"/>
        </w:rPr>
        <w:t>Part VA</w:t>
      </w:r>
      <w:r>
        <w:t xml:space="preserve"> — </w:t>
      </w:r>
      <w:r>
        <w:rPr>
          <w:rStyle w:val="CharPartText"/>
        </w:rPr>
        <w:t>Controlled contracts</w:t>
      </w:r>
      <w:bookmarkEnd w:id="184"/>
      <w:bookmarkEnd w:id="185"/>
      <w:bookmarkEnd w:id="186"/>
      <w:bookmarkEnd w:id="187"/>
      <w:bookmarkEnd w:id="188"/>
      <w:bookmarkEnd w:id="189"/>
      <w:bookmarkEnd w:id="190"/>
      <w:bookmarkEnd w:id="191"/>
      <w:bookmarkEnd w:id="192"/>
      <w:bookmarkEnd w:id="193"/>
      <w:bookmarkEnd w:id="194"/>
    </w:p>
    <w:p>
      <w:pPr>
        <w:pStyle w:val="Footnoteheading"/>
        <w:tabs>
          <w:tab w:val="left" w:pos="851"/>
        </w:tabs>
      </w:pPr>
      <w:r>
        <w:tab/>
        <w:t>[Heading inserted by No. 24 of 1998 s. 27.]</w:t>
      </w:r>
    </w:p>
    <w:p>
      <w:pPr>
        <w:pStyle w:val="Heading5"/>
      </w:pPr>
      <w:bookmarkStart w:id="195" w:name="_Toc67305415"/>
      <w:bookmarkStart w:id="196" w:name="_Toc102797145"/>
      <w:bookmarkStart w:id="197" w:name="_Toc157836350"/>
      <w:r>
        <w:rPr>
          <w:rStyle w:val="CharSectno"/>
        </w:rPr>
        <w:t>29A</w:t>
      </w:r>
      <w:r>
        <w:t>.</w:t>
      </w:r>
      <w:r>
        <w:tab/>
        <w:t>Interpretation</w:t>
      </w:r>
      <w:bookmarkEnd w:id="195"/>
      <w:bookmarkEnd w:id="196"/>
      <w:bookmarkEnd w:id="197"/>
    </w:p>
    <w:p>
      <w:pPr>
        <w:pStyle w:val="Subsection"/>
      </w:pPr>
      <w:r>
        <w:tab/>
      </w:r>
      <w:r>
        <w:tab/>
        <w:t xml:space="preserve">In this Part — </w:t>
      </w:r>
    </w:p>
    <w:p>
      <w:pPr>
        <w:pStyle w:val="Defstart"/>
      </w:pPr>
      <w:r>
        <w:tab/>
      </w:r>
      <w:r>
        <w:rPr>
          <w:rStyle w:val="CharDefText"/>
        </w:rPr>
        <w:t>contract</w:t>
      </w:r>
      <w:r>
        <w:t xml:space="preserve"> includes any kind of agreement or arrangement;</w:t>
      </w:r>
    </w:p>
    <w:p>
      <w:pPr>
        <w:pStyle w:val="Defstart"/>
      </w:pPr>
      <w:r>
        <w:tab/>
      </w:r>
      <w:r>
        <w:rPr>
          <w:rStyle w:val="CharDefText"/>
        </w:rPr>
        <w:t>controlled contract</w:t>
      </w:r>
      <w:r>
        <w:t xml:space="preserve"> means a contract — </w:t>
      </w:r>
    </w:p>
    <w:p>
      <w:pPr>
        <w:pStyle w:val="Defpara"/>
      </w:pPr>
      <w:r>
        <w:tab/>
        <w:t>(a)</w:t>
      </w:r>
      <w:r>
        <w:tab/>
        <w:t>that relates wholly or partly to the supply of goods or services to a licensed casino or to any other matter that is prescribed as a controlled matter for the purposes of this definition; and</w:t>
      </w:r>
    </w:p>
    <w:p>
      <w:pPr>
        <w:pStyle w:val="Defpara"/>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pPr>
        <w:pStyle w:val="Defstart"/>
      </w:pPr>
      <w:r>
        <w:tab/>
        <w:t xml:space="preserve">but does not include — </w:t>
      </w:r>
    </w:p>
    <w:p>
      <w:pPr>
        <w:pStyle w:val="Defpara"/>
      </w:pPr>
      <w:r>
        <w:tab/>
        <w:t>(c)</w:t>
      </w:r>
      <w:r>
        <w:tab/>
        <w:t>a contract that relates solely to the construction of a casino or to the alteration of premises used or to be used as a casino;</w:t>
      </w:r>
    </w:p>
    <w:p>
      <w:pPr>
        <w:pStyle w:val="Defpara"/>
      </w:pPr>
      <w:r>
        <w:tab/>
        <w:t>(d)</w:t>
      </w:r>
      <w:r>
        <w:tab/>
        <w:t>a casino complex agreement;</w:t>
      </w:r>
    </w:p>
    <w:p>
      <w:pPr>
        <w:pStyle w:val="Defpara"/>
      </w:pPr>
      <w:r>
        <w:tab/>
        <w:t>(e)</w:t>
      </w:r>
      <w:r>
        <w:tab/>
        <w:t>a lease; or</w:t>
      </w:r>
    </w:p>
    <w:p>
      <w:pPr>
        <w:pStyle w:val="Defpara"/>
      </w:pPr>
      <w:r>
        <w:tab/>
        <w:t>(f)</w:t>
      </w:r>
      <w:r>
        <w:tab/>
        <w:t>a contract of a class that is prescribed as exempt from this definition.</w:t>
      </w:r>
    </w:p>
    <w:p>
      <w:pPr>
        <w:pStyle w:val="Footnotesection"/>
      </w:pPr>
      <w:r>
        <w:tab/>
        <w:t>[Section 29A inserted by No. 24 of 1998 s. 27.]</w:t>
      </w:r>
    </w:p>
    <w:p>
      <w:pPr>
        <w:pStyle w:val="Heading5"/>
      </w:pPr>
      <w:bookmarkStart w:id="198" w:name="_Toc67305416"/>
      <w:bookmarkStart w:id="199" w:name="_Toc102797146"/>
      <w:bookmarkStart w:id="200" w:name="_Toc157836351"/>
      <w:r>
        <w:rPr>
          <w:rStyle w:val="CharSectno"/>
        </w:rPr>
        <w:t>29B</w:t>
      </w:r>
      <w:r>
        <w:t>.</w:t>
      </w:r>
      <w:r>
        <w:tab/>
        <w:t>Requirements for controlled contracts</w:t>
      </w:r>
      <w:bookmarkEnd w:id="198"/>
      <w:bookmarkEnd w:id="199"/>
      <w:bookmarkEnd w:id="200"/>
    </w:p>
    <w:p>
      <w:pPr>
        <w:pStyle w:val="Subsection"/>
        <w:keepNext/>
      </w:pPr>
      <w:r>
        <w:tab/>
        <w:t>(1)</w:t>
      </w:r>
      <w:r>
        <w:tab/>
        <w:t xml:space="preserve">A casino licensee shall not enter into or become a party to a controlled contract, or the variation of a controlled contract, relating to the licensed casino concerned unless — </w:t>
      </w:r>
    </w:p>
    <w:p>
      <w:pPr>
        <w:pStyle w:val="Indenta"/>
      </w:pPr>
      <w:r>
        <w:tab/>
        <w:t>(a)</w:t>
      </w:r>
      <w:r>
        <w:tab/>
        <w:t>the casino licensee has given to the Commission notice in writing of the details of the proposed contract or variation of contract (</w:t>
      </w:r>
      <w:r>
        <w:rPr>
          <w:rStyle w:val="CharDefText"/>
        </w:rPr>
        <w:t>the contract notice</w:t>
      </w:r>
      <w:r>
        <w:t>); and</w:t>
      </w:r>
    </w:p>
    <w:p>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pPr>
        <w:pStyle w:val="Subsection"/>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pPr>
        <w:pStyle w:val="Subsection"/>
      </w:pPr>
      <w:r>
        <w:tab/>
        <w:t>(3)</w:t>
      </w:r>
      <w:r>
        <w:tab/>
        <w:t>The period for investigation cannot be extended unless the Commission considers that the special circumstances of the case make the extension necessary or desirable and that the extension is in the public interest.</w:t>
      </w:r>
    </w:p>
    <w:p>
      <w:pPr>
        <w:pStyle w:val="Subsection"/>
      </w:pPr>
      <w:r>
        <w:tab/>
        <w:t>(4)</w:t>
      </w:r>
      <w:r>
        <w:tab/>
        <w:t>The period for investigation can be extended more than once but cannot in any case be extended to more than 6 months after the contract notice is given to the Commission.</w:t>
      </w:r>
    </w:p>
    <w:p>
      <w:pPr>
        <w:pStyle w:val="Subsection"/>
      </w:pPr>
      <w:r>
        <w:tab/>
        <w:t>(5)</w:t>
      </w:r>
      <w:r>
        <w:tab/>
        <w:t>A casino gaming licence is subject to the condition that the casino licensee complies with this section, but a failure to comply with this section does not affect the validity of any contract or variation of contract.</w:t>
      </w:r>
    </w:p>
    <w:p>
      <w:pPr>
        <w:pStyle w:val="Subsection"/>
      </w:pPr>
      <w:r>
        <w:tab/>
        <w:t>(6)</w:t>
      </w:r>
      <w:r>
        <w:tab/>
        <w:t xml:space="preserve">In subsection (3) — </w:t>
      </w:r>
    </w:p>
    <w:p>
      <w:pPr>
        <w:pStyle w:val="Defstart"/>
      </w:pPr>
      <w:r>
        <w:tab/>
      </w:r>
      <w:r>
        <w:rPr>
          <w:rStyle w:val="CharDefText"/>
        </w:rPr>
        <w:t>special circumstances</w:t>
      </w:r>
      <w:r>
        <w:t xml:space="preserve"> includes the complex nature of the inquiries that need to be made and the need to consult with other agencies.</w:t>
      </w:r>
    </w:p>
    <w:p>
      <w:pPr>
        <w:pStyle w:val="Footnotesection"/>
      </w:pPr>
      <w:r>
        <w:tab/>
        <w:t>[Section 29B inserted by No. 24 of 1998 s. 27.]</w:t>
      </w:r>
    </w:p>
    <w:p>
      <w:pPr>
        <w:pStyle w:val="Heading5"/>
      </w:pPr>
      <w:bookmarkStart w:id="201" w:name="_Toc67305417"/>
      <w:bookmarkStart w:id="202" w:name="_Toc102797147"/>
      <w:bookmarkStart w:id="203" w:name="_Toc157836352"/>
      <w:r>
        <w:rPr>
          <w:rStyle w:val="CharSectno"/>
        </w:rPr>
        <w:t>29C</w:t>
      </w:r>
      <w:r>
        <w:t>.</w:t>
      </w:r>
      <w:r>
        <w:tab/>
        <w:t>Commission may require controlled contract to be terminated</w:t>
      </w:r>
      <w:bookmarkEnd w:id="201"/>
      <w:bookmarkEnd w:id="202"/>
      <w:bookmarkEnd w:id="203"/>
    </w:p>
    <w:p>
      <w:pPr>
        <w:pStyle w:val="Subsection"/>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pPr>
        <w:pStyle w:val="Subsection"/>
      </w:pPr>
      <w:r>
        <w:tab/>
        <w:t>(2)</w:t>
      </w:r>
      <w:r>
        <w:tab/>
        <w:t>The notice shall specify the reasons why the Commission considers that it is not in the public interest for the contract to remain in force.</w:t>
      </w:r>
    </w:p>
    <w:p>
      <w:pPr>
        <w:pStyle w:val="Subsection"/>
      </w:pPr>
      <w:r>
        <w:tab/>
        <w:t>(3)</w:t>
      </w:r>
      <w:r>
        <w:tab/>
        <w:t>A person served with a notice under subsection (1) may, within the period referred to in that subsection, serve on the Commission submissions in writing showing cause why the contract should not be terminated.</w:t>
      </w:r>
    </w:p>
    <w:p>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pPr>
        <w:pStyle w:val="Subsection"/>
      </w:pPr>
      <w:r>
        <w:tab/>
        <w:t>(5)</w:t>
      </w:r>
      <w:r>
        <w:tab/>
        <w:t>If the contract is not terminated within the period specified in the notice, it is terminated at the expiry of that period by force of this subsection.</w:t>
      </w:r>
    </w:p>
    <w:p>
      <w:pPr>
        <w:pStyle w:val="Footnotesection"/>
      </w:pPr>
      <w:r>
        <w:tab/>
        <w:t>[Section 29C inserted by No. 24 of 1998 s. 27.]</w:t>
      </w:r>
    </w:p>
    <w:p>
      <w:pPr>
        <w:pStyle w:val="Heading5"/>
      </w:pPr>
      <w:bookmarkStart w:id="204" w:name="_Toc67305418"/>
      <w:bookmarkStart w:id="205" w:name="_Toc102797148"/>
      <w:bookmarkStart w:id="206" w:name="_Toc157836353"/>
      <w:r>
        <w:rPr>
          <w:rStyle w:val="CharSectno"/>
        </w:rPr>
        <w:t>29D</w:t>
      </w:r>
      <w:r>
        <w:t>.</w:t>
      </w:r>
      <w:r>
        <w:tab/>
        <w:t>Effect of termination</w:t>
      </w:r>
      <w:bookmarkEnd w:id="204"/>
      <w:bookmarkEnd w:id="205"/>
      <w:bookmarkEnd w:id="206"/>
    </w:p>
    <w:p>
      <w:pPr>
        <w:pStyle w:val="Subsection"/>
      </w:pPr>
      <w:r>
        <w:tab/>
      </w:r>
      <w:r>
        <w:tab/>
        <w:t xml:space="preserve">If a contract is terminated under section 29C — </w:t>
      </w:r>
    </w:p>
    <w:p>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w:t>
      </w:r>
    </w:p>
    <w:p>
      <w:pPr>
        <w:pStyle w:val="Indenta"/>
      </w:pPr>
      <w:r>
        <w:tab/>
        <w:t>(b)</w:t>
      </w:r>
      <w:r>
        <w:tab/>
        <w:t>no liability for breach of contract is incurred by a person who was a party to the contract by reason only of that termination; and</w:t>
      </w:r>
    </w:p>
    <w:p>
      <w:pPr>
        <w:pStyle w:val="Indenta"/>
      </w:pPr>
      <w:r>
        <w:tab/>
        <w:t>(c)</w:t>
      </w:r>
      <w:r>
        <w:tab/>
        <w:t>neither the Crown nor the Commission incurs any liability by reason of that termination.</w:t>
      </w:r>
    </w:p>
    <w:p>
      <w:pPr>
        <w:pStyle w:val="Footnotesection"/>
      </w:pPr>
      <w:r>
        <w:tab/>
        <w:t>[Section 29D inserted by No. 24 of 1998 s. 27.]</w:t>
      </w:r>
    </w:p>
    <w:p>
      <w:pPr>
        <w:pStyle w:val="Heading5"/>
      </w:pPr>
      <w:bookmarkStart w:id="207" w:name="_Toc67305419"/>
      <w:bookmarkStart w:id="208" w:name="_Toc102797149"/>
      <w:bookmarkStart w:id="209" w:name="_Toc157836354"/>
      <w:r>
        <w:rPr>
          <w:rStyle w:val="CharSectno"/>
        </w:rPr>
        <w:t>29E</w:t>
      </w:r>
      <w:r>
        <w:t>.</w:t>
      </w:r>
      <w:r>
        <w:tab/>
        <w:t>Parties not to give further effect to terminated contract</w:t>
      </w:r>
      <w:bookmarkEnd w:id="207"/>
      <w:bookmarkEnd w:id="208"/>
      <w:bookmarkEnd w:id="209"/>
    </w:p>
    <w:p>
      <w:pPr>
        <w:pStyle w:val="Subsection"/>
      </w:pPr>
      <w:r>
        <w:tab/>
      </w:r>
      <w:r>
        <w:tab/>
        <w:t>A person who was a party to a contract terminated under section 29C shall not give any further effect to any part of the contract.</w:t>
      </w:r>
    </w:p>
    <w:p>
      <w:pPr>
        <w:pStyle w:val="Penstart"/>
      </w:pPr>
      <w:r>
        <w:tab/>
        <w:t>Penalty: $10 000.</w:t>
      </w:r>
    </w:p>
    <w:p>
      <w:pPr>
        <w:pStyle w:val="Footnotesection"/>
      </w:pPr>
      <w:r>
        <w:tab/>
        <w:t>[Section 29E inserted by No. 24 of 1998 s. 27.]</w:t>
      </w:r>
    </w:p>
    <w:p>
      <w:pPr>
        <w:pStyle w:val="Heading2"/>
      </w:pPr>
      <w:bookmarkStart w:id="210" w:name="_Toc68336840"/>
      <w:bookmarkStart w:id="211" w:name="_Toc68336906"/>
      <w:bookmarkStart w:id="212" w:name="_Toc68507343"/>
      <w:bookmarkStart w:id="213" w:name="_Toc68508175"/>
      <w:bookmarkStart w:id="214" w:name="_Toc71452173"/>
      <w:bookmarkStart w:id="215" w:name="_Toc95725651"/>
      <w:bookmarkStart w:id="216" w:name="_Toc96939140"/>
      <w:bookmarkStart w:id="217" w:name="_Toc102797150"/>
      <w:bookmarkStart w:id="218" w:name="_Toc157323533"/>
      <w:bookmarkStart w:id="219" w:name="_Toc157323688"/>
      <w:bookmarkStart w:id="220" w:name="_Toc157836355"/>
      <w:r>
        <w:rPr>
          <w:rStyle w:val="CharPartNo"/>
        </w:rPr>
        <w:t>Part VB</w:t>
      </w:r>
      <w:r>
        <w:t xml:space="preserve"> — </w:t>
      </w:r>
      <w:r>
        <w:rPr>
          <w:rStyle w:val="CharPartText"/>
        </w:rPr>
        <w:t>Infringement notices</w:t>
      </w:r>
      <w:bookmarkEnd w:id="210"/>
      <w:bookmarkEnd w:id="211"/>
      <w:bookmarkEnd w:id="212"/>
      <w:bookmarkEnd w:id="213"/>
      <w:bookmarkEnd w:id="214"/>
      <w:bookmarkEnd w:id="215"/>
      <w:bookmarkEnd w:id="216"/>
      <w:bookmarkEnd w:id="217"/>
      <w:bookmarkEnd w:id="218"/>
      <w:bookmarkEnd w:id="219"/>
      <w:bookmarkEnd w:id="220"/>
    </w:p>
    <w:p>
      <w:pPr>
        <w:pStyle w:val="Footnoteheading"/>
        <w:tabs>
          <w:tab w:val="left" w:pos="851"/>
        </w:tabs>
      </w:pPr>
      <w:r>
        <w:tab/>
        <w:t>[Heading inserted by No. 24 of 1998 s. 27.]</w:t>
      </w:r>
    </w:p>
    <w:p>
      <w:pPr>
        <w:pStyle w:val="Heading5"/>
      </w:pPr>
      <w:bookmarkStart w:id="221" w:name="_Toc67305420"/>
      <w:bookmarkStart w:id="222" w:name="_Toc102797151"/>
      <w:bookmarkStart w:id="223" w:name="_Toc157836356"/>
      <w:r>
        <w:rPr>
          <w:rStyle w:val="CharSectno"/>
        </w:rPr>
        <w:t>29F</w:t>
      </w:r>
      <w:r>
        <w:t>.</w:t>
      </w:r>
      <w:r>
        <w:tab/>
        <w:t>Interpretation</w:t>
      </w:r>
      <w:bookmarkEnd w:id="221"/>
      <w:bookmarkEnd w:id="222"/>
      <w:bookmarkEnd w:id="223"/>
    </w:p>
    <w:p>
      <w:pPr>
        <w:pStyle w:val="Subsection"/>
      </w:pPr>
      <w:r>
        <w:tab/>
      </w:r>
      <w:r>
        <w:tab/>
        <w:t xml:space="preserve">In this Part — </w:t>
      </w:r>
    </w:p>
    <w:p>
      <w:pPr>
        <w:pStyle w:val="Defstart"/>
      </w:pPr>
      <w:r>
        <w:tab/>
      </w:r>
      <w:r>
        <w:rPr>
          <w:rStyle w:val="CharDefText"/>
        </w:rPr>
        <w:t>authorised person</w:t>
      </w:r>
      <w:r>
        <w:t xml:space="preserve"> means a person appointed under section 29G to be an authorised person for the purposes of the section in which the term is used.</w:t>
      </w:r>
    </w:p>
    <w:p>
      <w:pPr>
        <w:pStyle w:val="Footnotesection"/>
      </w:pPr>
      <w:r>
        <w:tab/>
        <w:t>[Section 29F inserted by No. 24 of 1998 s. 27.]</w:t>
      </w:r>
    </w:p>
    <w:p>
      <w:pPr>
        <w:pStyle w:val="Heading5"/>
      </w:pPr>
      <w:bookmarkStart w:id="224" w:name="_Toc67305421"/>
      <w:bookmarkStart w:id="225" w:name="_Toc102797152"/>
      <w:bookmarkStart w:id="226" w:name="_Toc157836357"/>
      <w:r>
        <w:rPr>
          <w:rStyle w:val="CharSectno"/>
        </w:rPr>
        <w:t>29G</w:t>
      </w:r>
      <w:r>
        <w:t>.</w:t>
      </w:r>
      <w:r>
        <w:tab/>
        <w:t>Authorised persons, appointment of</w:t>
      </w:r>
      <w:bookmarkEnd w:id="224"/>
      <w:bookmarkEnd w:id="225"/>
      <w:bookmarkEnd w:id="226"/>
    </w:p>
    <w:p>
      <w:pPr>
        <w:pStyle w:val="Subsection"/>
      </w:pPr>
      <w:r>
        <w:tab/>
        <w:t>(1)</w:t>
      </w:r>
      <w:r>
        <w:tab/>
        <w:t>The Commission may, in writing, appoint persons or classes of persons to be authorised persons for the purposes of this Part.</w:t>
      </w:r>
    </w:p>
    <w:p>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pPr>
        <w:pStyle w:val="Subsection"/>
      </w:pPr>
      <w:r>
        <w:tab/>
        <w:t>(3)</w:t>
      </w:r>
      <w:r>
        <w:tab/>
        <w:t>A person who is authorised to serve infringement notices under section 29H is not eligible to be an authorised person for the purposes of any other section in this Part.</w:t>
      </w:r>
    </w:p>
    <w:p>
      <w:pPr>
        <w:pStyle w:val="Subsection"/>
      </w:pPr>
      <w:r>
        <w:tab/>
        <w:t>(4)</w:t>
      </w:r>
      <w:r>
        <w:tab/>
        <w:t>Subsection (2) does not apply to a member of the Police Force who is authorised to serve infringement notices under section 29H.</w:t>
      </w:r>
    </w:p>
    <w:p>
      <w:pPr>
        <w:pStyle w:val="Footnotesection"/>
      </w:pPr>
      <w:r>
        <w:tab/>
        <w:t>[Section 29G inserted by No. 24 of 1998 s. 27.]</w:t>
      </w:r>
    </w:p>
    <w:p>
      <w:pPr>
        <w:pStyle w:val="Heading5"/>
      </w:pPr>
      <w:bookmarkStart w:id="227" w:name="_Toc67305422"/>
      <w:bookmarkStart w:id="228" w:name="_Toc102797153"/>
      <w:bookmarkStart w:id="229" w:name="_Toc157836358"/>
      <w:r>
        <w:rPr>
          <w:rStyle w:val="CharSectno"/>
        </w:rPr>
        <w:t>29H</w:t>
      </w:r>
      <w:r>
        <w:t>.</w:t>
      </w:r>
      <w:r>
        <w:tab/>
        <w:t>Serving infringement notices</w:t>
      </w:r>
      <w:bookmarkEnd w:id="227"/>
      <w:bookmarkEnd w:id="228"/>
      <w:bookmarkEnd w:id="229"/>
    </w:p>
    <w:p>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pPr>
        <w:pStyle w:val="Subsection"/>
      </w:pPr>
      <w:r>
        <w:tab/>
        <w:t>(2)</w:t>
      </w:r>
      <w:r>
        <w:tab/>
        <w:t>An infringement notice may be served personally or by registered post.</w:t>
      </w:r>
    </w:p>
    <w:p>
      <w:pPr>
        <w:pStyle w:val="Footnotesection"/>
      </w:pPr>
      <w:r>
        <w:tab/>
        <w:t>[Section 29H inserted by No. 24 of 1998 s. 27.]</w:t>
      </w:r>
    </w:p>
    <w:p>
      <w:pPr>
        <w:pStyle w:val="Heading5"/>
      </w:pPr>
      <w:bookmarkStart w:id="230" w:name="_Toc67305423"/>
      <w:bookmarkStart w:id="231" w:name="_Toc102797154"/>
      <w:bookmarkStart w:id="232" w:name="_Toc157836359"/>
      <w:r>
        <w:rPr>
          <w:rStyle w:val="CharSectno"/>
        </w:rPr>
        <w:t>29I</w:t>
      </w:r>
      <w:r>
        <w:t>.</w:t>
      </w:r>
      <w:r>
        <w:tab/>
        <w:t>Form of infringement notice</w:t>
      </w:r>
      <w:bookmarkEnd w:id="230"/>
      <w:bookmarkEnd w:id="231"/>
      <w:bookmarkEnd w:id="232"/>
    </w:p>
    <w:p>
      <w:pPr>
        <w:pStyle w:val="Subsection"/>
      </w:pPr>
      <w:r>
        <w:tab/>
        <w:t>(1)</w:t>
      </w:r>
      <w:r>
        <w:tab/>
        <w:t xml:space="preserve">An infringement notice shall be in the prescribed form and shall — </w:t>
      </w:r>
    </w:p>
    <w:p>
      <w:pPr>
        <w:pStyle w:val="Indenta"/>
      </w:pPr>
      <w:r>
        <w:tab/>
        <w:t>(a)</w:t>
      </w:r>
      <w:r>
        <w:tab/>
        <w:t xml:space="preserve">contain a description of the alleged offence; </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pPr>
        <w:pStyle w:val="Indenta"/>
      </w:pPr>
      <w:r>
        <w:tab/>
        <w:t>(c)</w:t>
      </w:r>
      <w:r>
        <w:tab/>
        <w:t>advise the alleged offender as to who are authorised persons for the purposes of paragraph (b).</w:t>
      </w:r>
    </w:p>
    <w:p>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pPr>
        <w:pStyle w:val="Footnotesection"/>
      </w:pPr>
      <w:r>
        <w:tab/>
        <w:t>[Section 29I inserted by No. 24 of 1998 s. 27; amended by No. 84 of 2004 s. 80.]</w:t>
      </w:r>
    </w:p>
    <w:p>
      <w:pPr>
        <w:pStyle w:val="Heading5"/>
      </w:pPr>
      <w:bookmarkStart w:id="233" w:name="_Toc67305424"/>
      <w:bookmarkStart w:id="234" w:name="_Toc102797155"/>
      <w:bookmarkStart w:id="235" w:name="_Toc157836360"/>
      <w:r>
        <w:rPr>
          <w:rStyle w:val="CharSectno"/>
        </w:rPr>
        <w:t>29J</w:t>
      </w:r>
      <w:r>
        <w:t>.</w:t>
      </w:r>
      <w:r>
        <w:tab/>
        <w:t>Extension of time</w:t>
      </w:r>
      <w:bookmarkEnd w:id="233"/>
      <w:bookmarkEnd w:id="234"/>
      <w:bookmarkEnd w:id="235"/>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29J inserted by No. 24 of 1998 s. 27.]</w:t>
      </w:r>
    </w:p>
    <w:p>
      <w:pPr>
        <w:pStyle w:val="Heading5"/>
      </w:pPr>
      <w:bookmarkStart w:id="236" w:name="_Toc67305425"/>
      <w:bookmarkStart w:id="237" w:name="_Toc102797156"/>
      <w:bookmarkStart w:id="238" w:name="_Toc157836361"/>
      <w:r>
        <w:rPr>
          <w:rStyle w:val="CharSectno"/>
        </w:rPr>
        <w:t>29K</w:t>
      </w:r>
      <w:r>
        <w:t>.</w:t>
      </w:r>
      <w:r>
        <w:tab/>
        <w:t>Withdrawal of notice</w:t>
      </w:r>
      <w:bookmarkEnd w:id="236"/>
      <w:bookmarkEnd w:id="237"/>
      <w:bookmarkEnd w:id="238"/>
    </w:p>
    <w:p>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pPr>
        <w:pStyle w:val="Subsection"/>
      </w:pPr>
      <w:r>
        <w:tab/>
        <w:t>(2)</w:t>
      </w:r>
      <w:r>
        <w:tab/>
        <w:t>If an infringement notice is withdrawn after the modified penalty has been paid, the amount of the penalty shall be refunded.</w:t>
      </w:r>
    </w:p>
    <w:p>
      <w:pPr>
        <w:pStyle w:val="Subsection"/>
      </w:pPr>
      <w:r>
        <w:tab/>
        <w:t>(3)</w:t>
      </w:r>
      <w:r>
        <w:tab/>
        <w:t>A notice under this section may be served personally or by registered post.</w:t>
      </w:r>
    </w:p>
    <w:p>
      <w:pPr>
        <w:pStyle w:val="Footnotesection"/>
      </w:pPr>
      <w:r>
        <w:tab/>
        <w:t>[Section 29K inserted by No. 24 of 1998 s. 27.]</w:t>
      </w:r>
    </w:p>
    <w:p>
      <w:pPr>
        <w:pStyle w:val="Heading5"/>
      </w:pPr>
      <w:bookmarkStart w:id="239" w:name="_Toc67305426"/>
      <w:bookmarkStart w:id="240" w:name="_Toc102797157"/>
      <w:bookmarkStart w:id="241" w:name="_Toc157836362"/>
      <w:r>
        <w:rPr>
          <w:rStyle w:val="CharSectno"/>
        </w:rPr>
        <w:t>29L</w:t>
      </w:r>
      <w:r>
        <w:t>.</w:t>
      </w:r>
      <w:r>
        <w:tab/>
        <w:t>Benefit of payment of modified penalty</w:t>
      </w:r>
      <w:bookmarkEnd w:id="239"/>
      <w:bookmarkEnd w:id="240"/>
      <w:bookmarkEnd w:id="241"/>
    </w:p>
    <w:p>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Payment of a modified penalty shall not be regarded as an admission for the purposes of any proceedings, whether civil or criminal.</w:t>
      </w:r>
    </w:p>
    <w:p>
      <w:pPr>
        <w:pStyle w:val="Footnotesection"/>
      </w:pPr>
      <w:r>
        <w:tab/>
        <w:t>[Section 29L inserted by No. 24 of 1998 s. 27.]</w:t>
      </w:r>
    </w:p>
    <w:p>
      <w:pPr>
        <w:pStyle w:val="Heading5"/>
      </w:pPr>
      <w:bookmarkStart w:id="242" w:name="_Toc67305427"/>
      <w:bookmarkStart w:id="243" w:name="_Toc102797158"/>
      <w:bookmarkStart w:id="244" w:name="_Toc157836363"/>
      <w:r>
        <w:rPr>
          <w:rStyle w:val="CharSectno"/>
        </w:rPr>
        <w:t>29M</w:t>
      </w:r>
      <w:r>
        <w:t>.</w:t>
      </w:r>
      <w:r>
        <w:tab/>
        <w:t>Application of modified penalties</w:t>
      </w:r>
      <w:bookmarkEnd w:id="242"/>
      <w:bookmarkEnd w:id="243"/>
      <w:bookmarkEnd w:id="244"/>
      <w:r>
        <w:t xml:space="preserve"> </w:t>
      </w:r>
    </w:p>
    <w:p>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pPr>
        <w:pStyle w:val="Footnotesection"/>
      </w:pPr>
      <w:r>
        <w:tab/>
        <w:t>[Section 29M inserted by No. 24 of 1998 s. 27; amended by No. 35 of 2003 s. 171(3).]</w:t>
      </w:r>
    </w:p>
    <w:p>
      <w:pPr>
        <w:pStyle w:val="Heading2"/>
      </w:pPr>
      <w:bookmarkStart w:id="245" w:name="_Toc68336849"/>
      <w:bookmarkStart w:id="246" w:name="_Toc68336915"/>
      <w:bookmarkStart w:id="247" w:name="_Toc68507352"/>
      <w:bookmarkStart w:id="248" w:name="_Toc68508184"/>
      <w:bookmarkStart w:id="249" w:name="_Toc71452182"/>
      <w:bookmarkStart w:id="250" w:name="_Toc95725660"/>
      <w:bookmarkStart w:id="251" w:name="_Toc96939149"/>
      <w:bookmarkStart w:id="252" w:name="_Toc102797159"/>
      <w:bookmarkStart w:id="253" w:name="_Toc157323542"/>
      <w:bookmarkStart w:id="254" w:name="_Toc157323697"/>
      <w:bookmarkStart w:id="255" w:name="_Toc157836364"/>
      <w:r>
        <w:rPr>
          <w:rStyle w:val="CharPartNo"/>
        </w:rPr>
        <w:t>Part VI</w:t>
      </w:r>
      <w:r>
        <w:rPr>
          <w:rStyle w:val="CharDivNo"/>
        </w:rPr>
        <w:t> </w:t>
      </w:r>
      <w:r>
        <w:t>—</w:t>
      </w:r>
      <w:r>
        <w:rPr>
          <w:rStyle w:val="CharDivText"/>
        </w:rPr>
        <w:t> </w:t>
      </w:r>
      <w:r>
        <w:rPr>
          <w:rStyle w:val="CharPartText"/>
        </w:rPr>
        <w:t>General</w:t>
      </w:r>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01978024"/>
      <w:bookmarkStart w:id="257" w:name="_Toc67305428"/>
      <w:bookmarkStart w:id="258" w:name="_Toc102797160"/>
      <w:bookmarkStart w:id="259" w:name="_Toc157836365"/>
      <w:r>
        <w:rPr>
          <w:rStyle w:val="CharSectno"/>
        </w:rPr>
        <w:t>30</w:t>
      </w:r>
      <w:r>
        <w:rPr>
          <w:snapToGrid w:val="0"/>
        </w:rPr>
        <w:t>.</w:t>
      </w:r>
      <w:r>
        <w:rPr>
          <w:snapToGrid w:val="0"/>
        </w:rPr>
        <w:tab/>
      </w:r>
      <w:bookmarkEnd w:id="256"/>
      <w:r>
        <w:rPr>
          <w:snapToGrid w:val="0"/>
        </w:rPr>
        <w:t>Fraudulent etc. practices in casinos</w:t>
      </w:r>
      <w:bookmarkEnd w:id="257"/>
      <w:bookmarkEnd w:id="258"/>
      <w:bookmarkEnd w:id="259"/>
    </w:p>
    <w:p>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 </w:t>
      </w:r>
    </w:p>
    <w:p>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 </w:t>
      </w:r>
    </w:p>
    <w:p>
      <w:pPr>
        <w:pStyle w:val="Indenta"/>
        <w:rPr>
          <w:snapToGrid w:val="0"/>
        </w:rPr>
      </w:pPr>
      <w:r>
        <w:rPr>
          <w:snapToGrid w:val="0"/>
        </w:rPr>
        <w:tab/>
        <w:t>(a)</w:t>
      </w:r>
      <w:r>
        <w:rPr>
          <w:snapToGrid w:val="0"/>
        </w:rPr>
        <w:tab/>
        <w:t>any fraud;</w:t>
      </w:r>
    </w:p>
    <w:p>
      <w:pPr>
        <w:pStyle w:val="Indenta"/>
        <w:rPr>
          <w:snapToGrid w:val="0"/>
        </w:rPr>
      </w:pPr>
      <w:r>
        <w:rPr>
          <w:snapToGrid w:val="0"/>
        </w:rPr>
        <w:tab/>
        <w:t>(b)</w:t>
      </w:r>
      <w:r>
        <w:rPr>
          <w:snapToGrid w:val="0"/>
        </w:rPr>
        <w:tab/>
        <w:t>any fraudulent means;</w:t>
      </w:r>
    </w:p>
    <w:p>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pPr>
        <w:pStyle w:val="Indenta"/>
        <w:rPr>
          <w:snapToGrid w:val="0"/>
        </w:rPr>
      </w:pPr>
      <w:r>
        <w:rPr>
          <w:snapToGrid w:val="0"/>
        </w:rPr>
        <w:tab/>
        <w:t>(d)</w:t>
      </w:r>
      <w:r>
        <w:rPr>
          <w:snapToGrid w:val="0"/>
        </w:rPr>
        <w:tab/>
        <w:t>any wrongful practice, trick or scheme,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person other than a body corporate, $10 000, or imprisonment for 2 years, or both; and in the case of a body corporate, $20 000.</w:t>
      </w:r>
    </w:p>
    <w:p>
      <w:pPr>
        <w:pStyle w:val="Subsection"/>
        <w:rPr>
          <w:snapToGrid w:val="0"/>
        </w:rPr>
      </w:pPr>
      <w:r>
        <w:rPr>
          <w:snapToGrid w:val="0"/>
        </w:rPr>
        <w:tab/>
        <w:t>(3)</w:t>
      </w:r>
      <w:r>
        <w:rPr>
          <w:snapToGrid w:val="0"/>
        </w:rPr>
        <w:tab/>
        <w:t>Subject to subsection (4), a person who, in a casino, uses or has in possession — </w:t>
      </w:r>
    </w:p>
    <w:p>
      <w:pPr>
        <w:pStyle w:val="Indenta"/>
        <w:rPr>
          <w:snapToGrid w:val="0"/>
        </w:rPr>
      </w:pPr>
      <w:r>
        <w:rPr>
          <w:snapToGrid w:val="0"/>
        </w:rPr>
        <w:tab/>
        <w:t>(a)</w:t>
      </w:r>
      <w:r>
        <w:rPr>
          <w:snapToGrid w:val="0"/>
        </w:rPr>
        <w:tab/>
        <w:t>any token that the person knows is bogus or counterfeit;</w:t>
      </w:r>
    </w:p>
    <w:p>
      <w:pPr>
        <w:pStyle w:val="Indenta"/>
        <w:rPr>
          <w:snapToGrid w:val="0"/>
        </w:rPr>
      </w:pPr>
      <w:r>
        <w:rPr>
          <w:snapToGrid w:val="0"/>
        </w:rPr>
        <w:tab/>
        <w:t>(b)</w:t>
      </w:r>
      <w:r>
        <w:rPr>
          <w:snapToGrid w:val="0"/>
        </w:rPr>
        <w:tab/>
        <w:t>any instrument of gaming that the person knows has been marked, loaded or tampered with; or</w:t>
      </w:r>
    </w:p>
    <w:p>
      <w:pPr>
        <w:pStyle w:val="Indenta"/>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 </w:t>
      </w:r>
    </w:p>
    <w:p>
      <w:pPr>
        <w:pStyle w:val="Indenta"/>
        <w:rPr>
          <w:snapToGrid w:val="0"/>
        </w:rPr>
      </w:pPr>
      <w:r>
        <w:rPr>
          <w:snapToGrid w:val="0"/>
        </w:rPr>
        <w:tab/>
        <w:t>(a)</w:t>
      </w:r>
      <w:r>
        <w:rPr>
          <w:snapToGrid w:val="0"/>
        </w:rPr>
        <w:tab/>
        <w:t>has been seized by any of those persons from another person for destruction or for potential use as evidence in proceedings for an offence;</w:t>
      </w:r>
    </w:p>
    <w:p>
      <w:pPr>
        <w:pStyle w:val="Indenta"/>
        <w:rPr>
          <w:snapToGrid w:val="0"/>
        </w:rPr>
      </w:pPr>
      <w:r>
        <w:rPr>
          <w:snapToGrid w:val="0"/>
        </w:rPr>
        <w:tab/>
        <w:t>(b)</w:t>
      </w:r>
      <w:r>
        <w:rPr>
          <w:snapToGrid w:val="0"/>
        </w:rPr>
        <w:tab/>
        <w:t>is so used or possessed for the purposes of conducting an investigation into a suspected offence; or</w:t>
      </w:r>
    </w:p>
    <w:p>
      <w:pPr>
        <w:pStyle w:val="Indenta"/>
        <w:rPr>
          <w:snapToGrid w:val="0"/>
        </w:rPr>
      </w:pPr>
      <w:r>
        <w:rPr>
          <w:snapToGrid w:val="0"/>
        </w:rPr>
        <w:tab/>
        <w:t>(c)</w:t>
      </w:r>
      <w:r>
        <w:rPr>
          <w:snapToGrid w:val="0"/>
        </w:rPr>
        <w:tab/>
        <w:t>is so used or possessed, with the consent of the casino licensee, for instructional purposes.</w:t>
      </w:r>
    </w:p>
    <w:p>
      <w:pPr>
        <w:pStyle w:val="Footnotesection"/>
      </w:pPr>
      <w:r>
        <w:tab/>
        <w:t xml:space="preserve">[Section 30 inserted by No. 74 of 1987 s. 33; amended by No. 73 of 1994 s. 4; No. 35 of 2003 s. 171(3).] </w:t>
      </w:r>
    </w:p>
    <w:p>
      <w:pPr>
        <w:pStyle w:val="Heading5"/>
        <w:rPr>
          <w:snapToGrid w:val="0"/>
        </w:rPr>
      </w:pPr>
      <w:bookmarkStart w:id="260" w:name="_Toc401978025"/>
      <w:bookmarkStart w:id="261" w:name="_Toc67305429"/>
      <w:bookmarkStart w:id="262" w:name="_Toc102797161"/>
      <w:bookmarkStart w:id="263" w:name="_Toc157836366"/>
      <w:r>
        <w:rPr>
          <w:rStyle w:val="CharSectno"/>
        </w:rPr>
        <w:t>31</w:t>
      </w:r>
      <w:r>
        <w:rPr>
          <w:snapToGrid w:val="0"/>
        </w:rPr>
        <w:t>.</w:t>
      </w:r>
      <w:r>
        <w:rPr>
          <w:snapToGrid w:val="0"/>
        </w:rPr>
        <w:tab/>
        <w:t>Forging, personation etc.</w:t>
      </w:r>
      <w:bookmarkEnd w:id="260"/>
      <w:r>
        <w:rPr>
          <w:snapToGrid w:val="0"/>
        </w:rPr>
        <w:t xml:space="preserve"> in casinos</w:t>
      </w:r>
      <w:bookmarkEnd w:id="261"/>
      <w:bookmarkEnd w:id="262"/>
      <w:bookmarkEnd w:id="263"/>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forges or counterfeits any token used in a casino;</w:t>
      </w:r>
    </w:p>
    <w:p>
      <w:pPr>
        <w:pStyle w:val="Indenta"/>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w:t>
      </w:r>
    </w:p>
    <w:p>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 xml:space="preserve">[Section 31 inserted by No. 74 of 1987 s. 33.] </w:t>
      </w:r>
    </w:p>
    <w:p>
      <w:pPr>
        <w:pStyle w:val="Heading5"/>
        <w:rPr>
          <w:snapToGrid w:val="0"/>
        </w:rPr>
      </w:pPr>
      <w:bookmarkStart w:id="264" w:name="_Toc401978026"/>
      <w:bookmarkStart w:id="265" w:name="_Toc67305430"/>
      <w:bookmarkStart w:id="266" w:name="_Toc102797162"/>
      <w:bookmarkStart w:id="267" w:name="_Toc157836367"/>
      <w:r>
        <w:rPr>
          <w:rStyle w:val="CharSectno"/>
        </w:rPr>
        <w:t>32</w:t>
      </w:r>
      <w:r>
        <w:rPr>
          <w:snapToGrid w:val="0"/>
        </w:rPr>
        <w:t>.</w:t>
      </w:r>
      <w:r>
        <w:rPr>
          <w:snapToGrid w:val="0"/>
        </w:rPr>
        <w:tab/>
      </w:r>
      <w:bookmarkEnd w:id="264"/>
      <w:r>
        <w:rPr>
          <w:snapToGrid w:val="0"/>
        </w:rPr>
        <w:t>Suspected offenders may be detained</w:t>
      </w:r>
      <w:bookmarkEnd w:id="265"/>
      <w:bookmarkEnd w:id="266"/>
      <w:bookmarkEnd w:id="2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pPr>
        <w:pStyle w:val="Indenta"/>
        <w:rPr>
          <w:snapToGrid w:val="0"/>
        </w:rPr>
      </w:pPr>
      <w:r>
        <w:rPr>
          <w:snapToGrid w:val="0"/>
        </w:rPr>
        <w:tab/>
        <w:t>(b)</w:t>
      </w:r>
      <w:r>
        <w:rPr>
          <w:snapToGrid w:val="0"/>
        </w:rPr>
        <w:tab/>
        <w:t>an officer of the Commission,</w:t>
      </w:r>
    </w:p>
    <w:p>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tc>
          <w:tcPr>
            <w:tcW w:w="2410" w:type="dxa"/>
            <w:tcBorders>
              <w:right w:val="nil"/>
            </w:tcBorders>
          </w:tcPr>
          <w:p>
            <w:pPr>
              <w:pStyle w:val="Table"/>
              <w:jc w:val="center"/>
              <w:rPr>
                <w:snapToGrid w:val="0"/>
              </w:rPr>
            </w:pPr>
            <w:r>
              <w:rPr>
                <w:snapToGrid w:val="0"/>
              </w:rPr>
              <w:t>section 22(7)</w:t>
            </w:r>
          </w:p>
        </w:tc>
        <w:tc>
          <w:tcPr>
            <w:tcW w:w="2268" w:type="dxa"/>
            <w:tcBorders>
              <w:left w:val="nil"/>
            </w:tcBorders>
          </w:tcPr>
          <w:p>
            <w:pPr>
              <w:pStyle w:val="Table"/>
              <w:rPr>
                <w:snapToGrid w:val="0"/>
              </w:rPr>
            </w:pPr>
            <w:r>
              <w:rPr>
                <w:snapToGrid w:val="0"/>
              </w:rPr>
              <w:t>section 27(3a)</w:t>
            </w:r>
          </w:p>
        </w:tc>
      </w:tr>
      <w:tr>
        <w:tc>
          <w:tcPr>
            <w:tcW w:w="2410" w:type="dxa"/>
            <w:tcBorders>
              <w:right w:val="nil"/>
            </w:tcBorders>
          </w:tcPr>
          <w:p>
            <w:pPr>
              <w:pStyle w:val="Table"/>
              <w:rPr>
                <w:snapToGrid w:val="0"/>
              </w:rPr>
            </w:pPr>
            <w:r>
              <w:rPr>
                <w:snapToGrid w:val="0"/>
              </w:rPr>
              <w:t>section 23(2)(ii)</w:t>
            </w:r>
          </w:p>
        </w:tc>
        <w:tc>
          <w:tcPr>
            <w:tcW w:w="2268" w:type="dxa"/>
            <w:tcBorders>
              <w:left w:val="nil"/>
            </w:tcBorders>
          </w:tcPr>
          <w:p>
            <w:pPr>
              <w:pStyle w:val="Table"/>
              <w:rPr>
                <w:snapToGrid w:val="0"/>
              </w:rPr>
            </w:pPr>
            <w:r>
              <w:rPr>
                <w:snapToGrid w:val="0"/>
              </w:rPr>
              <w:t>section 27A(4)</w:t>
            </w:r>
          </w:p>
        </w:tc>
      </w:tr>
      <w:tr>
        <w:tc>
          <w:tcPr>
            <w:tcW w:w="2410" w:type="dxa"/>
            <w:tcBorders>
              <w:right w:val="nil"/>
            </w:tcBorders>
          </w:tcPr>
          <w:p>
            <w:pPr>
              <w:pStyle w:val="Table"/>
              <w:rPr>
                <w:snapToGrid w:val="0"/>
              </w:rPr>
            </w:pPr>
            <w:r>
              <w:rPr>
                <w:snapToGrid w:val="0"/>
              </w:rPr>
              <w:t>section 26(1d)</w:t>
            </w:r>
          </w:p>
        </w:tc>
        <w:tc>
          <w:tcPr>
            <w:tcW w:w="2268" w:type="dxa"/>
            <w:tcBorders>
              <w:left w:val="nil"/>
            </w:tcBorders>
          </w:tcPr>
          <w:p>
            <w:pPr>
              <w:pStyle w:val="Table"/>
              <w:rPr>
                <w:snapToGrid w:val="0"/>
              </w:rPr>
            </w:pPr>
            <w:r>
              <w:rPr>
                <w:snapToGrid w:val="0"/>
              </w:rPr>
              <w:t>section 30(3)</w:t>
            </w:r>
          </w:p>
        </w:tc>
      </w:tr>
      <w:tr>
        <w:tc>
          <w:tcPr>
            <w:tcW w:w="2410" w:type="dxa"/>
            <w:tcBorders>
              <w:right w:val="nil"/>
            </w:tcBorders>
          </w:tcPr>
          <w:p>
            <w:pPr>
              <w:pStyle w:val="Table"/>
              <w:rPr>
                <w:snapToGrid w:val="0"/>
              </w:rPr>
            </w:pPr>
            <w:r>
              <w:rPr>
                <w:snapToGrid w:val="0"/>
              </w:rPr>
              <w:t>section 26(6)</w:t>
            </w:r>
          </w:p>
        </w:tc>
        <w:tc>
          <w:tcPr>
            <w:tcW w:w="2268" w:type="dxa"/>
            <w:tcBorders>
              <w:left w:val="nil"/>
            </w:tcBorders>
          </w:tcPr>
          <w:p>
            <w:pPr>
              <w:pStyle w:val="Table"/>
              <w:rPr>
                <w:snapToGrid w:val="0"/>
              </w:rPr>
            </w:pPr>
            <w:r>
              <w:rPr>
                <w:snapToGrid w:val="0"/>
              </w:rPr>
              <w:t>section 31</w:t>
            </w:r>
          </w:p>
        </w:tc>
      </w:tr>
      <w:tr>
        <w:tc>
          <w:tcPr>
            <w:tcW w:w="2410" w:type="dxa"/>
            <w:tcBorders>
              <w:right w:val="nil"/>
            </w:tcBorders>
          </w:tcPr>
          <w:p>
            <w:pPr>
              <w:pStyle w:val="Table"/>
              <w:rPr>
                <w:snapToGrid w:val="0"/>
              </w:rPr>
            </w:pPr>
            <w:r>
              <w:rPr>
                <w:snapToGrid w:val="0"/>
              </w:rPr>
              <w:t>section 27(3)</w:t>
            </w:r>
          </w:p>
        </w:tc>
        <w:tc>
          <w:tcPr>
            <w:tcW w:w="2268" w:type="dxa"/>
            <w:tcBorders>
              <w:left w:val="nil"/>
            </w:tcBorders>
          </w:tcPr>
          <w:p>
            <w:pPr>
              <w:pStyle w:val="Table"/>
              <w:rPr>
                <w:snapToGrid w:val="0"/>
              </w:rPr>
            </w:pPr>
          </w:p>
        </w:tc>
      </w:tr>
    </w:tbl>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32 inserted by No. 74 of 1987 s. 33; amended by No. 24 of 1998 s. 28; No. 35 of 2003 s. 171(3).] </w:t>
      </w:r>
    </w:p>
    <w:p>
      <w:pPr>
        <w:pStyle w:val="Heading5"/>
        <w:rPr>
          <w:snapToGrid w:val="0"/>
        </w:rPr>
      </w:pPr>
      <w:bookmarkStart w:id="268" w:name="_Toc401978027"/>
      <w:bookmarkStart w:id="269" w:name="_Toc67305431"/>
      <w:bookmarkStart w:id="270" w:name="_Toc102797163"/>
      <w:bookmarkStart w:id="271" w:name="_Toc157836368"/>
      <w:r>
        <w:rPr>
          <w:rStyle w:val="CharSectno"/>
        </w:rPr>
        <w:t>33</w:t>
      </w:r>
      <w:r>
        <w:rPr>
          <w:snapToGrid w:val="0"/>
        </w:rPr>
        <w:t>.</w:t>
      </w:r>
      <w:r>
        <w:rPr>
          <w:snapToGrid w:val="0"/>
        </w:rPr>
        <w:tab/>
        <w:t>Contravention by casino licensee, etc., of directions</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the casino licensee; or</w:t>
      </w:r>
    </w:p>
    <w:p>
      <w:pPr>
        <w:pStyle w:val="Indenta"/>
        <w:rPr>
          <w:snapToGrid w:val="0"/>
        </w:rPr>
      </w:pPr>
      <w:r>
        <w:rPr>
          <w:snapToGrid w:val="0"/>
        </w:rPr>
        <w:tab/>
        <w:t>(b)</w:t>
      </w:r>
      <w:r>
        <w:rPr>
          <w:snapToGrid w:val="0"/>
        </w:rPr>
        <w:tab/>
        <w:t>a person to whom or which section 24(3) refers,</w:t>
      </w:r>
    </w:p>
    <w:p>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pPr>
        <w:pStyle w:val="Penstart"/>
        <w:keepNext/>
        <w:rPr>
          <w:snapToGrid w:val="0"/>
        </w:rPr>
      </w:pPr>
      <w:r>
        <w:rPr>
          <w:snapToGrid w:val="0"/>
        </w:rPr>
        <w:tab/>
        <w:t>Penalty: In the case of a person other than a body corporate, $2 000; and in the case of a body corporate, $5 000.</w:t>
      </w:r>
    </w:p>
    <w:p>
      <w:pPr>
        <w:pStyle w:val="Footnotesection"/>
      </w:pPr>
      <w:r>
        <w:tab/>
        <w:t xml:space="preserve">[Section 33 inserted by No. 74 of 1987 s. 34; amended by No. 24 of 1998 s. 29.] </w:t>
      </w:r>
    </w:p>
    <w:p>
      <w:pPr>
        <w:pStyle w:val="Ednotesection"/>
      </w:pPr>
      <w:r>
        <w:t>[</w:t>
      </w:r>
      <w:r>
        <w:rPr>
          <w:b/>
        </w:rPr>
        <w:t>34, 35.</w:t>
      </w:r>
      <w:r>
        <w:tab/>
        <w:t xml:space="preserve">Deleted by No. 74 of 1987 s. 35.] </w:t>
      </w:r>
    </w:p>
    <w:p>
      <w:pPr>
        <w:pStyle w:val="Heading5"/>
        <w:rPr>
          <w:snapToGrid w:val="0"/>
        </w:rPr>
      </w:pPr>
      <w:bookmarkStart w:id="272" w:name="_Toc401978028"/>
      <w:bookmarkStart w:id="273" w:name="_Toc67305432"/>
      <w:bookmarkStart w:id="274" w:name="_Toc102797164"/>
      <w:bookmarkStart w:id="275" w:name="_Toc157836369"/>
      <w:r>
        <w:rPr>
          <w:rStyle w:val="CharSectno"/>
        </w:rPr>
        <w:t>36</w:t>
      </w:r>
      <w:r>
        <w:rPr>
          <w:snapToGrid w:val="0"/>
        </w:rPr>
        <w:t>.</w:t>
      </w:r>
      <w:r>
        <w:rPr>
          <w:snapToGrid w:val="0"/>
        </w:rPr>
        <w:tab/>
        <w:t>Prosecution of offenders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pPr>
        <w:pStyle w:val="Subsection"/>
        <w:rPr>
          <w:snapToGrid w:val="0"/>
        </w:rPr>
      </w:pPr>
      <w:r>
        <w:rPr>
          <w:snapToGrid w:val="0"/>
        </w:rPr>
        <w:tab/>
        <w:t>(1a)</w:t>
      </w:r>
      <w:r>
        <w:rPr>
          <w:snapToGrid w:val="0"/>
        </w:rPr>
        <w:tab/>
        <w:t xml:space="preserve">If proceedings for an offence under this Act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Subsection"/>
        <w:rPr>
          <w:snapToGrid w:val="0"/>
        </w:rPr>
      </w:pPr>
      <w:r>
        <w:rPr>
          <w:snapToGrid w:val="0"/>
        </w:rPr>
        <w:tab/>
        <w:t>(2)</w:t>
      </w:r>
      <w:r>
        <w:rPr>
          <w:snapToGrid w:val="0"/>
        </w:rPr>
        <w:tab/>
        <w:t>An offence under this Act may be prosecuted at any time.</w:t>
      </w:r>
    </w:p>
    <w:p>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pPr>
        <w:pStyle w:val="Subsection"/>
        <w:rPr>
          <w:snapToGrid w:val="0"/>
        </w:rPr>
      </w:pPr>
      <w:r>
        <w:rPr>
          <w:snapToGrid w:val="0"/>
        </w:rPr>
        <w:tab/>
        <w:t>(4)</w:t>
      </w:r>
      <w:r>
        <w:rPr>
          <w:snapToGrid w:val="0"/>
        </w:rPr>
        <w:tab/>
        <w:t>In proceedings for an offence under this Act — </w:t>
      </w:r>
    </w:p>
    <w:p>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w:t>
      </w:r>
    </w:p>
    <w:p>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w:t>
      </w:r>
    </w:p>
    <w:p>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w:t>
      </w:r>
    </w:p>
    <w:p>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w:t>
      </w:r>
    </w:p>
    <w:p>
      <w:pPr>
        <w:pStyle w:val="Indenta"/>
        <w:rPr>
          <w:snapToGrid w:val="0"/>
        </w:rPr>
      </w:pPr>
      <w:r>
        <w:rPr>
          <w:snapToGrid w:val="0"/>
        </w:rPr>
        <w:tab/>
        <w:t>(e)</w:t>
      </w:r>
      <w:r>
        <w:rPr>
          <w:snapToGrid w:val="0"/>
        </w:rPr>
        <w:tab/>
        <w:t xml:space="preserve">the authority of a person to accept service of documents on behalf of another shall be presumed in the absence of evidence to the contrary; </w:t>
      </w:r>
    </w:p>
    <w:p>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 </w:t>
      </w:r>
    </w:p>
    <w:p>
      <w:pPr>
        <w:pStyle w:val="Indenta"/>
        <w:rPr>
          <w:snapToGrid w:val="0"/>
        </w:rPr>
      </w:pPr>
      <w:r>
        <w:rPr>
          <w:snapToGrid w:val="0"/>
        </w:rPr>
        <w:tab/>
        <w:t>(a)</w:t>
      </w:r>
      <w:r>
        <w:rPr>
          <w:snapToGrid w:val="0"/>
        </w:rPr>
        <w:tab/>
        <w:t>in force under this Act; and</w:t>
      </w:r>
    </w:p>
    <w:p>
      <w:pPr>
        <w:pStyle w:val="Indenta"/>
        <w:keepNext/>
        <w:rPr>
          <w:snapToGrid w:val="0"/>
        </w:rPr>
      </w:pPr>
      <w:r>
        <w:rPr>
          <w:snapToGrid w:val="0"/>
        </w:rPr>
        <w:tab/>
        <w:t>(b)</w:t>
      </w:r>
      <w:r>
        <w:rPr>
          <w:snapToGrid w:val="0"/>
        </w:rPr>
        <w:tab/>
        <w:t>had been made, given, imposed or brought into force by a specified person or in a specified manner,</w:t>
      </w:r>
    </w:p>
    <w:p>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pPr>
        <w:pStyle w:val="Footnotesection"/>
      </w:pPr>
      <w:r>
        <w:tab/>
        <w:t xml:space="preserve">[Section 36 inserted by No. 10 of 1985 s. 41; amended by No. 74 of 1987 s. 36; No. 73 of 1994 s. 4; No. 24 of 1998 s. 30; No. 84 of 2004 s. 80.] </w:t>
      </w:r>
    </w:p>
    <w:p>
      <w:pPr>
        <w:pStyle w:val="Heading5"/>
        <w:rPr>
          <w:snapToGrid w:val="0"/>
        </w:rPr>
      </w:pPr>
      <w:bookmarkStart w:id="276" w:name="_Toc401978029"/>
      <w:bookmarkStart w:id="277" w:name="_Toc67305433"/>
      <w:bookmarkStart w:id="278" w:name="_Toc102797165"/>
      <w:bookmarkStart w:id="279" w:name="_Toc157836370"/>
      <w:r>
        <w:rPr>
          <w:rStyle w:val="CharSectno"/>
        </w:rPr>
        <w:t>37</w:t>
      </w:r>
      <w:r>
        <w:rPr>
          <w:snapToGrid w:val="0"/>
        </w:rPr>
        <w:t>.</w:t>
      </w:r>
      <w:r>
        <w:rPr>
          <w:snapToGrid w:val="0"/>
        </w:rPr>
        <w:tab/>
        <w:t>Regulations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without derogating from the generality of subsection (1) — </w:t>
      </w:r>
    </w:p>
    <w:p>
      <w:pPr>
        <w:pStyle w:val="Indenta"/>
        <w:rPr>
          <w:snapToGrid w:val="0"/>
        </w:rPr>
      </w:pPr>
      <w:r>
        <w:rPr>
          <w:snapToGrid w:val="0"/>
        </w:rPr>
        <w:tab/>
        <w:t>(a)</w:t>
      </w:r>
      <w:r>
        <w:rPr>
          <w:snapToGrid w:val="0"/>
        </w:rPr>
        <w:tab/>
        <w:t>be so made in respect of all or any of the matters specified in Schedule 2;</w:t>
      </w:r>
    </w:p>
    <w:p>
      <w:pPr>
        <w:pStyle w:val="Indenta"/>
        <w:rPr>
          <w:snapToGrid w:val="0"/>
        </w:rPr>
      </w:pPr>
      <w:r>
        <w:rPr>
          <w:snapToGrid w:val="0"/>
        </w:rPr>
        <w:tab/>
        <w:t>(b)</w:t>
      </w:r>
      <w:r>
        <w:rPr>
          <w:snapToGrid w:val="0"/>
        </w:rPr>
        <w:tab/>
        <w:t>create offences and prescribe in respect of any such offence a penalty not exceeding $2 000;</w:t>
      </w:r>
    </w:p>
    <w:p>
      <w:pPr>
        <w:pStyle w:val="Indenta"/>
        <w:rPr>
          <w:snapToGrid w:val="0"/>
        </w:rPr>
      </w:pPr>
      <w:r>
        <w:rPr>
          <w:snapToGrid w:val="0"/>
        </w:rPr>
        <w:tab/>
        <w:t>(c)</w:t>
      </w:r>
      <w:r>
        <w:rPr>
          <w:snapToGrid w:val="0"/>
        </w:rPr>
        <w:tab/>
        <w:t>be so made — </w:t>
      </w:r>
    </w:p>
    <w:p>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w:t>
      </w:r>
    </w:p>
    <w:p>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(3)</w:t>
      </w:r>
      <w:r>
        <w:rPr>
          <w:snapToGrid w:val="0"/>
        </w:rPr>
        <w:tab/>
        <w:t>In subsection (2)(c) — </w:t>
      </w:r>
    </w:p>
    <w:p>
      <w:pPr>
        <w:pStyle w:val="Defstart"/>
      </w:pPr>
      <w:r>
        <w:rPr>
          <w:b/>
        </w:rPr>
        <w:tab/>
      </w:r>
      <w:r>
        <w:rPr>
          <w:rStyle w:val="CharDefText"/>
        </w:rPr>
        <w:t>specified</w:t>
      </w:r>
      <w:r>
        <w:t xml:space="preserve"> means specified in regulations made under this section.</w:t>
      </w:r>
    </w:p>
    <w:p>
      <w:pPr>
        <w:pStyle w:val="yEdnoteschedule"/>
      </w:pPr>
      <w:r>
        <w:t xml:space="preserve">[Schedule 1 deleted by No. 73 of 1994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80" w:name="_Toc67305540"/>
      <w:bookmarkStart w:id="281" w:name="_Toc68062109"/>
    </w:p>
    <w:p>
      <w:pPr>
        <w:pStyle w:val="yScheduleHeading"/>
      </w:pPr>
      <w:bookmarkStart w:id="282" w:name="_Toc102797166"/>
      <w:bookmarkStart w:id="283" w:name="_Toc157323549"/>
      <w:bookmarkStart w:id="284" w:name="_Toc157323704"/>
      <w:bookmarkStart w:id="285" w:name="_Toc157836371"/>
      <w:r>
        <w:rPr>
          <w:rStyle w:val="CharSchNo"/>
        </w:rPr>
        <w:t>Schedule 2</w:t>
      </w:r>
      <w:bookmarkEnd w:id="280"/>
      <w:bookmarkEnd w:id="281"/>
      <w:bookmarkEnd w:id="282"/>
      <w:bookmarkEnd w:id="283"/>
      <w:bookmarkEnd w:id="284"/>
      <w:bookmarkEnd w:id="285"/>
    </w:p>
    <w:p>
      <w:pPr>
        <w:pStyle w:val="yShoulderClause"/>
        <w:spacing w:before="60"/>
        <w:rPr>
          <w:snapToGrid w:val="0"/>
        </w:rPr>
      </w:pPr>
      <w:r>
        <w:rPr>
          <w:snapToGrid w:val="0"/>
        </w:rPr>
        <w:t>[Section 37]</w:t>
      </w:r>
    </w:p>
    <w:p>
      <w:pPr>
        <w:pStyle w:val="yHeading2"/>
        <w:spacing w:before="80"/>
        <w:outlineLvl w:val="9"/>
      </w:pPr>
      <w:bookmarkStart w:id="286" w:name="_Toc68336923"/>
      <w:bookmarkStart w:id="287" w:name="_Toc68508192"/>
      <w:bookmarkStart w:id="288" w:name="_Toc102797167"/>
      <w:bookmarkStart w:id="289" w:name="_Toc157323550"/>
      <w:bookmarkStart w:id="290" w:name="_Toc157323705"/>
      <w:bookmarkStart w:id="291" w:name="_Toc157836372"/>
      <w:r>
        <w:rPr>
          <w:rStyle w:val="CharSchText"/>
        </w:rPr>
        <w:t>Matters in respect of which Governor may make regulations</w:t>
      </w:r>
      <w:bookmarkEnd w:id="286"/>
      <w:bookmarkEnd w:id="287"/>
      <w:bookmarkEnd w:id="288"/>
      <w:bookmarkEnd w:id="289"/>
      <w:bookmarkEnd w:id="290"/>
      <w:bookmarkEnd w:id="291"/>
    </w:p>
    <w:p>
      <w:pPr>
        <w:pStyle w:val="ySubsection"/>
        <w:spacing w:before="100"/>
        <w:rPr>
          <w:snapToGrid w:val="0"/>
        </w:rPr>
      </w:pPr>
      <w:r>
        <w:rPr>
          <w:snapToGrid w:val="0"/>
        </w:rPr>
        <w:tab/>
        <w:t>1.</w:t>
      </w:r>
      <w:r>
        <w:rPr>
          <w:snapToGrid w:val="0"/>
        </w:rPr>
        <w:tab/>
        <w:t>The qualifications, training and experience to be required of government inspectors.</w:t>
      </w:r>
    </w:p>
    <w:p>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pPr>
        <w:pStyle w:val="ySubsection"/>
        <w:spacing w:before="100"/>
        <w:rPr>
          <w:snapToGrid w:val="0"/>
        </w:rPr>
      </w:pPr>
      <w:r>
        <w:rPr>
          <w:snapToGrid w:val="0"/>
        </w:rPr>
        <w:tab/>
        <w:t>2a.</w:t>
      </w:r>
      <w:r>
        <w:rPr>
          <w:snapToGrid w:val="0"/>
        </w:rPr>
        <w:tab/>
        <w:t xml:space="preserve">The disciplinary actions that the Commission may take in relation to a person licensed as a casino employee or a casino key employee, which may include — </w:t>
      </w:r>
    </w:p>
    <w:p>
      <w:pPr>
        <w:pStyle w:val="yIndenta"/>
        <w:spacing w:before="60"/>
        <w:rPr>
          <w:snapToGrid w:val="0"/>
        </w:rPr>
      </w:pPr>
      <w:r>
        <w:rPr>
          <w:snapToGrid w:val="0"/>
        </w:rPr>
        <w:tab/>
        <w:t>(a)</w:t>
      </w:r>
      <w:r>
        <w:rPr>
          <w:snapToGrid w:val="0"/>
        </w:rPr>
        <w:tab/>
        <w:t>the service of a letter of censure on the employee;</w:t>
      </w:r>
    </w:p>
    <w:p>
      <w:pPr>
        <w:pStyle w:val="yIndenta"/>
        <w:spacing w:before="60"/>
        <w:rPr>
          <w:snapToGrid w:val="0"/>
        </w:rPr>
      </w:pPr>
      <w:r>
        <w:rPr>
          <w:snapToGrid w:val="0"/>
        </w:rPr>
        <w:tab/>
        <w:t>(b)</w:t>
      </w:r>
      <w:r>
        <w:rPr>
          <w:snapToGrid w:val="0"/>
        </w:rPr>
        <w:tab/>
        <w:t>the imposition of a fine not exceeding $1 000; or</w:t>
      </w:r>
    </w:p>
    <w:p>
      <w:pPr>
        <w:pStyle w:val="yIndenta"/>
        <w:spacing w:before="60"/>
        <w:rPr>
          <w:snapToGrid w:val="0"/>
        </w:rPr>
      </w:pPr>
      <w:r>
        <w:rPr>
          <w:snapToGrid w:val="0"/>
        </w:rPr>
        <w:tab/>
        <w:t>(c)</w:t>
      </w:r>
      <w:r>
        <w:rPr>
          <w:snapToGrid w:val="0"/>
        </w:rPr>
        <w:tab/>
        <w:t>the cancellation or suspension of the licence held by the employee,</w:t>
      </w:r>
    </w:p>
    <w:p>
      <w:pPr>
        <w:pStyle w:val="ySubsection"/>
        <w:spacing w:before="100"/>
        <w:rPr>
          <w:snapToGrid w:val="0"/>
        </w:rPr>
      </w:pPr>
      <w:r>
        <w:rPr>
          <w:snapToGrid w:val="0"/>
        </w:rPr>
        <w:tab/>
      </w:r>
      <w:r>
        <w:rPr>
          <w:snapToGrid w:val="0"/>
        </w:rPr>
        <w:tab/>
        <w:t>or any combination of those actions.</w:t>
      </w:r>
    </w:p>
    <w:p>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pPr>
        <w:pStyle w:val="yFootnotesection"/>
        <w:keepLines w:val="0"/>
      </w:pPr>
      <w:r>
        <w:tab/>
        <w:t xml:space="preserve">[Schedule 2 amended by No. 10 of 1985 s. 43; No. 24 of 1998 s. 31.]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92" w:name="_Toc68336858"/>
      <w:bookmarkStart w:id="293" w:name="_Toc68336924"/>
      <w:bookmarkStart w:id="294" w:name="_Toc68507361"/>
    </w:p>
    <w:p>
      <w:pPr>
        <w:pStyle w:val="nHeading2"/>
      </w:pPr>
      <w:bookmarkStart w:id="295" w:name="_Toc68508193"/>
      <w:bookmarkStart w:id="296" w:name="_Toc71452191"/>
      <w:bookmarkStart w:id="297" w:name="_Toc95725669"/>
      <w:bookmarkStart w:id="298" w:name="_Toc96939158"/>
      <w:bookmarkStart w:id="299" w:name="_Toc102797168"/>
      <w:bookmarkStart w:id="300" w:name="_Toc157323551"/>
      <w:bookmarkStart w:id="301" w:name="_Toc157323706"/>
      <w:bookmarkStart w:id="302" w:name="_Toc157836373"/>
      <w:r>
        <w:t>Notes</w:t>
      </w:r>
      <w:bookmarkEnd w:id="292"/>
      <w:bookmarkEnd w:id="293"/>
      <w:bookmarkEnd w:id="294"/>
      <w:bookmarkEnd w:id="295"/>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Act 1984</w:t>
      </w:r>
      <w:r>
        <w:rPr>
          <w:snapToGrid w:val="0"/>
        </w:rPr>
        <w:t xml:space="preserve"> and includes the amendments made by the other written laws referred to in the following table</w:t>
      </w:r>
      <w:ins w:id="303" w:author="svcMRProcess" w:date="2015-10-28T13:39:00Z">
        <w:r>
          <w:rPr>
            <w:snapToGrid w:val="0"/>
            <w:vertAlign w:val="superscript"/>
          </w:rPr>
          <w:t> 1a</w:t>
        </w:r>
      </w:ins>
      <w:r>
        <w:rPr>
          <w:snapToGrid w:val="0"/>
        </w:rPr>
        <w:t>.  The table also contains information about any reprint.</w:t>
      </w:r>
    </w:p>
    <w:p>
      <w:pPr>
        <w:pStyle w:val="nHeading3"/>
        <w:rPr>
          <w:snapToGrid w:val="0"/>
        </w:rPr>
      </w:pPr>
      <w:bookmarkStart w:id="304" w:name="_Toc102797169"/>
      <w:bookmarkStart w:id="305" w:name="_Toc157836374"/>
      <w:r>
        <w:rPr>
          <w:snapToGrid w:val="0"/>
        </w:rPr>
        <w:t>Compilation table</w:t>
      </w:r>
      <w:bookmarkEnd w:id="304"/>
      <w:bookmarkEnd w:id="305"/>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Casino Control Act 1984</w:t>
            </w:r>
          </w:p>
        </w:tc>
        <w:tc>
          <w:tcPr>
            <w:tcW w:w="1134" w:type="dxa"/>
          </w:tcPr>
          <w:p>
            <w:pPr>
              <w:pStyle w:val="nTable"/>
              <w:spacing w:after="40"/>
              <w:rPr>
                <w:sz w:val="19"/>
              </w:rPr>
            </w:pPr>
            <w:r>
              <w:rPr>
                <w:sz w:val="19"/>
              </w:rPr>
              <w:t>34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1 Jul 1984 (see s. 2 and </w:t>
            </w:r>
            <w:r>
              <w:rPr>
                <w:i/>
                <w:sz w:val="19"/>
              </w:rPr>
              <w:t>Gazette</w:t>
            </w:r>
            <w:r>
              <w:rPr>
                <w:sz w:val="19"/>
              </w:rPr>
              <w:t xml:space="preserve"> 29 Jun 1984 p. 1754)</w:t>
            </w:r>
          </w:p>
        </w:tc>
      </w:tr>
      <w:tr>
        <w:tc>
          <w:tcPr>
            <w:tcW w:w="2268" w:type="dxa"/>
          </w:tcPr>
          <w:p>
            <w:pPr>
              <w:pStyle w:val="nTable"/>
              <w:spacing w:after="40"/>
              <w:rPr>
                <w:sz w:val="19"/>
              </w:rPr>
            </w:pPr>
            <w:r>
              <w:rPr>
                <w:i/>
                <w:sz w:val="19"/>
              </w:rPr>
              <w:t xml:space="preserve">Acts Amendment and Validation (Casino Control) Act 1985 </w:t>
            </w:r>
            <w:r>
              <w:rPr>
                <w:sz w:val="19"/>
              </w:rPr>
              <w:t>Pt. V</w:t>
            </w:r>
            <w:r>
              <w:rPr>
                <w:sz w:val="19"/>
                <w:vertAlign w:val="superscript"/>
              </w:rPr>
              <w:t> 2</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c>
          <w:tcPr>
            <w:tcW w:w="2268" w:type="dxa"/>
          </w:tcPr>
          <w:p>
            <w:pPr>
              <w:pStyle w:val="nTable"/>
              <w:spacing w:after="40"/>
              <w:rPr>
                <w:sz w:val="19"/>
              </w:rPr>
            </w:pPr>
            <w:r>
              <w:rPr>
                <w:i/>
                <w:sz w:val="19"/>
              </w:rPr>
              <w:t xml:space="preserve">Acts Amendment (Gaming and Related Provisions) Act 1985 </w:t>
            </w:r>
            <w:r>
              <w:rPr>
                <w:sz w:val="19"/>
              </w:rPr>
              <w:t>Pt. VI</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c>
          <w:tcPr>
            <w:tcW w:w="2268" w:type="dxa"/>
          </w:tcPr>
          <w:p>
            <w:pPr>
              <w:pStyle w:val="nTable"/>
              <w:spacing w:after="40"/>
              <w:rPr>
                <w:sz w:val="19"/>
              </w:rPr>
            </w:pPr>
            <w:r>
              <w:rPr>
                <w:i/>
                <w:sz w:val="19"/>
              </w:rPr>
              <w:t>Casino Control Amendment Act 1985</w:t>
            </w:r>
          </w:p>
        </w:tc>
        <w:tc>
          <w:tcPr>
            <w:tcW w:w="1134" w:type="dxa"/>
          </w:tcPr>
          <w:p>
            <w:pPr>
              <w:pStyle w:val="nTable"/>
              <w:spacing w:after="40"/>
              <w:rPr>
                <w:sz w:val="19"/>
              </w:rPr>
            </w:pPr>
            <w:r>
              <w:rPr>
                <w:sz w:val="19"/>
              </w:rPr>
              <w:t>64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3 Dec 1985</w:t>
            </w:r>
          </w:p>
        </w:tc>
      </w:tr>
      <w:tr>
        <w:tc>
          <w:tcPr>
            <w:tcW w:w="2268" w:type="dxa"/>
          </w:tcPr>
          <w:p>
            <w:pPr>
              <w:pStyle w:val="nTable"/>
              <w:spacing w:after="40"/>
              <w:rPr>
                <w:sz w:val="19"/>
                <w:vertAlign w:val="superscript"/>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 xml:space="preserve">Acts Amendment (Casino Control) Act 1987 </w:t>
            </w:r>
            <w:r>
              <w:rPr>
                <w:sz w:val="19"/>
              </w:rPr>
              <w:t>Pt. III</w:t>
            </w:r>
          </w:p>
        </w:tc>
        <w:tc>
          <w:tcPr>
            <w:tcW w:w="1134" w:type="dxa"/>
          </w:tcPr>
          <w:p>
            <w:pPr>
              <w:pStyle w:val="nTable"/>
              <w:spacing w:after="40"/>
              <w:rPr>
                <w:sz w:val="19"/>
              </w:rPr>
            </w:pPr>
            <w:r>
              <w:rPr>
                <w:sz w:val="19"/>
              </w:rPr>
              <w:t>44 of 1987</w:t>
            </w:r>
          </w:p>
        </w:tc>
        <w:tc>
          <w:tcPr>
            <w:tcW w:w="1134" w:type="dxa"/>
          </w:tcPr>
          <w:p>
            <w:pPr>
              <w:pStyle w:val="nTable"/>
              <w:spacing w:after="40"/>
              <w:rPr>
                <w:sz w:val="19"/>
              </w:rPr>
            </w:pPr>
            <w:r>
              <w:rPr>
                <w:sz w:val="19"/>
              </w:rPr>
              <w:t>22 Sep 1987</w:t>
            </w:r>
          </w:p>
        </w:tc>
        <w:tc>
          <w:tcPr>
            <w:tcW w:w="2551" w:type="dxa"/>
          </w:tcPr>
          <w:p>
            <w:pPr>
              <w:pStyle w:val="nTable"/>
              <w:spacing w:after="40"/>
              <w:rPr>
                <w:sz w:val="19"/>
              </w:rPr>
            </w:pPr>
            <w:r>
              <w:rPr>
                <w:sz w:val="19"/>
              </w:rPr>
              <w:t>13 Sep 1987 (see s. 2)</w:t>
            </w:r>
          </w:p>
        </w:tc>
      </w:tr>
      <w:tr>
        <w:tc>
          <w:tcPr>
            <w:tcW w:w="2268" w:type="dxa"/>
          </w:tcPr>
          <w:p>
            <w:pPr>
              <w:pStyle w:val="nTable"/>
              <w:spacing w:after="40"/>
              <w:rPr>
                <w:sz w:val="19"/>
              </w:rPr>
            </w:pPr>
            <w:r>
              <w:rPr>
                <w:i/>
                <w:sz w:val="19"/>
              </w:rPr>
              <w:t xml:space="preserve">Acts Amendment and Repeal (Gaming) Act 1987 </w:t>
            </w:r>
            <w:r>
              <w:rPr>
                <w:sz w:val="19"/>
              </w:rPr>
              <w:t xml:space="preserve">Pt. III </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7087" w:type="dxa"/>
            <w:gridSpan w:val="4"/>
          </w:tcPr>
          <w:p>
            <w:pPr>
              <w:pStyle w:val="nTable"/>
              <w:spacing w:after="40"/>
              <w:rPr>
                <w:sz w:val="19"/>
              </w:rPr>
            </w:pPr>
            <w:r>
              <w:rPr>
                <w:b/>
                <w:sz w:val="19"/>
              </w:rPr>
              <w:t xml:space="preserve">Reprint of the </w:t>
            </w:r>
            <w:r>
              <w:rPr>
                <w:b/>
                <w:i/>
                <w:sz w:val="19"/>
              </w:rPr>
              <w:t>Casino Control Act 1984</w:t>
            </w:r>
            <w:r>
              <w:rPr>
                <w:b/>
                <w:sz w:val="19"/>
              </w:rPr>
              <w:t xml:space="preserve"> as at 18 Apr 1989 </w:t>
            </w:r>
            <w:r>
              <w:rPr>
                <w:sz w:val="19"/>
              </w:rPr>
              <w:t>(includes amendments listed above)</w:t>
            </w:r>
          </w:p>
        </w:tc>
      </w:tr>
      <w:t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1"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1" w:type="dxa"/>
          </w:tcPr>
          <w:p>
            <w:pPr>
              <w:pStyle w:val="nTable"/>
              <w:spacing w:after="40"/>
              <w:rPr>
                <w:sz w:val="19"/>
              </w:rPr>
            </w:pPr>
            <w:r>
              <w:rPr>
                <w:sz w:val="19"/>
              </w:rPr>
              <w:t>25 Oct 1996 (see s. 2(1))</w:t>
            </w:r>
          </w:p>
        </w:tc>
      </w:tr>
      <w:tr>
        <w:tc>
          <w:tcPr>
            <w:tcW w:w="2268" w:type="dxa"/>
          </w:tcPr>
          <w:p>
            <w:pPr>
              <w:pStyle w:val="nTable"/>
              <w:keepNext/>
              <w:keepLines/>
              <w:spacing w:after="40"/>
              <w:rPr>
                <w:sz w:val="19"/>
              </w:rPr>
            </w:pPr>
            <w:r>
              <w:rPr>
                <w:i/>
                <w:sz w:val="19"/>
              </w:rPr>
              <w:t xml:space="preserve">Statutes (Repeals and Minor Amendments) Act 1997 </w:t>
            </w:r>
            <w:r>
              <w:rPr>
                <w:sz w:val="19"/>
              </w:rPr>
              <w:t>s. 28</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c>
          <w:tcPr>
            <w:tcW w:w="2268" w:type="dxa"/>
          </w:tcPr>
          <w:p>
            <w:pPr>
              <w:pStyle w:val="nTable"/>
              <w:spacing w:after="40"/>
              <w:rPr>
                <w:sz w:val="19"/>
                <w:vertAlign w:val="superscript"/>
              </w:rPr>
            </w:pPr>
            <w:r>
              <w:rPr>
                <w:i/>
                <w:sz w:val="19"/>
              </w:rPr>
              <w:t>Acts Amendment (Gaming) Act 1998</w:t>
            </w:r>
            <w:r>
              <w:rPr>
                <w:sz w:val="19"/>
              </w:rPr>
              <w:t xml:space="preserve"> Pt. 2 </w:t>
            </w:r>
            <w:r>
              <w:rPr>
                <w:sz w:val="19"/>
                <w:vertAlign w:val="superscript"/>
              </w:rPr>
              <w:t>3</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Casino Control Act 1984</w:t>
            </w:r>
            <w:r>
              <w:rPr>
                <w:b/>
                <w:sz w:val="19"/>
              </w:rPr>
              <w:t xml:space="preserve"> as at 30 Oct 1998 </w:t>
            </w:r>
            <w:r>
              <w:rPr>
                <w:sz w:val="19"/>
              </w:rPr>
              <w:t>(includes amendments listed above)</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Racing and Gambling Legislation Amendment and Repeal Act 2003</w:t>
            </w:r>
            <w:r>
              <w:rPr>
                <w:sz w:val="19"/>
              </w:rPr>
              <w:t xml:space="preserve"> s. 171</w:t>
            </w:r>
          </w:p>
        </w:tc>
        <w:tc>
          <w:tcPr>
            <w:tcW w:w="1134" w:type="dxa"/>
          </w:tcPr>
          <w:p>
            <w:pPr>
              <w:pStyle w:val="nTable"/>
              <w:keepNext/>
              <w:keepLines/>
              <w:spacing w:after="40"/>
              <w:rPr>
                <w:sz w:val="19"/>
              </w:rPr>
            </w:pPr>
            <w:r>
              <w:rPr>
                <w:sz w:val="19"/>
              </w:rPr>
              <w:t>35 of 2003</w:t>
            </w:r>
          </w:p>
        </w:tc>
        <w:tc>
          <w:tcPr>
            <w:tcW w:w="1134" w:type="dxa"/>
          </w:tcPr>
          <w:p>
            <w:pPr>
              <w:pStyle w:val="nTable"/>
              <w:keepNext/>
              <w:keepLines/>
              <w:spacing w:after="40"/>
              <w:rPr>
                <w:sz w:val="19"/>
              </w:rPr>
            </w:pPr>
            <w:r>
              <w:rPr>
                <w:sz w:val="19"/>
              </w:rPr>
              <w:t>26 Jun 2003</w:t>
            </w:r>
          </w:p>
        </w:tc>
        <w:tc>
          <w:tcPr>
            <w:tcW w:w="2551" w:type="dxa"/>
          </w:tcPr>
          <w:p>
            <w:pPr>
              <w:pStyle w:val="nTable"/>
              <w:keepNext/>
              <w:keepLines/>
              <w:spacing w:after="40"/>
              <w:ind w:right="113"/>
              <w:rPr>
                <w:sz w:val="19"/>
              </w:rPr>
            </w:pPr>
            <w:r>
              <w:rPr>
                <w:sz w:val="19"/>
              </w:rPr>
              <w:t xml:space="preserve">30 Jan 2004 (see s. 2 and </w:t>
            </w:r>
            <w:r>
              <w:rPr>
                <w:i/>
                <w:sz w:val="19"/>
              </w:rPr>
              <w:t>Gazette</w:t>
            </w:r>
            <w:r>
              <w:rPr>
                <w:sz w:val="19"/>
              </w:rPr>
              <w:t xml:space="preserve"> 30 Jan 2004 p. 397)</w:t>
            </w:r>
          </w:p>
        </w:tc>
      </w:tr>
      <w:tr>
        <w:trPr>
          <w:cantSplit/>
        </w:trPr>
        <w:tc>
          <w:tcPr>
            <w:tcW w:w="7087" w:type="dxa"/>
            <w:gridSpan w:val="4"/>
          </w:tcPr>
          <w:p>
            <w:pPr>
              <w:pStyle w:val="nTable"/>
              <w:spacing w:after="40"/>
              <w:ind w:right="113"/>
              <w:rPr>
                <w:sz w:val="19"/>
              </w:rPr>
            </w:pPr>
            <w:r>
              <w:rPr>
                <w:b/>
                <w:sz w:val="19"/>
              </w:rPr>
              <w:t xml:space="preserve">Reprint 3:  The </w:t>
            </w:r>
            <w:r>
              <w:rPr>
                <w:b/>
                <w:i/>
                <w:sz w:val="19"/>
              </w:rPr>
              <w:t>Casino Control Act 1984</w:t>
            </w:r>
            <w:r>
              <w:rPr>
                <w:b/>
                <w:sz w:val="19"/>
              </w:rPr>
              <w:t xml:space="preserve"> as at 2 Apr 2004 </w:t>
            </w:r>
            <w:r>
              <w:rPr>
                <w:sz w:val="19"/>
              </w:rPr>
              <w:t>(includes amendments listed above)</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ind w:right="113"/>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i/>
                <w:iCs/>
                <w:snapToGrid w:val="0"/>
                <w:sz w:val="19"/>
                <w:lang w:val="en-US"/>
              </w:rPr>
            </w:pPr>
            <w:bookmarkStart w:id="306" w:name="UpToHere"/>
            <w:bookmarkEnd w:id="306"/>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keepNext/>
              <w:keepLines/>
              <w:spacing w:after="40"/>
              <w:rPr>
                <w:sz w:val="19"/>
              </w:rPr>
            </w:pPr>
            <w:r>
              <w:rPr>
                <w:snapToGrid w:val="0"/>
                <w:sz w:val="19"/>
                <w:lang w:val="en-US"/>
              </w:rPr>
              <w:t>21 Dec 2006</w:t>
            </w:r>
          </w:p>
        </w:tc>
        <w:tc>
          <w:tcPr>
            <w:tcW w:w="2551" w:type="dxa"/>
            <w:tcBorders>
              <w:bottom w:val="single" w:sz="4" w:space="0" w:color="auto"/>
            </w:tcBorders>
          </w:tcPr>
          <w:p>
            <w:pPr>
              <w:pStyle w:val="nTable"/>
              <w:keepNext/>
              <w:keepLines/>
              <w:spacing w:after="40"/>
              <w:ind w:right="113"/>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20"/>
        <w:rPr>
          <w:ins w:id="307" w:author="svcMRProcess" w:date="2015-10-28T13:39:00Z"/>
          <w:vertAlign w:val="superscript"/>
        </w:rPr>
      </w:pPr>
    </w:p>
    <w:p>
      <w:pPr>
        <w:pStyle w:val="nSubsection"/>
        <w:tabs>
          <w:tab w:val="clear" w:pos="454"/>
          <w:tab w:val="left" w:pos="567"/>
        </w:tabs>
        <w:spacing w:before="120"/>
        <w:ind w:left="567" w:hanging="567"/>
        <w:rPr>
          <w:ins w:id="308" w:author="svcMRProcess" w:date="2015-10-28T13:39:00Z"/>
          <w:snapToGrid w:val="0"/>
        </w:rPr>
      </w:pPr>
      <w:ins w:id="309" w:author="svcMRProcess" w:date="2015-10-28T13: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0" w:author="svcMRProcess" w:date="2015-10-28T13:39:00Z"/>
        </w:rPr>
      </w:pPr>
      <w:bookmarkStart w:id="311" w:name="_Toc7405065"/>
      <w:ins w:id="312" w:author="svcMRProcess" w:date="2015-10-28T13:39:00Z">
        <w:r>
          <w:t>Provisions that have not come into operation</w:t>
        </w:r>
        <w:bookmarkEnd w:id="31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13" w:author="svcMRProcess" w:date="2015-10-28T13:39:00Z"/>
        </w:trPr>
        <w:tc>
          <w:tcPr>
            <w:tcW w:w="2266" w:type="dxa"/>
          </w:tcPr>
          <w:p>
            <w:pPr>
              <w:pStyle w:val="nTable"/>
              <w:spacing w:after="40"/>
              <w:rPr>
                <w:ins w:id="314" w:author="svcMRProcess" w:date="2015-10-28T13:39:00Z"/>
                <w:b/>
                <w:snapToGrid w:val="0"/>
                <w:sz w:val="19"/>
                <w:lang w:val="en-US"/>
              </w:rPr>
            </w:pPr>
            <w:ins w:id="315" w:author="svcMRProcess" w:date="2015-10-28T13:39:00Z">
              <w:r>
                <w:rPr>
                  <w:b/>
                  <w:snapToGrid w:val="0"/>
                  <w:sz w:val="19"/>
                  <w:lang w:val="en-US"/>
                </w:rPr>
                <w:t>Short title</w:t>
              </w:r>
            </w:ins>
          </w:p>
        </w:tc>
        <w:tc>
          <w:tcPr>
            <w:tcW w:w="1120" w:type="dxa"/>
          </w:tcPr>
          <w:p>
            <w:pPr>
              <w:pStyle w:val="nTable"/>
              <w:spacing w:after="40"/>
              <w:rPr>
                <w:ins w:id="316" w:author="svcMRProcess" w:date="2015-10-28T13:39:00Z"/>
                <w:b/>
                <w:snapToGrid w:val="0"/>
                <w:sz w:val="19"/>
                <w:lang w:val="en-US"/>
              </w:rPr>
            </w:pPr>
            <w:ins w:id="317" w:author="svcMRProcess" w:date="2015-10-28T13:39:00Z">
              <w:r>
                <w:rPr>
                  <w:b/>
                  <w:snapToGrid w:val="0"/>
                  <w:sz w:val="19"/>
                  <w:lang w:val="en-US"/>
                </w:rPr>
                <w:t>Number and year</w:t>
              </w:r>
            </w:ins>
          </w:p>
        </w:tc>
        <w:tc>
          <w:tcPr>
            <w:tcW w:w="1135" w:type="dxa"/>
          </w:tcPr>
          <w:p>
            <w:pPr>
              <w:pStyle w:val="nTable"/>
              <w:spacing w:after="40"/>
              <w:rPr>
                <w:ins w:id="318" w:author="svcMRProcess" w:date="2015-10-28T13:39:00Z"/>
                <w:b/>
                <w:snapToGrid w:val="0"/>
                <w:sz w:val="19"/>
                <w:lang w:val="en-US"/>
              </w:rPr>
            </w:pPr>
            <w:ins w:id="319" w:author="svcMRProcess" w:date="2015-10-28T13:39:00Z">
              <w:r>
                <w:rPr>
                  <w:b/>
                  <w:snapToGrid w:val="0"/>
                  <w:sz w:val="19"/>
                  <w:lang w:val="en-US"/>
                </w:rPr>
                <w:t>Assent</w:t>
              </w:r>
            </w:ins>
          </w:p>
        </w:tc>
        <w:tc>
          <w:tcPr>
            <w:tcW w:w="2534" w:type="dxa"/>
          </w:tcPr>
          <w:p>
            <w:pPr>
              <w:pStyle w:val="nTable"/>
              <w:spacing w:after="40"/>
              <w:rPr>
                <w:ins w:id="320" w:author="svcMRProcess" w:date="2015-10-28T13:39:00Z"/>
                <w:b/>
                <w:snapToGrid w:val="0"/>
                <w:sz w:val="19"/>
                <w:lang w:val="en-US"/>
              </w:rPr>
            </w:pPr>
            <w:ins w:id="321" w:author="svcMRProcess" w:date="2015-10-28T13:39:00Z">
              <w:r>
                <w:rPr>
                  <w:b/>
                  <w:snapToGrid w:val="0"/>
                  <w:sz w:val="19"/>
                  <w:lang w:val="en-US"/>
                </w:rPr>
                <w:t>Commencement</w:t>
              </w:r>
            </w:ins>
          </w:p>
        </w:tc>
      </w:tr>
      <w:tr>
        <w:tblPrEx>
          <w:tblCellMar>
            <w:left w:w="56" w:type="dxa"/>
            <w:right w:w="56" w:type="dxa"/>
          </w:tblCellMar>
        </w:tblPrEx>
        <w:trPr>
          <w:cantSplit/>
          <w:ins w:id="322" w:author="svcMRProcess" w:date="2015-10-28T13:39:00Z"/>
        </w:trPr>
        <w:tc>
          <w:tcPr>
            <w:tcW w:w="2266" w:type="dxa"/>
          </w:tcPr>
          <w:p>
            <w:pPr>
              <w:pStyle w:val="nTable"/>
              <w:spacing w:after="40"/>
              <w:ind w:right="113"/>
              <w:rPr>
                <w:ins w:id="323" w:author="svcMRProcess" w:date="2015-10-28T13:39:00Z"/>
                <w:iCs/>
                <w:snapToGrid w:val="0"/>
                <w:sz w:val="19"/>
                <w:lang w:val="en-US"/>
              </w:rPr>
            </w:pPr>
            <w:ins w:id="324" w:author="svcMRProcess" w:date="2015-10-28T13:3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325" w:author="svcMRProcess" w:date="2015-10-28T13:39:00Z"/>
                <w:snapToGrid w:val="0"/>
                <w:sz w:val="19"/>
                <w:lang w:val="en-US"/>
              </w:rPr>
            </w:pPr>
            <w:ins w:id="326" w:author="svcMRProcess" w:date="2015-10-28T13:39:00Z">
              <w:r>
                <w:rPr>
                  <w:snapToGrid w:val="0"/>
                  <w:sz w:val="19"/>
                  <w:lang w:val="en-US"/>
                </w:rPr>
                <w:t>19 of 2010</w:t>
              </w:r>
            </w:ins>
          </w:p>
        </w:tc>
        <w:tc>
          <w:tcPr>
            <w:tcW w:w="1135" w:type="dxa"/>
          </w:tcPr>
          <w:p>
            <w:pPr>
              <w:pStyle w:val="nTable"/>
              <w:spacing w:after="40"/>
              <w:rPr>
                <w:ins w:id="327" w:author="svcMRProcess" w:date="2015-10-28T13:39:00Z"/>
                <w:snapToGrid w:val="0"/>
                <w:sz w:val="19"/>
                <w:lang w:val="en-US"/>
              </w:rPr>
            </w:pPr>
            <w:ins w:id="328" w:author="svcMRProcess" w:date="2015-10-28T13:39:00Z">
              <w:r>
                <w:rPr>
                  <w:snapToGrid w:val="0"/>
                  <w:sz w:val="19"/>
                  <w:lang w:val="en-US"/>
                </w:rPr>
                <w:t>28 Jun 2010</w:t>
              </w:r>
            </w:ins>
          </w:p>
        </w:tc>
        <w:tc>
          <w:tcPr>
            <w:tcW w:w="2534" w:type="dxa"/>
          </w:tcPr>
          <w:p>
            <w:pPr>
              <w:pStyle w:val="nTable"/>
              <w:spacing w:after="40"/>
              <w:rPr>
                <w:ins w:id="329" w:author="svcMRProcess" w:date="2015-10-28T13:39:00Z"/>
                <w:snapToGrid w:val="0"/>
                <w:sz w:val="19"/>
                <w:lang w:val="en-US"/>
              </w:rPr>
            </w:pPr>
            <w:ins w:id="330" w:author="svcMRProcess" w:date="2015-10-28T13:39:00Z">
              <w:r>
                <w:rPr>
                  <w:snapToGrid w:val="0"/>
                  <w:sz w:val="19"/>
                  <w:lang w:val="en-US"/>
                </w:rPr>
                <w:t>To be proclaimed (see s. 2(b))</w:t>
              </w:r>
            </w:ins>
          </w:p>
        </w:tc>
      </w:tr>
    </w:tbl>
    <w:p>
      <w:pPr>
        <w:pStyle w:val="nSubsection"/>
        <w:spacing w:before="120"/>
        <w:rPr>
          <w:ins w:id="331" w:author="svcMRProcess" w:date="2015-10-28T13:39:00Z"/>
          <w:vertAlign w:val="superscript"/>
        </w:rPr>
      </w:pPr>
    </w:p>
    <w:p>
      <w:pPr>
        <w:pStyle w:val="nSubsection"/>
        <w:spacing w:before="120"/>
      </w:pPr>
      <w:r>
        <w:rPr>
          <w:vertAlign w:val="superscript"/>
        </w:rPr>
        <w:t>2</w:t>
      </w:r>
      <w:r>
        <w:tab/>
        <w:t xml:space="preserve">The </w:t>
      </w:r>
      <w:r>
        <w:rPr>
          <w:i/>
        </w:rPr>
        <w:t>Acts Amendment and Validation (Casino Control) Act 1985</w:t>
      </w:r>
      <w:r>
        <w:t xml:space="preserve"> s. 44 is a validation provision.</w:t>
      </w:r>
    </w:p>
    <w:p>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pPr>
        <w:pStyle w:val="nSubsection"/>
        <w:spacing w:before="120"/>
        <w:rPr>
          <w:ins w:id="332" w:author="svcMRProcess" w:date="2015-10-28T13:39:00Z"/>
          <w:snapToGrid w:val="0"/>
        </w:rPr>
      </w:pPr>
      <w:ins w:id="333" w:author="svcMRProcess" w:date="2015-10-28T13:3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34" w:author="svcMRProcess" w:date="2015-10-28T13:39:00Z"/>
        </w:rPr>
      </w:pPr>
    </w:p>
    <w:p>
      <w:pPr>
        <w:pStyle w:val="nzHeading5"/>
        <w:rPr>
          <w:ins w:id="335" w:author="svcMRProcess" w:date="2015-10-28T13:39:00Z"/>
          <w:rFonts w:eastAsia="MS Mincho"/>
        </w:rPr>
      </w:pPr>
      <w:bookmarkStart w:id="336" w:name="_Toc233107675"/>
      <w:bookmarkStart w:id="337" w:name="_Toc255473698"/>
      <w:bookmarkStart w:id="338" w:name="_Toc265583753"/>
      <w:ins w:id="339" w:author="svcMRProcess" w:date="2015-10-28T13:39:00Z">
        <w:r>
          <w:rPr>
            <w:rStyle w:val="CharSectno"/>
            <w:rFonts w:eastAsia="MS Mincho"/>
          </w:rPr>
          <w:t>4</w:t>
        </w:r>
        <w:r>
          <w:rPr>
            <w:rFonts w:eastAsia="MS Mincho"/>
          </w:rPr>
          <w:t>.</w:t>
        </w:r>
        <w:r>
          <w:rPr>
            <w:rFonts w:eastAsia="MS Mincho"/>
          </w:rPr>
          <w:tab/>
          <w:t>Schedule headings reformatted</w:t>
        </w:r>
        <w:bookmarkEnd w:id="336"/>
        <w:bookmarkEnd w:id="337"/>
        <w:bookmarkEnd w:id="338"/>
      </w:ins>
    </w:p>
    <w:p>
      <w:pPr>
        <w:pStyle w:val="nzSubsection"/>
        <w:rPr>
          <w:ins w:id="340" w:author="svcMRProcess" w:date="2015-10-28T13:39:00Z"/>
          <w:rFonts w:eastAsia="MS Mincho"/>
        </w:rPr>
      </w:pPr>
      <w:ins w:id="341" w:author="svcMRProcess" w:date="2015-10-28T13:39:00Z">
        <w:r>
          <w:rPr>
            <w:rFonts w:eastAsia="MS Mincho"/>
          </w:rPr>
          <w:tab/>
          <w:t>(1)</w:t>
        </w:r>
        <w:r>
          <w:rPr>
            <w:rFonts w:eastAsia="MS Mincho"/>
          </w:rPr>
          <w:tab/>
          <w:t>This section amends the Acts listed in the Table.</w:t>
        </w:r>
      </w:ins>
    </w:p>
    <w:p>
      <w:pPr>
        <w:pStyle w:val="nzSubsection"/>
        <w:rPr>
          <w:ins w:id="342" w:author="svcMRProcess" w:date="2015-10-28T13:39:00Z"/>
        </w:rPr>
      </w:pPr>
      <w:ins w:id="343" w:author="svcMRProcess" w:date="2015-10-28T13:39:00Z">
        <w:r>
          <w:rPr>
            <w:rFonts w:eastAsia="MS Mincho"/>
          </w:rPr>
          <w:tab/>
          <w:t>(2)</w:t>
        </w:r>
        <w:r>
          <w:rPr>
            <w:rFonts w:eastAsia="MS Mincho"/>
          </w:rPr>
          <w:tab/>
          <w:t>In each Schedule listed in the Table:</w:t>
        </w:r>
      </w:ins>
    </w:p>
    <w:p>
      <w:pPr>
        <w:pStyle w:val="nzIndenta"/>
        <w:rPr>
          <w:ins w:id="344" w:author="svcMRProcess" w:date="2015-10-28T13:39:00Z"/>
        </w:rPr>
      </w:pPr>
      <w:ins w:id="345" w:author="svcMRProcess" w:date="2015-10-28T13:39:00Z">
        <w:r>
          <w:tab/>
          <w:t>(a)</w:t>
        </w:r>
        <w:r>
          <w:tab/>
          <w:t>if there is a title set out in the Table for the Schedule — after the identifier for the Schedule insert that title;</w:t>
        </w:r>
      </w:ins>
    </w:p>
    <w:p>
      <w:pPr>
        <w:pStyle w:val="nzIndenta"/>
        <w:rPr>
          <w:ins w:id="346" w:author="svcMRProcess" w:date="2015-10-28T13:39:00Z"/>
        </w:rPr>
      </w:pPr>
      <w:ins w:id="347" w:author="svcMRProcess" w:date="2015-10-28T13:39:00Z">
        <w:r>
          <w:tab/>
          <w:t>(b)</w:t>
        </w:r>
        <w:r>
          <w:tab/>
          <w:t>if there is a shoulder note set out in the Table for the Schedule — at the end of the heading to the Schedule insert that shoulder note;</w:t>
        </w:r>
      </w:ins>
    </w:p>
    <w:p>
      <w:pPr>
        <w:pStyle w:val="nzIndenta"/>
        <w:rPr>
          <w:ins w:id="348" w:author="svcMRProcess" w:date="2015-10-28T13:39:00Z"/>
        </w:rPr>
      </w:pPr>
      <w:ins w:id="349" w:author="svcMRProcess" w:date="2015-10-28T13:3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50" w:author="svcMRProcess" w:date="2015-10-28T13: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51" w:author="svcMRProcess" w:date="2015-10-28T13:39:00Z"/>
                <w:rFonts w:eastAsia="MS Mincho"/>
                <w:b/>
                <w:bCs/>
                <w:sz w:val="18"/>
              </w:rPr>
            </w:pPr>
            <w:ins w:id="352" w:author="svcMRProcess" w:date="2015-10-28T13:3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53" w:author="svcMRProcess" w:date="2015-10-28T13:39:00Z"/>
                <w:b/>
                <w:bCs/>
                <w:sz w:val="18"/>
              </w:rPr>
            </w:pPr>
            <w:ins w:id="354" w:author="svcMRProcess" w:date="2015-10-28T13:3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55" w:author="svcMRProcess" w:date="2015-10-28T13:39:00Z"/>
                <w:b/>
                <w:bCs/>
                <w:sz w:val="18"/>
              </w:rPr>
            </w:pPr>
            <w:ins w:id="356" w:author="svcMRProcess" w:date="2015-10-28T13:3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57" w:author="svcMRProcess" w:date="2015-10-28T13:39:00Z"/>
                <w:b/>
                <w:bCs/>
                <w:sz w:val="18"/>
              </w:rPr>
            </w:pPr>
            <w:ins w:id="358" w:author="svcMRProcess" w:date="2015-10-28T13:39:00Z">
              <w:r>
                <w:rPr>
                  <w:b/>
                  <w:bCs/>
                  <w:sz w:val="18"/>
                </w:rPr>
                <w:t>Shoulder note</w:t>
              </w:r>
            </w:ins>
          </w:p>
        </w:tc>
      </w:tr>
      <w:tr>
        <w:trPr>
          <w:ins w:id="359" w:author="svcMRProcess" w:date="2015-10-28T13: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60" w:author="svcMRProcess" w:date="2015-10-28T13:39:00Z"/>
                <w:i/>
                <w:iCs/>
                <w:sz w:val="18"/>
              </w:rPr>
            </w:pPr>
            <w:ins w:id="361" w:author="svcMRProcess" w:date="2015-10-28T13:39:00Z">
              <w:r>
                <w:rPr>
                  <w:rFonts w:eastAsia="MS Mincho"/>
                  <w:i/>
                  <w:iCs/>
                  <w:sz w:val="18"/>
                </w:rPr>
                <w:t>Casino Control Act 1984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62" w:author="svcMRProcess" w:date="2015-10-28T13:39:00Z"/>
                <w:sz w:val="18"/>
              </w:rPr>
            </w:pPr>
            <w:ins w:id="363" w:author="svcMRProcess" w:date="2015-10-28T13:39: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64" w:author="svcMRProcess" w:date="2015-10-28T13: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65" w:author="svcMRProcess" w:date="2015-10-28T13:39:00Z"/>
                <w:sz w:val="18"/>
              </w:rPr>
            </w:pPr>
          </w:p>
        </w:tc>
      </w:tr>
    </w:tbl>
    <w:p>
      <w:pPr>
        <w:pStyle w:val="BlankClose"/>
        <w:rPr>
          <w:ins w:id="366" w:author="svcMRProcess" w:date="2015-10-28T13:39:00Z"/>
        </w:rPr>
      </w:pPr>
    </w:p>
    <w:p/>
    <w:p>
      <w:pPr>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Casino Control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4451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BCA6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464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2613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2847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ACF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561E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A23F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26A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C8C8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82EB9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E4A1E1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16857</Words>
  <Characters>79903</Characters>
  <Application>Microsoft Office Word</Application>
  <DocSecurity>0</DocSecurity>
  <Lines>2048</Lines>
  <Paragraphs>997</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
  <LinksUpToDate>false</LinksUpToDate>
  <CharactersWithSpaces>95763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03-c0-07 - 03-d0-01</dc:title>
  <dc:subject/>
  <dc:creator/>
  <cp:keywords/>
  <dc:description/>
  <cp:lastModifiedBy>svcMRProcess</cp:lastModifiedBy>
  <cp:revision>2</cp:revision>
  <cp:lastPrinted>2004-04-30T06:27:00Z</cp:lastPrinted>
  <dcterms:created xsi:type="dcterms:W3CDTF">2015-10-28T05:39:00Z</dcterms:created>
  <dcterms:modified xsi:type="dcterms:W3CDTF">2015-10-28T05:39:00Z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108</vt:i4>
  </property>
  <property fmtid="{D5CDD505-2E9C-101B-9397-08002B2CF9AE}" pid="6" name="FromSuffix">
    <vt:lpwstr>03-c0-07</vt:lpwstr>
  </property>
  <property fmtid="{D5CDD505-2E9C-101B-9397-08002B2CF9AE}" pid="7" name="FromAsAtDate">
    <vt:lpwstr>01 Feb 2007</vt:lpwstr>
  </property>
  <property fmtid="{D5CDD505-2E9C-101B-9397-08002B2CF9AE}" pid="8" name="ToSuffix">
    <vt:lpwstr>03-d0-01</vt:lpwstr>
  </property>
  <property fmtid="{D5CDD505-2E9C-101B-9397-08002B2CF9AE}" pid="9" name="ToAsAtDate">
    <vt:lpwstr>28 Jun 2010</vt:lpwstr>
  </property>
</Properties>
</file>