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bookmarkStart w:id="0" w:name="_Toc135715607"/>
      <w:bookmarkStart w:id="1" w:name="_Toc135716386"/>
      <w:bookmarkStart w:id="2" w:name="_Toc135717490"/>
      <w:bookmarkStart w:id="3" w:name="_Toc135718295"/>
      <w:r>
        <w:t>A</w:t>
      </w:r>
      <w:bookmarkStart w:id="4" w:name="_GoBack"/>
      <w:bookmarkEnd w:id="4"/>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5" w:name="_Toc138666550"/>
      <w:bookmarkStart w:id="6" w:name="_Toc139699513"/>
      <w:bookmarkStart w:id="7" w:name="_Toc141493924"/>
      <w:bookmarkStart w:id="8" w:name="_Toc141679396"/>
      <w:bookmarkStart w:id="9" w:name="_Toc144178598"/>
      <w:bookmarkStart w:id="10" w:name="_Toc157837366"/>
      <w:r>
        <w:rPr>
          <w:rStyle w:val="CharPartNo"/>
        </w:rPr>
        <w:t>Part 1</w:t>
      </w:r>
      <w:r>
        <w:rPr>
          <w:rStyle w:val="CharDivNo"/>
        </w:rPr>
        <w:t> </w:t>
      </w:r>
      <w:r>
        <w:t>—</w:t>
      </w:r>
      <w:r>
        <w:rPr>
          <w:rStyle w:val="CharDivText"/>
        </w:rPr>
        <w:t> </w:t>
      </w:r>
      <w:r>
        <w:rPr>
          <w:rStyle w:val="CharPartText"/>
        </w:rPr>
        <w:t>Preliminary</w:t>
      </w:r>
      <w:bookmarkEnd w:id="0"/>
      <w:bookmarkEnd w:id="1"/>
      <w:bookmarkEnd w:id="2"/>
      <w:bookmarkEnd w:id="3"/>
      <w:bookmarkEnd w:id="5"/>
      <w:bookmarkEnd w:id="6"/>
      <w:bookmarkEnd w:id="7"/>
      <w:bookmarkEnd w:id="8"/>
      <w:bookmarkEnd w:id="9"/>
      <w:bookmarkEnd w:id="10"/>
      <w:r>
        <w:rPr>
          <w:rStyle w:val="CharPartText"/>
        </w:rPr>
        <w:t xml:space="preserve"> </w:t>
      </w:r>
    </w:p>
    <w:p>
      <w:pPr>
        <w:pStyle w:val="Heading5"/>
        <w:spacing w:before="180"/>
        <w:rPr>
          <w:snapToGrid w:val="0"/>
        </w:rPr>
      </w:pPr>
      <w:bookmarkStart w:id="11" w:name="_Toc494852064"/>
      <w:bookmarkStart w:id="12" w:name="_Toc501513259"/>
      <w:bookmarkStart w:id="13" w:name="_Toc157837367"/>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4" w:name="_Toc494852065"/>
      <w:bookmarkStart w:id="15" w:name="_Toc501513260"/>
      <w:bookmarkStart w:id="16" w:name="_Toc157837368"/>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17" w:name="_Toc494852066"/>
      <w:bookmarkStart w:id="18" w:name="_Toc501513261"/>
      <w:bookmarkStart w:id="19" w:name="_Toc157837369"/>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Administration Manager</w:t>
      </w:r>
      <w:r>
        <w:t xml:space="preserve"> means the Administration Manager appointed under section 19;</w:t>
      </w:r>
    </w:p>
    <w:p>
      <w:pPr>
        <w:pStyle w:val="Defstart"/>
        <w:spacing w:before="70"/>
      </w:pPr>
      <w:r>
        <w:rPr>
          <w:b/>
        </w:rPr>
        <w:tab/>
      </w:r>
      <w:r>
        <w:rPr>
          <w:rStyle w:val="CharDefText"/>
        </w:rPr>
        <w:t>Board</w:t>
      </w:r>
      <w:r>
        <w:t xml:space="preserve"> means the Coal Industry Superannuation Board established under section 7;</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r>
        <w:rPr>
          <w:rStyle w:val="CharDefText"/>
        </w:rPr>
        <w:t>Commissioner</w:t>
      </w:r>
      <w:r>
        <w:t xml:space="preserve"> has the same meaning as in the SIS Act;</w:t>
      </w:r>
    </w:p>
    <w:p>
      <w:pPr>
        <w:pStyle w:val="Defstart"/>
        <w:spacing w:before="70"/>
      </w:pPr>
      <w:r>
        <w:rPr>
          <w:b/>
        </w:rPr>
        <w:tab/>
      </w:r>
      <w:r>
        <w:rPr>
          <w:rStyle w:val="CharDefText"/>
        </w:rPr>
        <w:t>delegate</w:t>
      </w:r>
      <w:r>
        <w:t xml:space="preserve"> means a person to whom any function of the Board is delegated under section 16;</w:t>
      </w:r>
    </w:p>
    <w:p>
      <w:pPr>
        <w:pStyle w:val="Defstart"/>
        <w:spacing w:before="70"/>
      </w:pPr>
      <w:r>
        <w:rPr>
          <w:b/>
        </w:rPr>
        <w:tab/>
      </w:r>
      <w:r>
        <w:rPr>
          <w:rStyle w:val="CharDefText"/>
        </w:rPr>
        <w:t>employer</w:t>
      </w:r>
      <w:r>
        <w:t xml:space="preserve"> means an employer mentioned in Schedule 1;</w:t>
      </w:r>
    </w:p>
    <w:p>
      <w:pPr>
        <w:pStyle w:val="Defstart"/>
        <w:spacing w:before="70"/>
      </w:pPr>
      <w:r>
        <w:rPr>
          <w:b/>
        </w:rPr>
        <w:tab/>
      </w:r>
      <w:r>
        <w:rPr>
          <w:rStyle w:val="CharDefText"/>
        </w:rPr>
        <w:t>Fund</w:t>
      </w:r>
      <w:r>
        <w:t xml:space="preserve"> means the Coal Industry Superannuation Fund established under section 9;</w:t>
      </w:r>
    </w:p>
    <w:p>
      <w:pPr>
        <w:pStyle w:val="Defstart"/>
        <w:spacing w:before="70"/>
      </w:pPr>
      <w:r>
        <w:rPr>
          <w:b/>
        </w:rPr>
        <w:tab/>
      </w:r>
      <w:r>
        <w:rPr>
          <w:rStyle w:val="CharDefText"/>
        </w:rPr>
        <w:t>investment manager</w:t>
      </w:r>
      <w:r>
        <w:t xml:space="preserve"> means an investment manager appointed under section 18;</w:t>
      </w:r>
    </w:p>
    <w:p>
      <w:pPr>
        <w:pStyle w:val="Defstart"/>
        <w:spacing w:before="70"/>
      </w:pPr>
      <w:r>
        <w:rPr>
          <w:b/>
        </w:rPr>
        <w:tab/>
      </w:r>
      <w:r>
        <w:rPr>
          <w:rStyle w:val="CharDefText"/>
        </w:rPr>
        <w:t>mine worker</w:t>
      </w:r>
      <w:r>
        <w:t xml:space="preserve"> means a person who is a mine worker under section 4;</w:t>
      </w:r>
    </w:p>
    <w:p>
      <w:pPr>
        <w:pStyle w:val="Defstart"/>
        <w:keepNext/>
        <w:spacing w:before="70"/>
      </w:pPr>
      <w:r>
        <w:rPr>
          <w:b/>
        </w:rPr>
        <w:tab/>
      </w:r>
      <w:r>
        <w:rPr>
          <w:rStyle w:val="CharDefText"/>
        </w:rPr>
        <w:t>officer</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r>
      <w:r>
        <w:rPr>
          <w:rStyle w:val="CharDefText"/>
        </w:rPr>
        <w:t>the actuary</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w:t>
      </w:r>
    </w:p>
    <w:p>
      <w:pPr>
        <w:pStyle w:val="Heading5"/>
        <w:rPr>
          <w:snapToGrid w:val="0"/>
        </w:rPr>
      </w:pPr>
      <w:bookmarkStart w:id="20" w:name="_Toc494852067"/>
      <w:bookmarkStart w:id="21" w:name="_Toc501513262"/>
      <w:bookmarkStart w:id="22" w:name="_Toc157837370"/>
      <w:r>
        <w:rPr>
          <w:rStyle w:val="CharSectno"/>
        </w:rPr>
        <w:t>4</w:t>
      </w:r>
      <w:r>
        <w:rPr>
          <w:snapToGrid w:val="0"/>
        </w:rPr>
        <w:t>.</w:t>
      </w:r>
      <w:r>
        <w:rPr>
          <w:snapToGrid w:val="0"/>
        </w:rPr>
        <w:tab/>
        <w:t>Mine worker</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 109.] </w:t>
      </w:r>
    </w:p>
    <w:p>
      <w:pPr>
        <w:pStyle w:val="Ednotesection"/>
      </w:pPr>
      <w:r>
        <w:t>[</w:t>
      </w:r>
      <w:r>
        <w:rPr>
          <w:b/>
          <w:bCs/>
        </w:rPr>
        <w:t>5.</w:t>
      </w:r>
      <w:r>
        <w:tab/>
        <w:t>Deleted by No. 16 of 2006 s. 4.]</w:t>
      </w:r>
    </w:p>
    <w:p>
      <w:pPr>
        <w:pStyle w:val="Ednotepart"/>
      </w:pPr>
      <w:r>
        <w:t>[Part 2 (s. 6) deleted by No. 46 of 1995 s. 6.]</w:t>
      </w:r>
    </w:p>
    <w:p>
      <w:pPr>
        <w:pStyle w:val="Heading2"/>
      </w:pPr>
      <w:bookmarkStart w:id="23" w:name="_Toc135715613"/>
      <w:bookmarkStart w:id="24" w:name="_Toc135716392"/>
      <w:bookmarkStart w:id="25" w:name="_Toc135717496"/>
      <w:bookmarkStart w:id="26" w:name="_Toc135718301"/>
      <w:bookmarkStart w:id="27" w:name="_Toc138666555"/>
      <w:bookmarkStart w:id="28" w:name="_Toc139699518"/>
      <w:bookmarkStart w:id="29" w:name="_Toc141493929"/>
      <w:bookmarkStart w:id="30" w:name="_Toc141679401"/>
      <w:bookmarkStart w:id="31" w:name="_Toc144178603"/>
      <w:bookmarkStart w:id="32" w:name="_Toc157837371"/>
      <w:r>
        <w:rPr>
          <w:rStyle w:val="CharPartNo"/>
        </w:rPr>
        <w:t>Part 3</w:t>
      </w:r>
      <w:r>
        <w:rPr>
          <w:rStyle w:val="CharDivNo"/>
        </w:rPr>
        <w:t> </w:t>
      </w:r>
      <w:r>
        <w:t>—</w:t>
      </w:r>
      <w:r>
        <w:rPr>
          <w:rStyle w:val="CharDivText"/>
        </w:rPr>
        <w:t> </w:t>
      </w:r>
      <w:r>
        <w:rPr>
          <w:rStyle w:val="CharPartText"/>
        </w:rPr>
        <w:t>The Coal Industry Superannuation Board</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94852069"/>
      <w:bookmarkStart w:id="34" w:name="_Toc501513264"/>
      <w:bookmarkStart w:id="35" w:name="_Toc157837372"/>
      <w:r>
        <w:rPr>
          <w:rStyle w:val="CharSectno"/>
        </w:rPr>
        <w:t>7</w:t>
      </w:r>
      <w:r>
        <w:rPr>
          <w:snapToGrid w:val="0"/>
        </w:rPr>
        <w:t>.</w:t>
      </w:r>
      <w:r>
        <w:rPr>
          <w:snapToGrid w:val="0"/>
        </w:rPr>
        <w:tab/>
        <w:t>Establishment of the Board</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 7.] </w:t>
      </w:r>
    </w:p>
    <w:p>
      <w:pPr>
        <w:pStyle w:val="Heading5"/>
        <w:rPr>
          <w:snapToGrid w:val="0"/>
        </w:rPr>
      </w:pPr>
      <w:bookmarkStart w:id="36" w:name="_Toc494852070"/>
      <w:bookmarkStart w:id="37" w:name="_Toc501513265"/>
      <w:bookmarkStart w:id="38" w:name="_Toc157837373"/>
      <w:r>
        <w:rPr>
          <w:rStyle w:val="CharSectno"/>
        </w:rPr>
        <w:t>8</w:t>
      </w:r>
      <w:r>
        <w:rPr>
          <w:snapToGrid w:val="0"/>
        </w:rPr>
        <w:t>.</w:t>
      </w:r>
      <w:r>
        <w:rPr>
          <w:snapToGrid w:val="0"/>
        </w:rPr>
        <w:tab/>
        <w:t>Constitution of the Board</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39" w:name="_Toc494852071"/>
      <w:bookmarkStart w:id="40" w:name="_Toc501513266"/>
      <w:bookmarkStart w:id="41" w:name="_Toc157837374"/>
      <w:r>
        <w:rPr>
          <w:rStyle w:val="CharSectno"/>
        </w:rPr>
        <w:t>9</w:t>
      </w:r>
      <w:r>
        <w:rPr>
          <w:snapToGrid w:val="0"/>
        </w:rPr>
        <w:t>.</w:t>
      </w:r>
      <w:r>
        <w:rPr>
          <w:snapToGrid w:val="0"/>
        </w:rPr>
        <w:tab/>
        <w:t>The Coal Industry Superannuation Fund</w:t>
      </w:r>
      <w:bookmarkEnd w:id="39"/>
      <w:bookmarkEnd w:id="40"/>
      <w:bookmarkEnd w:id="41"/>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42" w:name="_Toc494852072"/>
      <w:bookmarkStart w:id="43" w:name="_Toc501513267"/>
      <w:bookmarkStart w:id="44" w:name="_Toc157837375"/>
      <w:r>
        <w:rPr>
          <w:rStyle w:val="CharSectno"/>
        </w:rPr>
        <w:t>10</w:t>
      </w:r>
      <w:r>
        <w:rPr>
          <w:snapToGrid w:val="0"/>
        </w:rPr>
        <w:t>.</w:t>
      </w:r>
      <w:r>
        <w:rPr>
          <w:snapToGrid w:val="0"/>
        </w:rPr>
        <w:tab/>
        <w:t>Functions and general powers of the Board</w:t>
      </w:r>
      <w:bookmarkEnd w:id="42"/>
      <w:bookmarkEnd w:id="43"/>
      <w:bookmarkEnd w:id="44"/>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45" w:name="_Toc494852073"/>
      <w:bookmarkStart w:id="46" w:name="_Toc501513268"/>
      <w:bookmarkStart w:id="47" w:name="_Toc157837376"/>
      <w:r>
        <w:rPr>
          <w:rStyle w:val="CharSectno"/>
        </w:rPr>
        <w:t>10A</w:t>
      </w:r>
      <w:r>
        <w:rPr>
          <w:snapToGrid w:val="0"/>
        </w:rPr>
        <w:t xml:space="preserve">. </w:t>
      </w:r>
      <w:r>
        <w:rPr>
          <w:snapToGrid w:val="0"/>
        </w:rPr>
        <w:tab/>
        <w:t>Compliance with SIS Act</w:t>
      </w:r>
      <w:bookmarkEnd w:id="45"/>
      <w:bookmarkEnd w:id="46"/>
      <w:bookmarkEnd w:id="47"/>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48" w:name="_Toc494852074"/>
      <w:bookmarkStart w:id="49" w:name="_Toc501513269"/>
      <w:bookmarkStart w:id="50" w:name="_Toc157837377"/>
      <w:r>
        <w:rPr>
          <w:rStyle w:val="CharSectno"/>
        </w:rPr>
        <w:t>10AA</w:t>
      </w:r>
      <w:r>
        <w:rPr>
          <w:snapToGrid w:val="0"/>
        </w:rPr>
        <w:t xml:space="preserve">. </w:t>
      </w:r>
      <w:r>
        <w:rPr>
          <w:snapToGrid w:val="0"/>
        </w:rPr>
        <w:tab/>
        <w:t>Consent of Board to be obtained if required under SIS Act</w:t>
      </w:r>
      <w:bookmarkEnd w:id="48"/>
      <w:bookmarkEnd w:id="49"/>
      <w:bookmarkEnd w:id="50"/>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snapToGrid w:val="0"/>
        </w:rPr>
      </w:pPr>
      <w:bookmarkStart w:id="51" w:name="_Toc494852075"/>
      <w:bookmarkStart w:id="52" w:name="_Toc501513270"/>
      <w:bookmarkStart w:id="53" w:name="_Toc157837378"/>
      <w:r>
        <w:rPr>
          <w:rStyle w:val="CharSectno"/>
        </w:rPr>
        <w:t>10B</w:t>
      </w:r>
      <w:r>
        <w:rPr>
          <w:snapToGrid w:val="0"/>
        </w:rPr>
        <w:t xml:space="preserve">. </w:t>
      </w:r>
      <w:r>
        <w:rPr>
          <w:snapToGrid w:val="0"/>
        </w:rPr>
        <w:tab/>
        <w:t>Board may administer Long Service Leave Fund on behalf of Commonwealth</w:t>
      </w:r>
      <w:bookmarkEnd w:id="51"/>
      <w:r>
        <w:rPr>
          <w:snapToGrid w:val="0"/>
        </w:rPr>
        <w:t xml:space="preserve"> Corporation</w:t>
      </w:r>
      <w:bookmarkEnd w:id="52"/>
      <w:bookmarkEnd w:id="53"/>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r>
      <w:r>
        <w:rPr>
          <w:rStyle w:val="CharDefText"/>
        </w:rPr>
        <w:t>Long Service Leave Fund</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 19.] </w:t>
      </w:r>
    </w:p>
    <w:p>
      <w:pPr>
        <w:pStyle w:val="Heading5"/>
        <w:rPr>
          <w:snapToGrid w:val="0"/>
        </w:rPr>
      </w:pPr>
      <w:bookmarkStart w:id="54" w:name="_Toc494852076"/>
      <w:bookmarkStart w:id="55" w:name="_Toc501513271"/>
      <w:bookmarkStart w:id="56" w:name="_Toc157837379"/>
      <w:r>
        <w:rPr>
          <w:rStyle w:val="CharSectno"/>
        </w:rPr>
        <w:t>11</w:t>
      </w:r>
      <w:r>
        <w:rPr>
          <w:snapToGrid w:val="0"/>
        </w:rPr>
        <w:t>.</w:t>
      </w:r>
      <w:r>
        <w:rPr>
          <w:snapToGrid w:val="0"/>
        </w:rPr>
        <w:tab/>
        <w:t>Power to invest</w:t>
      </w:r>
      <w:bookmarkEnd w:id="54"/>
      <w:bookmarkEnd w:id="55"/>
      <w:bookmarkEnd w:id="56"/>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57" w:name="_Toc494852077"/>
      <w:bookmarkStart w:id="58" w:name="_Toc501513272"/>
      <w:bookmarkStart w:id="59" w:name="_Toc157837380"/>
      <w:r>
        <w:rPr>
          <w:rStyle w:val="CharSectno"/>
        </w:rPr>
        <w:t>12</w:t>
      </w:r>
      <w:r>
        <w:rPr>
          <w:snapToGrid w:val="0"/>
        </w:rPr>
        <w:t>.</w:t>
      </w:r>
      <w:r>
        <w:rPr>
          <w:snapToGrid w:val="0"/>
        </w:rPr>
        <w:tab/>
        <w:t>Investment policy</w:t>
      </w:r>
      <w:bookmarkEnd w:id="57"/>
      <w:bookmarkEnd w:id="58"/>
      <w:bookmarkEnd w:id="59"/>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60" w:name="_Toc494852078"/>
      <w:bookmarkStart w:id="61" w:name="_Toc501513273"/>
      <w:bookmarkStart w:id="62" w:name="_Toc157837381"/>
      <w:r>
        <w:rPr>
          <w:rStyle w:val="CharSectno"/>
        </w:rPr>
        <w:t>13</w:t>
      </w:r>
      <w:r>
        <w:rPr>
          <w:snapToGrid w:val="0"/>
        </w:rPr>
        <w:t>.</w:t>
      </w:r>
      <w:r>
        <w:rPr>
          <w:snapToGrid w:val="0"/>
        </w:rPr>
        <w:tab/>
        <w:t>Power to insure</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effect</w:t>
      </w:r>
      <w:r>
        <w:t xml:space="preserve"> includes acquire or take by assignment.</w:t>
      </w:r>
    </w:p>
    <w:p>
      <w:pPr>
        <w:pStyle w:val="Heading5"/>
        <w:spacing w:before="200"/>
        <w:rPr>
          <w:snapToGrid w:val="0"/>
        </w:rPr>
      </w:pPr>
      <w:bookmarkStart w:id="63" w:name="_Toc494852079"/>
      <w:bookmarkStart w:id="64" w:name="_Toc501513274"/>
      <w:bookmarkStart w:id="65" w:name="_Toc157837382"/>
      <w:r>
        <w:rPr>
          <w:rStyle w:val="CharSectno"/>
        </w:rPr>
        <w:t>14</w:t>
      </w:r>
      <w:r>
        <w:rPr>
          <w:snapToGrid w:val="0"/>
        </w:rPr>
        <w:t>.</w:t>
      </w:r>
      <w:r>
        <w:rPr>
          <w:snapToGrid w:val="0"/>
        </w:rPr>
        <w:tab/>
        <w:t>Board to have powers of trustee</w:t>
      </w:r>
      <w:bookmarkEnd w:id="63"/>
      <w:bookmarkEnd w:id="64"/>
      <w:bookmarkEnd w:id="65"/>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66" w:name="_Toc494852080"/>
      <w:bookmarkStart w:id="67" w:name="_Toc501513275"/>
      <w:bookmarkStart w:id="68" w:name="_Toc157837383"/>
      <w:r>
        <w:rPr>
          <w:rStyle w:val="CharSectno"/>
        </w:rPr>
        <w:t>15</w:t>
      </w:r>
      <w:r>
        <w:rPr>
          <w:snapToGrid w:val="0"/>
        </w:rPr>
        <w:t>.</w:t>
      </w:r>
      <w:r>
        <w:rPr>
          <w:snapToGrid w:val="0"/>
        </w:rPr>
        <w:tab/>
        <w:t>Discretionary exercise of powers</w:t>
      </w:r>
      <w:bookmarkEnd w:id="66"/>
      <w:bookmarkEnd w:id="67"/>
      <w:bookmarkEnd w:id="68"/>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69" w:name="_Toc494852081"/>
      <w:bookmarkStart w:id="70" w:name="_Toc501513276"/>
      <w:bookmarkStart w:id="71" w:name="_Toc157837384"/>
      <w:r>
        <w:rPr>
          <w:rStyle w:val="CharSectno"/>
        </w:rPr>
        <w:t>16</w:t>
      </w:r>
      <w:r>
        <w:rPr>
          <w:snapToGrid w:val="0"/>
        </w:rPr>
        <w:t>.</w:t>
      </w:r>
      <w:r>
        <w:rPr>
          <w:snapToGrid w:val="0"/>
        </w:rPr>
        <w:tab/>
        <w:t>Delegation</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72" w:name="_Toc494852082"/>
      <w:bookmarkStart w:id="73" w:name="_Toc501513277"/>
      <w:bookmarkStart w:id="74" w:name="_Toc157837385"/>
      <w:r>
        <w:rPr>
          <w:rStyle w:val="CharSectno"/>
        </w:rPr>
        <w:t>17</w:t>
      </w:r>
      <w:r>
        <w:rPr>
          <w:snapToGrid w:val="0"/>
        </w:rPr>
        <w:t>.</w:t>
      </w:r>
      <w:r>
        <w:rPr>
          <w:snapToGrid w:val="0"/>
        </w:rPr>
        <w:tab/>
        <w:t>Power to make determinations</w:t>
      </w:r>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75" w:name="_Toc494852083"/>
      <w:bookmarkStart w:id="76" w:name="_Toc501513278"/>
      <w:bookmarkStart w:id="77" w:name="_Toc157837386"/>
      <w:r>
        <w:rPr>
          <w:rStyle w:val="CharSectno"/>
        </w:rPr>
        <w:t>18</w:t>
      </w:r>
      <w:r>
        <w:rPr>
          <w:snapToGrid w:val="0"/>
        </w:rPr>
        <w:t>.</w:t>
      </w:r>
      <w:r>
        <w:rPr>
          <w:snapToGrid w:val="0"/>
        </w:rPr>
        <w:tab/>
        <w:t>Appointment of investment managers</w:t>
      </w:r>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78" w:name="_Toc494852084"/>
      <w:bookmarkStart w:id="79" w:name="_Toc501513279"/>
      <w:bookmarkStart w:id="80" w:name="_Toc157837387"/>
      <w:r>
        <w:rPr>
          <w:rStyle w:val="CharSectno"/>
        </w:rPr>
        <w:t>19</w:t>
      </w:r>
      <w:r>
        <w:rPr>
          <w:snapToGrid w:val="0"/>
        </w:rPr>
        <w:t>.</w:t>
      </w:r>
      <w:r>
        <w:rPr>
          <w:snapToGrid w:val="0"/>
        </w:rPr>
        <w:tab/>
        <w:t>Appointment of Administration Manager</w:t>
      </w:r>
      <w:bookmarkEnd w:id="78"/>
      <w:bookmarkEnd w:id="79"/>
      <w:bookmarkEnd w:id="80"/>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81" w:name="_Toc157837388"/>
      <w:bookmarkStart w:id="82" w:name="_Toc494852086"/>
      <w:bookmarkStart w:id="83" w:name="_Toc501513281"/>
      <w:r>
        <w:rPr>
          <w:rStyle w:val="CharSectno"/>
        </w:rPr>
        <w:t>20</w:t>
      </w:r>
      <w:r>
        <w:t>.</w:t>
      </w:r>
      <w:r>
        <w:tab/>
        <w:t>Appointment of actuary</w:t>
      </w:r>
      <w:bookmarkEnd w:id="81"/>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84" w:name="_Toc157837389"/>
      <w:r>
        <w:rPr>
          <w:rStyle w:val="CharSectno"/>
        </w:rPr>
        <w:t>21</w:t>
      </w:r>
      <w:r>
        <w:rPr>
          <w:snapToGrid w:val="0"/>
        </w:rPr>
        <w:t>.</w:t>
      </w:r>
      <w:r>
        <w:rPr>
          <w:snapToGrid w:val="0"/>
        </w:rPr>
        <w:tab/>
        <w:t>Officers of the Board</w:t>
      </w:r>
      <w:bookmarkEnd w:id="82"/>
      <w:bookmarkEnd w:id="83"/>
      <w:bookmarkEnd w:id="84"/>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85" w:name="_Toc494852088"/>
      <w:bookmarkStart w:id="86" w:name="_Toc501513283"/>
      <w:r>
        <w:t>[</w:t>
      </w:r>
      <w:r>
        <w:rPr>
          <w:b/>
          <w:bCs/>
        </w:rPr>
        <w:t>22.</w:t>
      </w:r>
      <w:r>
        <w:tab/>
        <w:t>Deleted by No. 16 of 2006 s. 9.]</w:t>
      </w:r>
    </w:p>
    <w:p>
      <w:pPr>
        <w:pStyle w:val="Heading5"/>
        <w:rPr>
          <w:snapToGrid w:val="0"/>
        </w:rPr>
      </w:pPr>
      <w:bookmarkStart w:id="87" w:name="_Toc157837390"/>
      <w:r>
        <w:rPr>
          <w:rStyle w:val="CharSectno"/>
        </w:rPr>
        <w:t>23</w:t>
      </w:r>
      <w:r>
        <w:rPr>
          <w:snapToGrid w:val="0"/>
        </w:rPr>
        <w:t>.</w:t>
      </w:r>
      <w:r>
        <w:rPr>
          <w:snapToGrid w:val="0"/>
        </w:rPr>
        <w:tab/>
        <w:t>Actuarial review</w:t>
      </w:r>
      <w:bookmarkEnd w:id="85"/>
      <w:bookmarkEnd w:id="86"/>
      <w:bookmarkEnd w:id="87"/>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88" w:name="_Toc494852089"/>
      <w:bookmarkStart w:id="89" w:name="_Toc501513284"/>
      <w:bookmarkStart w:id="90" w:name="_Toc157837391"/>
      <w:r>
        <w:rPr>
          <w:rStyle w:val="CharSectno"/>
        </w:rPr>
        <w:t>24</w:t>
      </w:r>
      <w:r>
        <w:rPr>
          <w:snapToGrid w:val="0"/>
        </w:rPr>
        <w:t>.</w:t>
      </w:r>
      <w:r>
        <w:rPr>
          <w:snapToGrid w:val="0"/>
        </w:rPr>
        <w:tab/>
        <w:t>Advice to the Board</w:t>
      </w:r>
      <w:bookmarkEnd w:id="88"/>
      <w:bookmarkEnd w:id="89"/>
      <w:bookmarkEnd w:id="90"/>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91" w:name="_Toc494852090"/>
      <w:bookmarkStart w:id="92" w:name="_Toc501513285"/>
      <w:bookmarkStart w:id="93" w:name="_Toc157837392"/>
      <w:r>
        <w:rPr>
          <w:rStyle w:val="CharSectno"/>
        </w:rPr>
        <w:t>25</w:t>
      </w:r>
      <w:r>
        <w:rPr>
          <w:snapToGrid w:val="0"/>
        </w:rPr>
        <w:t>.</w:t>
      </w:r>
      <w:r>
        <w:rPr>
          <w:snapToGrid w:val="0"/>
        </w:rPr>
        <w:tab/>
        <w:t>Records</w:t>
      </w:r>
      <w:bookmarkEnd w:id="91"/>
      <w:bookmarkEnd w:id="92"/>
      <w:bookmarkEnd w:id="9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94" w:name="_Toc494852091"/>
      <w:bookmarkStart w:id="95" w:name="_Toc501513286"/>
      <w:bookmarkStart w:id="96" w:name="_Toc157837393"/>
      <w:r>
        <w:rPr>
          <w:rStyle w:val="CharSectno"/>
        </w:rPr>
        <w:t>26</w:t>
      </w:r>
      <w:r>
        <w:rPr>
          <w:snapToGrid w:val="0"/>
        </w:rPr>
        <w:t>.</w:t>
      </w:r>
      <w:r>
        <w:rPr>
          <w:snapToGrid w:val="0"/>
        </w:rPr>
        <w:tab/>
        <w:t xml:space="preserve">Application of </w:t>
      </w:r>
      <w:bookmarkEnd w:id="94"/>
      <w:bookmarkEnd w:id="95"/>
      <w:r>
        <w:rPr>
          <w:i/>
          <w:iCs/>
        </w:rPr>
        <w:t>Financial Management Act 2006</w:t>
      </w:r>
      <w:r>
        <w:t xml:space="preserve"> and </w:t>
      </w:r>
      <w:r>
        <w:rPr>
          <w:i/>
          <w:iCs/>
        </w:rPr>
        <w:t>Auditor General Act 2006</w:t>
      </w:r>
      <w:bookmarkEnd w:id="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26 amended by No. 77 of 2006 s. 17.]</w:t>
      </w:r>
    </w:p>
    <w:p>
      <w:pPr>
        <w:pStyle w:val="Heading5"/>
        <w:rPr>
          <w:snapToGrid w:val="0"/>
        </w:rPr>
      </w:pPr>
      <w:bookmarkStart w:id="97" w:name="_Toc494852092"/>
      <w:bookmarkStart w:id="98" w:name="_Toc501513287"/>
      <w:bookmarkStart w:id="99" w:name="_Toc157837394"/>
      <w:r>
        <w:rPr>
          <w:rStyle w:val="CharSectno"/>
        </w:rPr>
        <w:t>27</w:t>
      </w:r>
      <w:r>
        <w:rPr>
          <w:snapToGrid w:val="0"/>
        </w:rPr>
        <w:t>.</w:t>
      </w:r>
      <w:r>
        <w:rPr>
          <w:snapToGrid w:val="0"/>
        </w:rPr>
        <w:tab/>
        <w:t>Accounts of delegates</w:t>
      </w:r>
      <w:bookmarkEnd w:id="97"/>
      <w:bookmarkEnd w:id="98"/>
      <w:bookmarkEnd w:id="99"/>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rStyle w:val="CharDefText"/>
        </w:rPr>
        <w:t>liabilities</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100" w:name="_Toc135715638"/>
      <w:bookmarkStart w:id="101" w:name="_Toc135716417"/>
      <w:bookmarkStart w:id="102" w:name="_Toc135717521"/>
      <w:bookmarkStart w:id="103" w:name="_Toc135718326"/>
      <w:bookmarkStart w:id="104" w:name="_Toc138666579"/>
      <w:bookmarkStart w:id="105" w:name="_Toc139699542"/>
      <w:bookmarkStart w:id="106" w:name="_Toc141493953"/>
      <w:bookmarkStart w:id="107" w:name="_Toc141679425"/>
      <w:bookmarkStart w:id="108" w:name="_Toc144178627"/>
      <w:bookmarkStart w:id="109" w:name="_Toc157837395"/>
      <w:r>
        <w:rPr>
          <w:rStyle w:val="CharPartNo"/>
        </w:rPr>
        <w:t>Part 4</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94852093"/>
      <w:bookmarkStart w:id="111" w:name="_Toc501513288"/>
      <w:bookmarkStart w:id="112" w:name="_Toc157837396"/>
      <w:r>
        <w:rPr>
          <w:rStyle w:val="CharSectno"/>
        </w:rPr>
        <w:t>28</w:t>
      </w:r>
      <w:r>
        <w:rPr>
          <w:snapToGrid w:val="0"/>
        </w:rPr>
        <w:t>.</w:t>
      </w:r>
      <w:r>
        <w:rPr>
          <w:snapToGrid w:val="0"/>
        </w:rPr>
        <w:tab/>
        <w:t>Employer’s powers and liabilities in respect of termination not affected</w:t>
      </w:r>
      <w:bookmarkEnd w:id="110"/>
      <w:bookmarkEnd w:id="111"/>
      <w:bookmarkEnd w:id="112"/>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13" w:name="_Toc494852094"/>
      <w:bookmarkStart w:id="114" w:name="_Toc501513289"/>
      <w:bookmarkStart w:id="115" w:name="_Toc157837397"/>
      <w:r>
        <w:rPr>
          <w:rStyle w:val="CharSectno"/>
        </w:rPr>
        <w:t>29</w:t>
      </w:r>
      <w:r>
        <w:rPr>
          <w:snapToGrid w:val="0"/>
        </w:rPr>
        <w:t>.</w:t>
      </w:r>
      <w:r>
        <w:rPr>
          <w:snapToGrid w:val="0"/>
        </w:rPr>
        <w:tab/>
        <w:t>Members’ rights to compensation not to be affected</w:t>
      </w:r>
      <w:bookmarkEnd w:id="113"/>
      <w:bookmarkEnd w:id="114"/>
      <w:bookmarkEnd w:id="115"/>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16" w:name="_Toc157837398"/>
      <w:bookmarkStart w:id="117" w:name="_Toc494852095"/>
      <w:bookmarkStart w:id="118" w:name="_Toc501513290"/>
      <w:r>
        <w:rPr>
          <w:rStyle w:val="CharSectno"/>
        </w:rPr>
        <w:t>29A</w:t>
      </w:r>
      <w:r>
        <w:t>.</w:t>
      </w:r>
      <w:r>
        <w:tab/>
      </w:r>
      <w:r>
        <w:rPr>
          <w:i/>
          <w:iCs/>
        </w:rPr>
        <w:t>Unclaimed Money Act 1990</w:t>
      </w:r>
      <w:r>
        <w:t xml:space="preserve"> does not apply to unclaimed benefits</w:t>
      </w:r>
      <w:bookmarkEnd w:id="116"/>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19" w:name="_Toc157837399"/>
      <w:r>
        <w:rPr>
          <w:rStyle w:val="CharSectno"/>
        </w:rPr>
        <w:t>30</w:t>
      </w:r>
      <w:r>
        <w:rPr>
          <w:snapToGrid w:val="0"/>
        </w:rPr>
        <w:t>.</w:t>
      </w:r>
      <w:r>
        <w:rPr>
          <w:snapToGrid w:val="0"/>
        </w:rPr>
        <w:tab/>
        <w:t>General meeting of members</w:t>
      </w:r>
      <w:bookmarkEnd w:id="117"/>
      <w:bookmarkEnd w:id="118"/>
      <w:bookmarkEnd w:id="119"/>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20" w:name="_Toc494852096"/>
      <w:bookmarkStart w:id="121" w:name="_Toc501513291"/>
      <w:bookmarkStart w:id="122" w:name="_Toc157837400"/>
      <w:r>
        <w:rPr>
          <w:rStyle w:val="CharSectno"/>
        </w:rPr>
        <w:t>31</w:t>
      </w:r>
      <w:r>
        <w:rPr>
          <w:snapToGrid w:val="0"/>
        </w:rPr>
        <w:t>.</w:t>
      </w:r>
      <w:r>
        <w:rPr>
          <w:snapToGrid w:val="0"/>
        </w:rPr>
        <w:tab/>
        <w:t>Regulations</w:t>
      </w:r>
      <w:bookmarkEnd w:id="120"/>
      <w:bookmarkEnd w:id="121"/>
      <w:bookmarkEnd w:id="1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123" w:name="_Toc494852097"/>
      <w:bookmarkStart w:id="124" w:name="_Toc501513292"/>
      <w:bookmarkStart w:id="125" w:name="_Toc157837401"/>
      <w:r>
        <w:rPr>
          <w:rStyle w:val="CharSectno"/>
        </w:rPr>
        <w:t>32</w:t>
      </w:r>
      <w:r>
        <w:rPr>
          <w:snapToGrid w:val="0"/>
        </w:rPr>
        <w:t>.</w:t>
      </w:r>
      <w:r>
        <w:rPr>
          <w:snapToGrid w:val="0"/>
        </w:rPr>
        <w:tab/>
        <w:t>Review of Act</w:t>
      </w:r>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126" w:name="_Toc135715644"/>
      <w:bookmarkStart w:id="127" w:name="_Toc135716423"/>
      <w:bookmarkStart w:id="128" w:name="_Toc135717527"/>
      <w:bookmarkStart w:id="129" w:name="_Toc135718332"/>
      <w:bookmarkStart w:id="130" w:name="_Toc138666586"/>
      <w:bookmarkStart w:id="131" w:name="_Toc139699549"/>
      <w:bookmarkStart w:id="132" w:name="_Toc141493960"/>
      <w:bookmarkStart w:id="133" w:name="_Toc141679432"/>
      <w:bookmarkStart w:id="134" w:name="_Toc144178634"/>
      <w:bookmarkStart w:id="135" w:name="_Toc157837402"/>
      <w:r>
        <w:rPr>
          <w:rStyle w:val="CharPartNo"/>
        </w:rPr>
        <w:t>Part 5</w:t>
      </w:r>
      <w:r>
        <w:rPr>
          <w:rStyle w:val="CharDivNo"/>
        </w:rPr>
        <w:t> </w:t>
      </w:r>
      <w:r>
        <w:t>—</w:t>
      </w:r>
      <w:r>
        <w:rPr>
          <w:rStyle w:val="CharDivText"/>
        </w:rPr>
        <w:t> </w:t>
      </w:r>
      <w:r>
        <w:rPr>
          <w:rStyle w:val="CharPartText"/>
        </w:rPr>
        <w:t>Consequential, repeal and transitional provisions</w:t>
      </w:r>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Ednotesection"/>
      </w:pPr>
      <w:r>
        <w:t>[</w:t>
      </w:r>
      <w:r>
        <w:rPr>
          <w:b/>
          <w:bCs/>
        </w:rPr>
        <w:t>33.</w:t>
      </w:r>
      <w:r>
        <w:tab/>
        <w:t>Omitted under the Reprints Act 1984 s. 7(4)(e).]</w:t>
      </w:r>
    </w:p>
    <w:p>
      <w:pPr>
        <w:pStyle w:val="Ednotesection"/>
      </w:pPr>
      <w:r>
        <w:t>[</w:t>
      </w:r>
      <w:r>
        <w:rPr>
          <w:b/>
          <w:bCs/>
        </w:rPr>
        <w:t>34.</w:t>
      </w:r>
      <w:r>
        <w:tab/>
        <w:t xml:space="preserve">Omitted under the Reprints Act 1984 s. 7(4)(f).] </w:t>
      </w:r>
    </w:p>
    <w:p>
      <w:pPr>
        <w:pStyle w:val="Heading5"/>
        <w:rPr>
          <w:snapToGrid w:val="0"/>
        </w:rPr>
      </w:pPr>
      <w:bookmarkStart w:id="136" w:name="_Toc494852100"/>
      <w:bookmarkStart w:id="137" w:name="_Toc501513295"/>
      <w:bookmarkStart w:id="138" w:name="_Toc157837403"/>
      <w:r>
        <w:rPr>
          <w:rStyle w:val="CharSectno"/>
        </w:rPr>
        <w:t>35</w:t>
      </w:r>
      <w:r>
        <w:rPr>
          <w:snapToGrid w:val="0"/>
        </w:rPr>
        <w:t>.</w:t>
      </w:r>
      <w:r>
        <w:rPr>
          <w:snapToGrid w:val="0"/>
        </w:rPr>
        <w:tab/>
        <w:t>Transitional</w:t>
      </w:r>
      <w:bookmarkEnd w:id="136"/>
      <w:bookmarkEnd w:id="137"/>
      <w:bookmarkEnd w:id="138"/>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39" w:name="_Toc135715646"/>
      <w:bookmarkStart w:id="140" w:name="_Toc135716425"/>
      <w:bookmarkStart w:id="141" w:name="_Toc135717529"/>
      <w:bookmarkStart w:id="142" w:name="_Toc135718334"/>
      <w:bookmarkStart w:id="143" w:name="_Toc138666588"/>
      <w:bookmarkStart w:id="144" w:name="_Toc139699551"/>
      <w:bookmarkStart w:id="145" w:name="_Toc141493962"/>
      <w:bookmarkStart w:id="146" w:name="_Toc141679434"/>
      <w:bookmarkStart w:id="147" w:name="_Toc144178636"/>
      <w:bookmarkStart w:id="148" w:name="_Toc157837404"/>
      <w:r>
        <w:rPr>
          <w:rStyle w:val="CharSchNo"/>
        </w:rPr>
        <w:t>Schedule 1</w:t>
      </w:r>
      <w:bookmarkEnd w:id="139"/>
      <w:bookmarkEnd w:id="140"/>
      <w:bookmarkEnd w:id="141"/>
      <w:bookmarkEnd w:id="142"/>
      <w:bookmarkEnd w:id="143"/>
      <w:bookmarkEnd w:id="144"/>
      <w:bookmarkEnd w:id="145"/>
      <w:bookmarkEnd w:id="146"/>
      <w:bookmarkEnd w:id="147"/>
      <w:bookmarkEnd w:id="148"/>
    </w:p>
    <w:p>
      <w:pPr>
        <w:pStyle w:val="yShoulderClause"/>
        <w:rPr>
          <w:snapToGrid w:val="0"/>
        </w:rPr>
      </w:pPr>
      <w:r>
        <w:rPr>
          <w:snapToGrid w:val="0"/>
        </w:rPr>
        <w:t>[s. 3]</w:t>
      </w:r>
    </w:p>
    <w:p>
      <w:pPr>
        <w:pStyle w:val="yHeading2"/>
      </w:pPr>
      <w:bookmarkStart w:id="149" w:name="_Toc144178637"/>
      <w:bookmarkStart w:id="150" w:name="_Toc157837405"/>
      <w:r>
        <w:rPr>
          <w:rStyle w:val="CharSchText"/>
        </w:rPr>
        <w:t>Employers</w:t>
      </w:r>
      <w:bookmarkEnd w:id="149"/>
      <w:bookmarkEnd w:id="150"/>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151" w:name="_Toc135715647"/>
      <w:bookmarkStart w:id="152" w:name="_Toc135716426"/>
      <w:bookmarkStart w:id="153" w:name="_Toc135717530"/>
      <w:bookmarkStart w:id="154" w:name="_Toc135718335"/>
    </w:p>
    <w:p>
      <w:pPr>
        <w:pStyle w:val="yScheduleHeading"/>
      </w:pPr>
      <w:bookmarkStart w:id="155" w:name="_Toc138666589"/>
      <w:bookmarkStart w:id="156" w:name="_Toc139699552"/>
      <w:bookmarkStart w:id="157" w:name="_Toc141493963"/>
      <w:bookmarkStart w:id="158" w:name="_Toc141679435"/>
      <w:bookmarkStart w:id="159" w:name="_Toc144178638"/>
      <w:bookmarkStart w:id="160" w:name="_Toc157837406"/>
      <w:r>
        <w:rPr>
          <w:rStyle w:val="CharSchNo"/>
        </w:rPr>
        <w:t>Schedule 2</w:t>
      </w:r>
      <w:bookmarkEnd w:id="151"/>
      <w:bookmarkEnd w:id="152"/>
      <w:bookmarkEnd w:id="153"/>
      <w:bookmarkEnd w:id="154"/>
      <w:bookmarkEnd w:id="155"/>
      <w:bookmarkEnd w:id="156"/>
      <w:bookmarkEnd w:id="157"/>
      <w:bookmarkEnd w:id="158"/>
      <w:bookmarkEnd w:id="159"/>
      <w:bookmarkEnd w:id="160"/>
    </w:p>
    <w:p>
      <w:pPr>
        <w:pStyle w:val="yShoulderClause"/>
        <w:rPr>
          <w:snapToGrid w:val="0"/>
        </w:rPr>
      </w:pPr>
      <w:r>
        <w:rPr>
          <w:snapToGrid w:val="0"/>
        </w:rPr>
        <w:t>[s. 8]</w:t>
      </w:r>
    </w:p>
    <w:p>
      <w:pPr>
        <w:pStyle w:val="yHeading2"/>
      </w:pPr>
      <w:bookmarkStart w:id="161" w:name="_Toc141493964"/>
      <w:bookmarkStart w:id="162" w:name="_Toc141679436"/>
      <w:bookmarkStart w:id="163" w:name="_Toc144178639"/>
      <w:bookmarkStart w:id="164" w:name="_Toc157837407"/>
      <w:r>
        <w:rPr>
          <w:rStyle w:val="CharSchText"/>
        </w:rPr>
        <w:t>Provisions as to Board</w:t>
      </w:r>
      <w:bookmarkEnd w:id="161"/>
      <w:bookmarkEnd w:id="162"/>
      <w:bookmarkEnd w:id="163"/>
      <w:bookmarkEnd w:id="164"/>
    </w:p>
    <w:p>
      <w:pPr>
        <w:pStyle w:val="yHeading5"/>
        <w:outlineLvl w:val="9"/>
        <w:rPr>
          <w:snapToGrid w:val="0"/>
        </w:rPr>
      </w:pPr>
      <w:bookmarkStart w:id="165" w:name="_Toc501513296"/>
      <w:bookmarkStart w:id="166" w:name="_Toc157837408"/>
      <w:r>
        <w:rPr>
          <w:rStyle w:val="CharSClsNo"/>
        </w:rPr>
        <w:t>1</w:t>
      </w:r>
      <w:r>
        <w:rPr>
          <w:snapToGrid w:val="0"/>
        </w:rPr>
        <w:t>.</w:t>
      </w:r>
      <w:r>
        <w:rPr>
          <w:snapToGrid w:val="0"/>
        </w:rPr>
        <w:tab/>
        <w:t>Interpretation</w:t>
      </w:r>
      <w:bookmarkEnd w:id="165"/>
      <w:bookmarkEnd w:id="166"/>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r>
        <w:rPr>
          <w:rStyle w:val="CharDefText"/>
        </w:rPr>
        <w:t>appointed member</w:t>
      </w:r>
      <w:r>
        <w:t xml:space="preserve"> means a member of the Board appointed by the employers and includes an alternate member so appointed;</w:t>
      </w:r>
    </w:p>
    <w:p>
      <w:pPr>
        <w:pStyle w:val="yDefstart"/>
      </w:pPr>
      <w:r>
        <w:rPr>
          <w:b/>
        </w:rPr>
        <w:tab/>
      </w:r>
      <w:r>
        <w:rPr>
          <w:rStyle w:val="CharDefText"/>
        </w:rPr>
        <w:t>elected member</w:t>
      </w:r>
      <w:r>
        <w:t xml:space="preserve"> means a member of the Board elected by the members of the Fund and includes an alternate member so elected.</w:t>
      </w:r>
    </w:p>
    <w:p>
      <w:pPr>
        <w:pStyle w:val="yHeading5"/>
        <w:outlineLvl w:val="9"/>
        <w:rPr>
          <w:snapToGrid w:val="0"/>
        </w:rPr>
      </w:pPr>
      <w:bookmarkStart w:id="167" w:name="_Toc501513297"/>
      <w:bookmarkStart w:id="168" w:name="_Toc157837409"/>
      <w:r>
        <w:rPr>
          <w:rStyle w:val="CharSClsNo"/>
        </w:rPr>
        <w:t>2</w:t>
      </w:r>
      <w:r>
        <w:rPr>
          <w:snapToGrid w:val="0"/>
        </w:rPr>
        <w:t>.</w:t>
      </w:r>
      <w:r>
        <w:rPr>
          <w:snapToGrid w:val="0"/>
        </w:rPr>
        <w:tab/>
        <w:t>Elections</w:t>
      </w:r>
      <w:bookmarkEnd w:id="167"/>
      <w:bookmarkEnd w:id="168"/>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169" w:name="_Toc501513298"/>
      <w:bookmarkStart w:id="170" w:name="_Toc157837410"/>
      <w:r>
        <w:rPr>
          <w:rStyle w:val="CharSClsNo"/>
        </w:rPr>
        <w:t>3</w:t>
      </w:r>
      <w:r>
        <w:rPr>
          <w:snapToGrid w:val="0"/>
        </w:rPr>
        <w:t>.</w:t>
      </w:r>
      <w:r>
        <w:rPr>
          <w:snapToGrid w:val="0"/>
        </w:rPr>
        <w:tab/>
        <w:t>Appointments</w:t>
      </w:r>
      <w:bookmarkEnd w:id="169"/>
      <w:bookmarkEnd w:id="170"/>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171" w:name="_Toc501513299"/>
      <w:bookmarkStart w:id="172" w:name="_Toc157837411"/>
      <w:r>
        <w:rPr>
          <w:rStyle w:val="CharSClsNo"/>
        </w:rPr>
        <w:t>4</w:t>
      </w:r>
      <w:r>
        <w:rPr>
          <w:snapToGrid w:val="0"/>
        </w:rPr>
        <w:t>.</w:t>
      </w:r>
      <w:r>
        <w:rPr>
          <w:snapToGrid w:val="0"/>
        </w:rPr>
        <w:tab/>
        <w:t>Terms of office</w:t>
      </w:r>
      <w:bookmarkEnd w:id="171"/>
      <w:bookmarkEnd w:id="172"/>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173" w:name="_Toc501513300"/>
      <w:bookmarkStart w:id="174" w:name="_Toc157837412"/>
      <w:r>
        <w:rPr>
          <w:rStyle w:val="CharSClsNo"/>
        </w:rPr>
        <w:t>5</w:t>
      </w:r>
      <w:r>
        <w:rPr>
          <w:snapToGrid w:val="0"/>
        </w:rPr>
        <w:t>.</w:t>
      </w:r>
      <w:r>
        <w:rPr>
          <w:snapToGrid w:val="0"/>
        </w:rPr>
        <w:tab/>
        <w:t>Publication</w:t>
      </w:r>
      <w:bookmarkEnd w:id="173"/>
      <w:bookmarkEnd w:id="174"/>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175" w:name="_Toc501513301"/>
      <w:bookmarkStart w:id="176" w:name="_Toc157837413"/>
      <w:r>
        <w:rPr>
          <w:rStyle w:val="CharSClsNo"/>
        </w:rPr>
        <w:t>6</w:t>
      </w:r>
      <w:r>
        <w:rPr>
          <w:snapToGrid w:val="0"/>
        </w:rPr>
        <w:t xml:space="preserve">. </w:t>
      </w:r>
      <w:r>
        <w:rPr>
          <w:snapToGrid w:val="0"/>
        </w:rPr>
        <w:tab/>
        <w:t>How vacancies occur</w:t>
      </w:r>
      <w:bookmarkEnd w:id="175"/>
      <w:bookmarkEnd w:id="176"/>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pPr>
        <w:pStyle w:val="yFootnotesection"/>
      </w:pPr>
      <w:r>
        <w:tab/>
        <w:t>[Clause 6 inserted by No. 46 of 1995 s. 17.]</w:t>
      </w:r>
    </w:p>
    <w:p>
      <w:pPr>
        <w:pStyle w:val="yHeading5"/>
        <w:outlineLvl w:val="9"/>
        <w:rPr>
          <w:snapToGrid w:val="0"/>
        </w:rPr>
      </w:pPr>
      <w:bookmarkStart w:id="177" w:name="_Toc501513302"/>
      <w:bookmarkStart w:id="178" w:name="_Toc157837414"/>
      <w:r>
        <w:rPr>
          <w:rStyle w:val="CharSClsNo"/>
        </w:rPr>
        <w:t>6A</w:t>
      </w:r>
      <w:r>
        <w:rPr>
          <w:snapToGrid w:val="0"/>
        </w:rPr>
        <w:t xml:space="preserve">. </w:t>
      </w:r>
      <w:r>
        <w:rPr>
          <w:snapToGrid w:val="0"/>
        </w:rPr>
        <w:tab/>
        <w:t>Vacancies to be filled within certain period</w:t>
      </w:r>
      <w:bookmarkEnd w:id="177"/>
      <w:bookmarkEnd w:id="178"/>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179" w:name="_Toc501513303"/>
      <w:r>
        <w:tab/>
        <w:t>[Clause 6A inserted by No. 46 of 1995 s. 17.]</w:t>
      </w:r>
    </w:p>
    <w:p>
      <w:pPr>
        <w:pStyle w:val="yHeading5"/>
        <w:outlineLvl w:val="9"/>
        <w:rPr>
          <w:snapToGrid w:val="0"/>
        </w:rPr>
      </w:pPr>
      <w:bookmarkStart w:id="180" w:name="_Toc157837415"/>
      <w:r>
        <w:rPr>
          <w:rStyle w:val="CharSClsNo"/>
        </w:rPr>
        <w:t>7</w:t>
      </w:r>
      <w:r>
        <w:rPr>
          <w:snapToGrid w:val="0"/>
        </w:rPr>
        <w:t xml:space="preserve">. </w:t>
      </w:r>
      <w:r>
        <w:rPr>
          <w:snapToGrid w:val="0"/>
        </w:rPr>
        <w:tab/>
        <w:t>Alternate members</w:t>
      </w:r>
      <w:bookmarkEnd w:id="179"/>
      <w:bookmarkEnd w:id="180"/>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181" w:name="_Toc501513304"/>
      <w:bookmarkStart w:id="182" w:name="_Toc157837416"/>
      <w:r>
        <w:rPr>
          <w:rStyle w:val="CharSClsNo"/>
        </w:rPr>
        <w:t>8</w:t>
      </w:r>
      <w:r>
        <w:rPr>
          <w:snapToGrid w:val="0"/>
        </w:rPr>
        <w:t>.</w:t>
      </w:r>
      <w:r>
        <w:rPr>
          <w:snapToGrid w:val="0"/>
        </w:rPr>
        <w:tab/>
        <w:t>Meetings of the Board</w:t>
      </w:r>
      <w:bookmarkEnd w:id="181"/>
      <w:bookmarkEnd w:id="182"/>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Deleted by No. 46 of 1995 s. 17.]</w:t>
      </w:r>
    </w:p>
    <w:p>
      <w:pPr>
        <w:pStyle w:val="yHeading5"/>
        <w:outlineLvl w:val="9"/>
        <w:rPr>
          <w:snapToGrid w:val="0"/>
        </w:rPr>
      </w:pPr>
      <w:bookmarkStart w:id="183" w:name="_Toc501513305"/>
      <w:bookmarkStart w:id="184" w:name="_Toc157837417"/>
      <w:r>
        <w:rPr>
          <w:rStyle w:val="CharSClsNo"/>
        </w:rPr>
        <w:t>10</w:t>
      </w:r>
      <w:r>
        <w:rPr>
          <w:snapToGrid w:val="0"/>
        </w:rPr>
        <w:t>.</w:t>
      </w:r>
      <w:r>
        <w:rPr>
          <w:snapToGrid w:val="0"/>
        </w:rPr>
        <w:tab/>
        <w:t>Performance of functions by resolution</w:t>
      </w:r>
      <w:bookmarkEnd w:id="183"/>
      <w:bookmarkEnd w:id="184"/>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185" w:name="_Toc501513306"/>
      <w:bookmarkStart w:id="186" w:name="_Toc157837418"/>
      <w:r>
        <w:rPr>
          <w:rStyle w:val="CharSClsNo"/>
        </w:rPr>
        <w:t>11</w:t>
      </w:r>
      <w:r>
        <w:rPr>
          <w:snapToGrid w:val="0"/>
        </w:rPr>
        <w:t>.</w:t>
      </w:r>
      <w:r>
        <w:rPr>
          <w:snapToGrid w:val="0"/>
        </w:rPr>
        <w:tab/>
        <w:t>Disclosure of interest</w:t>
      </w:r>
      <w:bookmarkEnd w:id="185"/>
      <w:bookmarkEnd w:id="186"/>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187" w:name="_Toc501513307"/>
      <w:bookmarkStart w:id="188" w:name="_Toc157837419"/>
      <w:r>
        <w:rPr>
          <w:rStyle w:val="CharSClsNo"/>
        </w:rPr>
        <w:t>12</w:t>
      </w:r>
      <w:r>
        <w:rPr>
          <w:snapToGrid w:val="0"/>
        </w:rPr>
        <w:t>.</w:t>
      </w:r>
      <w:r>
        <w:rPr>
          <w:snapToGrid w:val="0"/>
        </w:rPr>
        <w:tab/>
        <w:t>Common seal</w:t>
      </w:r>
      <w:bookmarkEnd w:id="187"/>
      <w:bookmarkEnd w:id="188"/>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189" w:name="_Toc501513308"/>
      <w:bookmarkStart w:id="190" w:name="_Toc157837420"/>
      <w:r>
        <w:rPr>
          <w:rStyle w:val="CharSClsNo"/>
        </w:rPr>
        <w:t>13</w:t>
      </w:r>
      <w:r>
        <w:rPr>
          <w:snapToGrid w:val="0"/>
        </w:rPr>
        <w:t>.</w:t>
      </w:r>
      <w:r>
        <w:rPr>
          <w:snapToGrid w:val="0"/>
        </w:rPr>
        <w:tab/>
        <w:t>Allowances</w:t>
      </w:r>
      <w:bookmarkEnd w:id="189"/>
      <w:bookmarkEnd w:id="190"/>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191" w:name="_Toc501513309"/>
      <w:bookmarkStart w:id="192" w:name="_Toc157837421"/>
      <w:r>
        <w:rPr>
          <w:rStyle w:val="CharSClsNo"/>
        </w:rPr>
        <w:t>14</w:t>
      </w:r>
      <w:r>
        <w:rPr>
          <w:snapToGrid w:val="0"/>
        </w:rPr>
        <w:t xml:space="preserve">. </w:t>
      </w:r>
      <w:r>
        <w:rPr>
          <w:snapToGrid w:val="0"/>
        </w:rPr>
        <w:tab/>
        <w:t>Protection from liability</w:t>
      </w:r>
      <w:bookmarkEnd w:id="191"/>
      <w:bookmarkEnd w:id="192"/>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193" w:name="_Toc135715662"/>
      <w:bookmarkStart w:id="194" w:name="_Toc135716441"/>
      <w:bookmarkStart w:id="195" w:name="_Toc135717545"/>
      <w:bookmarkStart w:id="196" w:name="_Toc135718350"/>
      <w:bookmarkStart w:id="197" w:name="_Toc138666604"/>
      <w:bookmarkStart w:id="198" w:name="_Toc139699567"/>
      <w:r>
        <w:tab/>
        <w:t>[Clause 14 inserted by No. 46 of 1995 s. 17.]</w:t>
      </w:r>
    </w:p>
    <w:p>
      <w:pPr>
        <w:pStyle w:val="yScheduleHeading"/>
      </w:pPr>
      <w:bookmarkStart w:id="199" w:name="_Toc141493979"/>
      <w:bookmarkStart w:id="200" w:name="_Toc141679451"/>
      <w:bookmarkStart w:id="201" w:name="_Toc144178654"/>
      <w:bookmarkStart w:id="202" w:name="_Toc157837422"/>
      <w:r>
        <w:rPr>
          <w:rStyle w:val="CharSchNo"/>
        </w:rPr>
        <w:t>Schedule 3</w:t>
      </w:r>
      <w:bookmarkEnd w:id="193"/>
      <w:bookmarkEnd w:id="194"/>
      <w:bookmarkEnd w:id="195"/>
      <w:bookmarkEnd w:id="196"/>
      <w:bookmarkEnd w:id="197"/>
      <w:bookmarkEnd w:id="198"/>
      <w:bookmarkEnd w:id="199"/>
      <w:bookmarkEnd w:id="200"/>
      <w:bookmarkEnd w:id="201"/>
      <w:bookmarkEnd w:id="202"/>
    </w:p>
    <w:p>
      <w:pPr>
        <w:pStyle w:val="yShoulderClause"/>
        <w:rPr>
          <w:snapToGrid w:val="0"/>
        </w:rPr>
      </w:pPr>
      <w:r>
        <w:rPr>
          <w:snapToGrid w:val="0"/>
        </w:rPr>
        <w:t>[s. 35]</w:t>
      </w:r>
    </w:p>
    <w:p>
      <w:pPr>
        <w:pStyle w:val="yHeading2"/>
      </w:pPr>
      <w:bookmarkStart w:id="203" w:name="_Toc141493980"/>
      <w:bookmarkStart w:id="204" w:name="_Toc141679452"/>
      <w:bookmarkStart w:id="205" w:name="_Toc144178655"/>
      <w:bookmarkStart w:id="206" w:name="_Toc157837423"/>
      <w:r>
        <w:rPr>
          <w:rStyle w:val="CharSchText"/>
        </w:rPr>
        <w:t>Transitional provisions</w:t>
      </w:r>
      <w:bookmarkEnd w:id="203"/>
      <w:bookmarkEnd w:id="204"/>
      <w:bookmarkEnd w:id="205"/>
      <w:bookmarkEnd w:id="206"/>
    </w:p>
    <w:p>
      <w:pPr>
        <w:pStyle w:val="yHeading5"/>
        <w:outlineLvl w:val="9"/>
        <w:rPr>
          <w:snapToGrid w:val="0"/>
        </w:rPr>
      </w:pPr>
      <w:bookmarkStart w:id="207" w:name="_Toc501513310"/>
      <w:bookmarkStart w:id="208" w:name="_Toc157837424"/>
      <w:r>
        <w:rPr>
          <w:rStyle w:val="CharSClsNo"/>
        </w:rPr>
        <w:t>1</w:t>
      </w:r>
      <w:r>
        <w:rPr>
          <w:snapToGrid w:val="0"/>
        </w:rPr>
        <w:t>.</w:t>
      </w:r>
      <w:r>
        <w:rPr>
          <w:snapToGrid w:val="0"/>
        </w:rPr>
        <w:tab/>
        <w:t>Interpretation</w:t>
      </w:r>
      <w:bookmarkEnd w:id="207"/>
      <w:bookmarkEnd w:id="20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former Act</w:t>
      </w:r>
      <w:r>
        <w:t xml:space="preserve"> means the </w:t>
      </w:r>
      <w:r>
        <w:rPr>
          <w:i/>
        </w:rPr>
        <w:t>Coal Mine Workers (Pensions) Act 1943</w:t>
      </w:r>
      <w:r>
        <w:t>.</w:t>
      </w:r>
    </w:p>
    <w:p>
      <w:pPr>
        <w:pStyle w:val="yFootnotesection"/>
      </w:pPr>
      <w:bookmarkStart w:id="209" w:name="_Toc501513311"/>
      <w:r>
        <w:tab/>
        <w:t>[Clause 1 amended by No. 16 of 2006 s. 15(1).]</w:t>
      </w:r>
    </w:p>
    <w:p>
      <w:pPr>
        <w:pStyle w:val="yEdnotesection"/>
      </w:pPr>
      <w:bookmarkStart w:id="210" w:name="_Toc501513314"/>
      <w:bookmarkEnd w:id="209"/>
      <w:r>
        <w:t>[</w:t>
      </w:r>
      <w:r>
        <w:rPr>
          <w:b/>
          <w:bCs/>
        </w:rPr>
        <w:t>2</w:t>
      </w:r>
      <w:r>
        <w:rPr>
          <w:b/>
          <w:bCs/>
        </w:rPr>
        <w:noBreakHyphen/>
        <w:t>4.</w:t>
      </w:r>
      <w:r>
        <w:tab/>
        <w:t>Deleted by No. 16 of 2006 s. 15(2).]</w:t>
      </w:r>
    </w:p>
    <w:p>
      <w:pPr>
        <w:pStyle w:val="yHeading5"/>
        <w:outlineLvl w:val="9"/>
        <w:rPr>
          <w:snapToGrid w:val="0"/>
        </w:rPr>
      </w:pPr>
      <w:bookmarkStart w:id="211" w:name="_Toc157837425"/>
      <w:r>
        <w:rPr>
          <w:rStyle w:val="CharSClsNo"/>
        </w:rPr>
        <w:t>5</w:t>
      </w:r>
      <w:r>
        <w:rPr>
          <w:snapToGrid w:val="0"/>
        </w:rPr>
        <w:t>.</w:t>
      </w:r>
      <w:r>
        <w:rPr>
          <w:snapToGrid w:val="0"/>
        </w:rPr>
        <w:tab/>
        <w:t>Reciprocating States</w:t>
      </w:r>
      <w:bookmarkEnd w:id="210"/>
      <w:bookmarkEnd w:id="211"/>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r>
        <w:rPr>
          <w:b/>
          <w:bCs/>
        </w:rPr>
        <w:noBreakHyphen/>
        <w:t>8.</w:t>
      </w:r>
      <w:r>
        <w:tab/>
        <w:t>Deleted by No. 16 of 2006 s. 15(2).]</w:t>
      </w:r>
    </w:p>
    <w:p>
      <w:pPr>
        <w:sectPr>
          <w:headerReference w:type="even" r:id="rId24"/>
          <w:headerReference w:type="default" r:id="rId25"/>
          <w:pgSz w:w="11906" w:h="16838" w:code="9"/>
          <w:pgMar w:top="2381" w:right="2410" w:bottom="3544" w:left="2410" w:header="720" w:footer="3380" w:gutter="0"/>
          <w:cols w:space="720"/>
          <w:noEndnote/>
          <w:docGrid w:linePitch="326"/>
        </w:sectPr>
      </w:pPr>
    </w:p>
    <w:p>
      <w:pPr>
        <w:pStyle w:val="nHeading2"/>
      </w:pPr>
      <w:bookmarkStart w:id="212" w:name="_Toc135715670"/>
      <w:bookmarkStart w:id="213" w:name="_Toc135716449"/>
      <w:bookmarkStart w:id="214" w:name="_Toc135717553"/>
      <w:bookmarkStart w:id="215" w:name="_Toc135718358"/>
      <w:bookmarkStart w:id="216" w:name="_Toc138666607"/>
      <w:bookmarkStart w:id="217" w:name="_Toc139699570"/>
      <w:bookmarkStart w:id="218" w:name="_Toc141493983"/>
      <w:bookmarkStart w:id="219" w:name="_Toc141679455"/>
      <w:bookmarkStart w:id="220" w:name="_Toc144178658"/>
      <w:bookmarkStart w:id="221" w:name="_Toc157837426"/>
      <w:r>
        <w:t>Notes</w:t>
      </w:r>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ins w:id="222" w:author="svcMRProcess" w:date="2015-12-09T18:05:00Z">
        <w:r>
          <w:rPr>
            <w:snapToGrid w:val="0"/>
            <w:vertAlign w:val="superscript"/>
          </w:rPr>
          <w:t> 1a</w:t>
        </w:r>
      </w:ins>
      <w:r>
        <w:rPr>
          <w:snapToGrid w:val="0"/>
        </w:rPr>
        <w:t>.  The table also contains information about any reprint.</w:t>
      </w:r>
    </w:p>
    <w:p>
      <w:pPr>
        <w:pStyle w:val="nHeading3"/>
        <w:rPr>
          <w:snapToGrid w:val="0"/>
        </w:rPr>
      </w:pPr>
      <w:bookmarkStart w:id="223" w:name="_Toc157837427"/>
      <w:r>
        <w:rPr>
          <w:snapToGrid w:val="0"/>
        </w:rP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 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36"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51" w:type="dxa"/>
          </w:tcPr>
          <w:p>
            <w:pPr>
              <w:pStyle w:val="nTable"/>
              <w:spacing w:after="40"/>
              <w:rPr>
                <w:sz w:val="19"/>
              </w:rPr>
            </w:pPr>
            <w:r>
              <w:rPr>
                <w:sz w:val="19"/>
              </w:rPr>
              <w:t>29 Sep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68" w:type="dxa"/>
          </w:tcPr>
          <w:p>
            <w:pPr>
              <w:pStyle w:val="nTable"/>
              <w:spacing w:after="40"/>
              <w:ind w:right="113"/>
              <w:rPr>
                <w:sz w:val="19"/>
              </w:rPr>
            </w:pPr>
            <w:r>
              <w:rPr>
                <w:i/>
                <w:iCs/>
                <w:snapToGrid w:val="0"/>
                <w:sz w:val="19"/>
                <w:lang w:val="en-US"/>
              </w:rPr>
              <w:t>Coal Industry Superannuation Amendment Act 2006</w:t>
            </w:r>
          </w:p>
        </w:tc>
        <w:tc>
          <w:tcPr>
            <w:tcW w:w="1134" w:type="dxa"/>
          </w:tcPr>
          <w:p>
            <w:pPr>
              <w:pStyle w:val="nTable"/>
              <w:spacing w:after="40"/>
              <w:rPr>
                <w:sz w:val="19"/>
              </w:rPr>
            </w:pPr>
            <w:r>
              <w:rPr>
                <w:sz w:val="19"/>
              </w:rPr>
              <w:t>16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14 Jun 2006</w:t>
            </w:r>
          </w:p>
        </w:tc>
      </w:tr>
      <w:tr>
        <w:trPr>
          <w:cantSplit/>
        </w:trPr>
        <w:tc>
          <w:tcPr>
            <w:tcW w:w="7087" w:type="dxa"/>
            <w:gridSpan w:val="4"/>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ns w:id="224" w:author="svcMRProcess" w:date="2015-12-09T18:05:00Z"/>
          <w:snapToGrid w:val="0"/>
          <w:vertAlign w:val="superscript"/>
        </w:rPr>
      </w:pPr>
    </w:p>
    <w:p>
      <w:pPr>
        <w:pStyle w:val="nSubsection"/>
        <w:tabs>
          <w:tab w:val="clear" w:pos="454"/>
          <w:tab w:val="left" w:pos="567"/>
        </w:tabs>
        <w:spacing w:before="120"/>
        <w:ind w:left="567" w:hanging="567"/>
        <w:rPr>
          <w:ins w:id="225" w:author="svcMRProcess" w:date="2015-12-09T18:05:00Z"/>
          <w:snapToGrid w:val="0"/>
        </w:rPr>
      </w:pPr>
      <w:ins w:id="226" w:author="svcMRProcess" w:date="2015-12-09T18: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7" w:author="svcMRProcess" w:date="2015-12-09T18:05:00Z"/>
        </w:rPr>
      </w:pPr>
      <w:bookmarkStart w:id="228" w:name="_Toc7405065"/>
      <w:ins w:id="229" w:author="svcMRProcess" w:date="2015-12-09T18:05:00Z">
        <w:r>
          <w:t>Provisions that have not come into operation</w:t>
        </w:r>
        <w:bookmarkEnd w:id="22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30" w:author="svcMRProcess" w:date="2015-12-09T18:05:00Z"/>
        </w:trPr>
        <w:tc>
          <w:tcPr>
            <w:tcW w:w="2266" w:type="dxa"/>
          </w:tcPr>
          <w:p>
            <w:pPr>
              <w:pStyle w:val="nTable"/>
              <w:spacing w:after="40"/>
              <w:rPr>
                <w:ins w:id="231" w:author="svcMRProcess" w:date="2015-12-09T18:05:00Z"/>
                <w:b/>
                <w:snapToGrid w:val="0"/>
                <w:sz w:val="19"/>
                <w:lang w:val="en-US"/>
              </w:rPr>
            </w:pPr>
            <w:ins w:id="232" w:author="svcMRProcess" w:date="2015-12-09T18:05:00Z">
              <w:r>
                <w:rPr>
                  <w:b/>
                  <w:snapToGrid w:val="0"/>
                  <w:sz w:val="19"/>
                  <w:lang w:val="en-US"/>
                </w:rPr>
                <w:t>Short title</w:t>
              </w:r>
            </w:ins>
          </w:p>
        </w:tc>
        <w:tc>
          <w:tcPr>
            <w:tcW w:w="1120" w:type="dxa"/>
          </w:tcPr>
          <w:p>
            <w:pPr>
              <w:pStyle w:val="nTable"/>
              <w:spacing w:after="40"/>
              <w:rPr>
                <w:ins w:id="233" w:author="svcMRProcess" w:date="2015-12-09T18:05:00Z"/>
                <w:b/>
                <w:snapToGrid w:val="0"/>
                <w:sz w:val="19"/>
                <w:lang w:val="en-US"/>
              </w:rPr>
            </w:pPr>
            <w:ins w:id="234" w:author="svcMRProcess" w:date="2015-12-09T18:05:00Z">
              <w:r>
                <w:rPr>
                  <w:b/>
                  <w:snapToGrid w:val="0"/>
                  <w:sz w:val="19"/>
                  <w:lang w:val="en-US"/>
                </w:rPr>
                <w:t>Number and year</w:t>
              </w:r>
            </w:ins>
          </w:p>
        </w:tc>
        <w:tc>
          <w:tcPr>
            <w:tcW w:w="1135" w:type="dxa"/>
          </w:tcPr>
          <w:p>
            <w:pPr>
              <w:pStyle w:val="nTable"/>
              <w:spacing w:after="40"/>
              <w:rPr>
                <w:ins w:id="235" w:author="svcMRProcess" w:date="2015-12-09T18:05:00Z"/>
                <w:b/>
                <w:snapToGrid w:val="0"/>
                <w:sz w:val="19"/>
                <w:lang w:val="en-US"/>
              </w:rPr>
            </w:pPr>
            <w:ins w:id="236" w:author="svcMRProcess" w:date="2015-12-09T18:05:00Z">
              <w:r>
                <w:rPr>
                  <w:b/>
                  <w:snapToGrid w:val="0"/>
                  <w:sz w:val="19"/>
                  <w:lang w:val="en-US"/>
                </w:rPr>
                <w:t>Assent</w:t>
              </w:r>
            </w:ins>
          </w:p>
        </w:tc>
        <w:tc>
          <w:tcPr>
            <w:tcW w:w="2534" w:type="dxa"/>
          </w:tcPr>
          <w:p>
            <w:pPr>
              <w:pStyle w:val="nTable"/>
              <w:spacing w:after="40"/>
              <w:rPr>
                <w:ins w:id="237" w:author="svcMRProcess" w:date="2015-12-09T18:05:00Z"/>
                <w:b/>
                <w:snapToGrid w:val="0"/>
                <w:sz w:val="19"/>
                <w:lang w:val="en-US"/>
              </w:rPr>
            </w:pPr>
            <w:ins w:id="238" w:author="svcMRProcess" w:date="2015-12-09T18:05:00Z">
              <w:r>
                <w:rPr>
                  <w:b/>
                  <w:snapToGrid w:val="0"/>
                  <w:sz w:val="19"/>
                  <w:lang w:val="en-US"/>
                </w:rPr>
                <w:t>Commencement</w:t>
              </w:r>
            </w:ins>
          </w:p>
        </w:tc>
      </w:tr>
      <w:tr>
        <w:tblPrEx>
          <w:tblCellMar>
            <w:left w:w="56" w:type="dxa"/>
            <w:right w:w="56" w:type="dxa"/>
          </w:tblCellMar>
        </w:tblPrEx>
        <w:trPr>
          <w:cantSplit/>
          <w:ins w:id="239" w:author="svcMRProcess" w:date="2015-12-09T18:05:00Z"/>
        </w:trPr>
        <w:tc>
          <w:tcPr>
            <w:tcW w:w="2266" w:type="dxa"/>
          </w:tcPr>
          <w:p>
            <w:pPr>
              <w:pStyle w:val="nTable"/>
              <w:spacing w:after="40"/>
              <w:ind w:right="113"/>
              <w:rPr>
                <w:ins w:id="240" w:author="svcMRProcess" w:date="2015-12-09T18:05:00Z"/>
                <w:iCs/>
                <w:snapToGrid w:val="0"/>
                <w:sz w:val="19"/>
                <w:lang w:val="en-US"/>
              </w:rPr>
            </w:pPr>
            <w:ins w:id="241" w:author="svcMRProcess" w:date="2015-12-09T18:0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242" w:author="svcMRProcess" w:date="2015-12-09T18:05:00Z"/>
                <w:snapToGrid w:val="0"/>
                <w:sz w:val="19"/>
                <w:lang w:val="en-US"/>
              </w:rPr>
            </w:pPr>
            <w:ins w:id="243" w:author="svcMRProcess" w:date="2015-12-09T18:05:00Z">
              <w:r>
                <w:rPr>
                  <w:snapToGrid w:val="0"/>
                  <w:sz w:val="19"/>
                  <w:lang w:val="en-US"/>
                </w:rPr>
                <w:t>19 of 2010</w:t>
              </w:r>
            </w:ins>
          </w:p>
        </w:tc>
        <w:tc>
          <w:tcPr>
            <w:tcW w:w="1135" w:type="dxa"/>
          </w:tcPr>
          <w:p>
            <w:pPr>
              <w:pStyle w:val="nTable"/>
              <w:spacing w:after="40"/>
              <w:rPr>
                <w:ins w:id="244" w:author="svcMRProcess" w:date="2015-12-09T18:05:00Z"/>
                <w:snapToGrid w:val="0"/>
                <w:sz w:val="19"/>
                <w:lang w:val="en-US"/>
              </w:rPr>
            </w:pPr>
            <w:ins w:id="245" w:author="svcMRProcess" w:date="2015-12-09T18:05:00Z">
              <w:r>
                <w:rPr>
                  <w:snapToGrid w:val="0"/>
                  <w:sz w:val="19"/>
                  <w:lang w:val="en-US"/>
                </w:rPr>
                <w:t>28 Jun 2010</w:t>
              </w:r>
            </w:ins>
          </w:p>
        </w:tc>
        <w:tc>
          <w:tcPr>
            <w:tcW w:w="2534" w:type="dxa"/>
          </w:tcPr>
          <w:p>
            <w:pPr>
              <w:pStyle w:val="nTable"/>
              <w:spacing w:after="40"/>
              <w:rPr>
                <w:ins w:id="246" w:author="svcMRProcess" w:date="2015-12-09T18:05:00Z"/>
                <w:snapToGrid w:val="0"/>
                <w:sz w:val="19"/>
                <w:lang w:val="en-US"/>
              </w:rPr>
            </w:pPr>
            <w:ins w:id="247" w:author="svcMRProcess" w:date="2015-12-09T18:05:00Z">
              <w:r>
                <w:rPr>
                  <w:snapToGrid w:val="0"/>
                  <w:sz w:val="19"/>
                  <w:lang w:val="en-US"/>
                </w:rPr>
                <w:t>To be proclaimed (see s. 2(b))</w:t>
              </w:r>
            </w:ins>
          </w:p>
        </w:tc>
      </w:tr>
    </w:tbl>
    <w:p>
      <w:pPr>
        <w:pStyle w:val="nSubsection"/>
        <w:rPr>
          <w:ins w:id="248" w:author="svcMRProcess" w:date="2015-12-09T18:05:00Z"/>
          <w:snapToGrid w:val="0"/>
          <w:vertAlign w:val="superscript"/>
        </w:rPr>
      </w:pPr>
    </w:p>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rPr>
          <w:ins w:id="249" w:author="svcMRProcess" w:date="2015-12-09T18:05:00Z"/>
          <w:snapToGrid w:val="0"/>
        </w:rPr>
      </w:pPr>
      <w:ins w:id="250" w:author="svcMRProcess" w:date="2015-12-09T18:0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51" w:author="svcMRProcess" w:date="2015-12-09T18:05:00Z"/>
        </w:rPr>
      </w:pPr>
    </w:p>
    <w:p>
      <w:pPr>
        <w:pStyle w:val="nzHeading5"/>
        <w:rPr>
          <w:ins w:id="252" w:author="svcMRProcess" w:date="2015-12-09T18:05:00Z"/>
          <w:rFonts w:eastAsia="MS Mincho"/>
        </w:rPr>
      </w:pPr>
      <w:bookmarkStart w:id="253" w:name="_Toc233107675"/>
      <w:bookmarkStart w:id="254" w:name="_Toc255473698"/>
      <w:bookmarkStart w:id="255" w:name="_Toc265583753"/>
      <w:ins w:id="256" w:author="svcMRProcess" w:date="2015-12-09T18:05:00Z">
        <w:r>
          <w:rPr>
            <w:rStyle w:val="CharSectno"/>
            <w:rFonts w:eastAsia="MS Mincho"/>
          </w:rPr>
          <w:t>4</w:t>
        </w:r>
        <w:r>
          <w:rPr>
            <w:rFonts w:eastAsia="MS Mincho"/>
          </w:rPr>
          <w:t>.</w:t>
        </w:r>
        <w:r>
          <w:rPr>
            <w:rFonts w:eastAsia="MS Mincho"/>
          </w:rPr>
          <w:tab/>
          <w:t>Schedule headings reformatted</w:t>
        </w:r>
        <w:bookmarkEnd w:id="253"/>
        <w:bookmarkEnd w:id="254"/>
        <w:bookmarkEnd w:id="255"/>
      </w:ins>
    </w:p>
    <w:p>
      <w:pPr>
        <w:pStyle w:val="nzSubsection"/>
        <w:rPr>
          <w:ins w:id="257" w:author="svcMRProcess" w:date="2015-12-09T18:05:00Z"/>
          <w:rFonts w:eastAsia="MS Mincho"/>
        </w:rPr>
      </w:pPr>
      <w:ins w:id="258" w:author="svcMRProcess" w:date="2015-12-09T18:05:00Z">
        <w:r>
          <w:rPr>
            <w:rFonts w:eastAsia="MS Mincho"/>
          </w:rPr>
          <w:tab/>
          <w:t>(1)</w:t>
        </w:r>
        <w:r>
          <w:rPr>
            <w:rFonts w:eastAsia="MS Mincho"/>
          </w:rPr>
          <w:tab/>
          <w:t>This section amends the Acts listed in the Table.</w:t>
        </w:r>
      </w:ins>
    </w:p>
    <w:p>
      <w:pPr>
        <w:pStyle w:val="nzSubsection"/>
        <w:rPr>
          <w:ins w:id="259" w:author="svcMRProcess" w:date="2015-12-09T18:05:00Z"/>
        </w:rPr>
      </w:pPr>
      <w:ins w:id="260" w:author="svcMRProcess" w:date="2015-12-09T18:05:00Z">
        <w:r>
          <w:rPr>
            <w:rFonts w:eastAsia="MS Mincho"/>
          </w:rPr>
          <w:tab/>
          <w:t>(2)</w:t>
        </w:r>
        <w:r>
          <w:rPr>
            <w:rFonts w:eastAsia="MS Mincho"/>
          </w:rPr>
          <w:tab/>
          <w:t>In each Schedule listed in the Table:</w:t>
        </w:r>
      </w:ins>
    </w:p>
    <w:p>
      <w:pPr>
        <w:pStyle w:val="nzIndenta"/>
        <w:rPr>
          <w:ins w:id="261" w:author="svcMRProcess" w:date="2015-12-09T18:05:00Z"/>
        </w:rPr>
      </w:pPr>
      <w:ins w:id="262" w:author="svcMRProcess" w:date="2015-12-09T18:05:00Z">
        <w:r>
          <w:tab/>
          <w:t>(a)</w:t>
        </w:r>
        <w:r>
          <w:tab/>
          <w:t>if there is a title set out in the Table for the Schedule — after the identifier for the Schedule insert that title;</w:t>
        </w:r>
      </w:ins>
    </w:p>
    <w:p>
      <w:pPr>
        <w:pStyle w:val="nzIndenta"/>
        <w:rPr>
          <w:ins w:id="263" w:author="svcMRProcess" w:date="2015-12-09T18:05:00Z"/>
        </w:rPr>
      </w:pPr>
      <w:ins w:id="264" w:author="svcMRProcess" w:date="2015-12-09T18:05:00Z">
        <w:r>
          <w:tab/>
          <w:t>(b)</w:t>
        </w:r>
        <w:r>
          <w:tab/>
          <w:t>if there is a shoulder note set out in the Table for the Schedule — at the end of the heading to the Schedule insert that shoulder note;</w:t>
        </w:r>
      </w:ins>
    </w:p>
    <w:p>
      <w:pPr>
        <w:pStyle w:val="nzIndenta"/>
        <w:rPr>
          <w:ins w:id="265" w:author="svcMRProcess" w:date="2015-12-09T18:05:00Z"/>
        </w:rPr>
      </w:pPr>
      <w:ins w:id="266" w:author="svcMRProcess" w:date="2015-12-09T18:0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67" w:author="svcMRProcess" w:date="2015-12-09T18: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8" w:author="svcMRProcess" w:date="2015-12-09T18:05:00Z"/>
                <w:rFonts w:eastAsia="MS Mincho"/>
                <w:b/>
                <w:bCs/>
                <w:sz w:val="18"/>
              </w:rPr>
            </w:pPr>
            <w:ins w:id="269" w:author="svcMRProcess" w:date="2015-12-09T18:0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0" w:author="svcMRProcess" w:date="2015-12-09T18:05:00Z"/>
                <w:b/>
                <w:bCs/>
                <w:sz w:val="18"/>
              </w:rPr>
            </w:pPr>
            <w:ins w:id="271" w:author="svcMRProcess" w:date="2015-12-09T18:0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2" w:author="svcMRProcess" w:date="2015-12-09T18:05:00Z"/>
                <w:b/>
                <w:bCs/>
                <w:sz w:val="18"/>
              </w:rPr>
            </w:pPr>
            <w:ins w:id="273" w:author="svcMRProcess" w:date="2015-12-09T18:0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74" w:author="svcMRProcess" w:date="2015-12-09T18:05:00Z"/>
                <w:b/>
                <w:bCs/>
                <w:sz w:val="18"/>
              </w:rPr>
            </w:pPr>
            <w:ins w:id="275" w:author="svcMRProcess" w:date="2015-12-09T18:05:00Z">
              <w:r>
                <w:rPr>
                  <w:b/>
                  <w:bCs/>
                  <w:sz w:val="18"/>
                </w:rPr>
                <w:t>Shoulder note</w:t>
              </w:r>
            </w:ins>
          </w:p>
        </w:tc>
      </w:tr>
      <w:tr>
        <w:trPr>
          <w:cantSplit/>
          <w:ins w:id="276" w:author="svcMRProcess" w:date="2015-12-09T18:0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77" w:author="svcMRProcess" w:date="2015-12-09T18:05:00Z"/>
                <w:i/>
                <w:iCs/>
                <w:sz w:val="18"/>
              </w:rPr>
            </w:pPr>
            <w:ins w:id="278" w:author="svcMRProcess" w:date="2015-12-09T18:05:00Z">
              <w:r>
                <w:rPr>
                  <w:rFonts w:eastAsia="MS Mincho"/>
                  <w:i/>
                  <w:iCs/>
                  <w:sz w:val="18"/>
                </w:rPr>
                <w:t>Coal Industry Superannuation Act 1989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9" w:author="svcMRProcess" w:date="2015-12-09T18:05:00Z"/>
                <w:sz w:val="18"/>
              </w:rPr>
            </w:pPr>
            <w:ins w:id="280" w:author="svcMRProcess" w:date="2015-12-09T18:0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81" w:author="svcMRProcess" w:date="2015-12-09T18:0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82" w:author="svcMRProcess" w:date="2015-12-09T18:05:00Z"/>
                <w:sz w:val="18"/>
              </w:rPr>
            </w:pPr>
          </w:p>
        </w:tc>
      </w:tr>
      <w:tr>
        <w:trPr>
          <w:cantSplit/>
          <w:ins w:id="283" w:author="svcMRProcess" w:date="2015-12-09T18:0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84" w:author="svcMRProcess" w:date="2015-12-09T18:0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85" w:author="svcMRProcess" w:date="2015-12-09T18:05:00Z"/>
                <w:sz w:val="18"/>
              </w:rPr>
            </w:pPr>
            <w:ins w:id="286" w:author="svcMRProcess" w:date="2015-12-09T18:05: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87" w:author="svcMRProcess" w:date="2015-12-09T18:0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88" w:author="svcMRProcess" w:date="2015-12-09T18:05:00Z"/>
                <w:sz w:val="18"/>
              </w:rPr>
            </w:pPr>
          </w:p>
        </w:tc>
      </w:tr>
      <w:tr>
        <w:trPr>
          <w:cantSplit/>
          <w:ins w:id="289" w:author="svcMRProcess" w:date="2015-12-09T18:0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90" w:author="svcMRProcess" w:date="2015-12-09T18:0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91" w:author="svcMRProcess" w:date="2015-12-09T18:05:00Z"/>
                <w:sz w:val="18"/>
              </w:rPr>
            </w:pPr>
            <w:ins w:id="292" w:author="svcMRProcess" w:date="2015-12-09T18:05: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3" w:author="svcMRProcess" w:date="2015-12-09T18:0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4" w:author="svcMRProcess" w:date="2015-12-09T18:05:00Z"/>
                <w:sz w:val="18"/>
              </w:rPr>
            </w:pPr>
          </w:p>
        </w:tc>
      </w:tr>
    </w:tbl>
    <w:p>
      <w:pPr>
        <w:pStyle w:val="BlankClose"/>
        <w:rPr>
          <w:ins w:id="295" w:author="svcMRProcess" w:date="2015-12-09T18:05: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96" w:name="UpToHere"/>
      <w:bookmarkEnd w:id="296"/>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55"/>
    <w:docVar w:name="WAFER_20151208095355" w:val="RemoveTrackChanges"/>
    <w:docVar w:name="WAFER_20151208095355_GUID" w:val="fb9e0d1a-9ce4-4055-b5c1-5b7e3b993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7999</Words>
  <Characters>36559</Characters>
  <Application>Microsoft Office Word</Application>
  <DocSecurity>0</DocSecurity>
  <Lines>1015</Lines>
  <Paragraphs>586</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43972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02-b0-08 - 02-c0-02</dc:title>
  <dc:subject/>
  <dc:creator/>
  <cp:keywords/>
  <dc:description/>
  <cp:lastModifiedBy>svcMRProcess</cp:lastModifiedBy>
  <cp:revision>2</cp:revision>
  <cp:lastPrinted>2006-07-26T06:43:00Z</cp:lastPrinted>
  <dcterms:created xsi:type="dcterms:W3CDTF">2015-12-09T10:05:00Z</dcterms:created>
  <dcterms:modified xsi:type="dcterms:W3CDTF">2015-12-09T10:05:00Z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138</vt:i4>
  </property>
  <property fmtid="{D5CDD505-2E9C-101B-9397-08002B2CF9AE}" pid="6" name="FromSuffix">
    <vt:lpwstr>02-b0-08</vt:lpwstr>
  </property>
  <property fmtid="{D5CDD505-2E9C-101B-9397-08002B2CF9AE}" pid="7" name="FromAsAtDate">
    <vt:lpwstr>01 Feb 2007</vt:lpwstr>
  </property>
  <property fmtid="{D5CDD505-2E9C-101B-9397-08002B2CF9AE}" pid="8" name="ToSuffix">
    <vt:lpwstr>02-c0-02</vt:lpwstr>
  </property>
  <property fmtid="{D5CDD505-2E9C-101B-9397-08002B2CF9AE}" pid="9" name="ToAsAtDate">
    <vt:lpwstr>28 Jun 2010</vt:lpwstr>
  </property>
</Properties>
</file>