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Coal (Griffin)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A</w:t>
      </w:r>
      <w:bookmarkStart w:id="0" w:name="_GoBack"/>
      <w:bookmarkEnd w:id="0"/>
      <w:r>
        <w:rPr>
          <w:snapToGrid w:val="0"/>
        </w:rPr>
        <w:t xml:space="preserve">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1" w:name="_Toc409840816"/>
      <w:bookmarkStart w:id="2" w:name="_Toc25728722"/>
      <w:bookmarkStart w:id="3" w:name="_Toc26791345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rPr>
          <w:snapToGrid w:val="0"/>
        </w:rPr>
      </w:pPr>
      <w:bookmarkStart w:id="4" w:name="_Toc409840817"/>
      <w:bookmarkStart w:id="5" w:name="_Toc25728723"/>
      <w:bookmarkStart w:id="6" w:name="_Toc26791346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that agreement as altered from time to time in accordance with its provisions.</w:t>
      </w:r>
    </w:p>
    <w:p>
      <w:pPr>
        <w:pStyle w:val="Heading5"/>
        <w:rPr>
          <w:snapToGrid w:val="0"/>
        </w:rPr>
      </w:pPr>
      <w:bookmarkStart w:id="7" w:name="_Toc409840818"/>
      <w:bookmarkStart w:id="8" w:name="_Toc25728724"/>
      <w:bookmarkStart w:id="9" w:name="_Toc267913461"/>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 w:name="_Toc25728725"/>
      <w:bookmarkStart w:id="11" w:name="_Toc267913462"/>
      <w:r>
        <w:rPr>
          <w:rStyle w:val="CharSchNo"/>
        </w:rPr>
        <w:lastRenderedPageBreak/>
        <w:t>Schedule</w:t>
      </w:r>
      <w:bookmarkEnd w:id="10"/>
      <w:bookmarkEnd w:id="11"/>
    </w:p>
    <w:p>
      <w:pPr>
        <w:pStyle w:val="yShoulderClause"/>
        <w:rPr>
          <w:snapToGrid w:val="0"/>
        </w:rPr>
      </w:pPr>
      <w:r>
        <w:rPr>
          <w:snapToGrid w:val="0"/>
        </w:rPr>
        <w:t>[S. 2]</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2</w:t>
      </w:r>
    </w:p>
    <w:p>
      <w:pPr>
        <w:pStyle w:val="yMiscellaneousBody"/>
        <w:tabs>
          <w:tab w:val="left" w:pos="567"/>
        </w:tabs>
      </w:pPr>
      <w:r>
        <w:t>1.</w:t>
      </w:r>
      <w:r>
        <w:tab/>
        <w:t>In this Agreement subject to the context —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ind w:left="993" w:hanging="993"/>
      </w:pPr>
      <w:r>
        <w:lastRenderedPageBreak/>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“Company’s Coal Mining Leases” means such of the coal mining leases referred to in Schedule “A” hereof together with such of the coal mining leases granted to the Company pursuant to Clause 21 as the Company holds from time to time during the currency of this Agreement;</w:t>
      </w:r>
    </w:p>
    <w:p>
      <w:pPr>
        <w:pStyle w:val="yMiscellaneousBody"/>
        <w:tabs>
          <w:tab w:val="left" w:pos="567"/>
        </w:tabs>
        <w:ind w:left="993" w:hanging="993"/>
      </w:pPr>
      <w:r>
        <w:lastRenderedPageBreak/>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2</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2</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2</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2</w:t>
      </w:r>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r>
        <w:rPr>
          <w:b/>
          <w:vertAlign w:val="superscript"/>
        </w:rPr>
        <w:t>2</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2</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2</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2</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2</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rPr>
          <w:b/>
        </w:rPr>
      </w:pPr>
      <w:r>
        <w:rPr>
          <w:b/>
        </w:rPr>
        <w:t xml:space="preserve">Minister’s decision subject to arbitration </w:t>
      </w:r>
      <w:r>
        <w:rPr>
          <w:b/>
          <w:vertAlign w:val="superscript"/>
        </w:rPr>
        <w:t>2</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2</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2</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2</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2</w:t>
      </w:r>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2</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2</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rPr>
          <w:b/>
        </w:rPr>
      </w:pPr>
      <w:r>
        <w:rPr>
          <w:b/>
        </w:rPr>
        <w:t xml:space="preserve">Reports </w:t>
      </w:r>
      <w:r>
        <w:rPr>
          <w:b/>
          <w:vertAlign w:val="superscript"/>
        </w:rPr>
        <w:t>2</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2</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2</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2</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2</w:t>
      </w:r>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2</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2</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r>
        <w:rPr>
          <w:b/>
          <w:vertAlign w:val="superscript"/>
        </w:rPr>
        <w:t>2</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2</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2</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2</w:t>
      </w:r>
    </w:p>
    <w:p>
      <w:pPr>
        <w:pStyle w:val="yMiscellaneousBody"/>
        <w:rPr>
          <w:b/>
        </w:rPr>
      </w:pPr>
      <w:r>
        <w:rPr>
          <w:b/>
        </w:rPr>
        <w:t xml:space="preserve">Loading facilities </w:t>
      </w:r>
      <w:r>
        <w:rPr>
          <w:b/>
          <w:vertAlign w:val="superscript"/>
        </w:rPr>
        <w:t>2</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2</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2</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r>
        <w:rPr>
          <w:b/>
          <w:vertAlign w:val="superscript"/>
        </w:rPr>
        <w:t>2</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2</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2</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2</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rPr>
          <w:b/>
        </w:rPr>
      </w:pPr>
      <w:r>
        <w:rPr>
          <w:b/>
        </w:rPr>
        <w:t xml:space="preserve">Non-interference with Muja power station water supply and transmission lines </w:t>
      </w:r>
      <w:r>
        <w:rPr>
          <w:b/>
          <w:vertAlign w:val="superscript"/>
        </w:rPr>
        <w:t>2</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2</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2</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2</w:t>
      </w:r>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2</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2</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r>
        <w:rPr>
          <w:b/>
          <w:vertAlign w:val="superscript"/>
        </w:rPr>
        <w:t>2</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2</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2</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2</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2</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2</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2</w:t>
      </w:r>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2</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2</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2</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r>
        <w:rPr>
          <w:b/>
          <w:vertAlign w:val="superscript"/>
        </w:rPr>
        <w:t>2</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2</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2</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r>
        <w:rPr>
          <w:b/>
          <w:vertAlign w:val="superscript"/>
        </w:rPr>
        <w:t>2</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2</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2</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2</w:t>
      </w:r>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2</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2</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2</w:t>
      </w:r>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2</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2</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2</w:t>
      </w:r>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2</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2</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2</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2</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2</w:t>
      </w:r>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r>
        <w:rPr>
          <w:b/>
          <w:vertAlign w:val="superscript"/>
        </w:rPr>
        <w:t>2</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2</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2</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2</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2</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2</w:t>
      </w:r>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2</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2</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2</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2</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2</w:t>
      </w:r>
    </w:p>
    <w:p>
      <w:pPr>
        <w:pStyle w:val="yMiscellaneousBody"/>
      </w:pPr>
      <w:r>
        <w:t>48.</w:t>
      </w:r>
      <w:r>
        <w:tab/>
        <w:t>This Agreement shall be interpreted according to the law for the time being in force in the said State.</w:t>
      </w:r>
    </w:p>
    <w:p>
      <w:pPr>
        <w:pStyle w:val="yMiscellaneousBody"/>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pPr>
            <w:r>
              <w:t>THE COMMON SEAL of THE GRIFFIN COAL MINING COMPANY LIMITED was hereunto affixed by authority of the Board of Directors, and in the presence of:</w:t>
            </w:r>
          </w:p>
        </w:tc>
        <w:tc>
          <w:tcPr>
            <w:tcW w:w="709"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pPr>
          </w:p>
          <w:p>
            <w:pPr>
              <w:pStyle w:val="yMiscellaneousBody"/>
            </w:pPr>
            <w:r>
              <w:t>(C.S.)</w:t>
            </w:r>
          </w:p>
        </w:tc>
      </w:tr>
    </w:tbl>
    <w:p>
      <w:pPr>
        <w:pStyle w:val="yMiscellaneousBody"/>
      </w:pPr>
      <w:r>
        <w:t>Director.  STOWE.</w:t>
      </w:r>
    </w:p>
    <w:p>
      <w:pPr>
        <w:pStyle w:val="yMiscellaneousBody"/>
      </w:pPr>
      <w:r>
        <w:t>Secretary.  D. JESSUP.</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 w:name="_Toc267913463"/>
      <w:r>
        <w:t>Notes</w:t>
      </w:r>
      <w:bookmarkEnd w:id="12"/>
    </w:p>
    <w:p>
      <w:pPr>
        <w:pStyle w:val="nSubsection"/>
        <w:rPr>
          <w:snapToGrid w:val="0"/>
        </w:rPr>
      </w:pPr>
      <w:r>
        <w:rPr>
          <w:snapToGrid w:val="0"/>
          <w:vertAlign w:val="superscript"/>
        </w:rPr>
        <w:t>1</w:t>
      </w:r>
      <w:r>
        <w:rPr>
          <w:snapToGrid w:val="0"/>
        </w:rPr>
        <w:tab/>
        <w:t>This</w:t>
      </w:r>
      <w:del w:id="13" w:author="svcMRProcess" w:date="2020-02-14T11:59:00Z">
        <w:r>
          <w:rPr>
            <w:snapToGrid w:val="0"/>
          </w:rPr>
          <w:delText> </w:delText>
        </w:r>
      </w:del>
      <w:ins w:id="14" w:author="svcMRProcess" w:date="2020-02-14T11:59:00Z">
        <w:r>
          <w:rPr>
            <w:snapToGrid w:val="0"/>
          </w:rPr>
          <w:t xml:space="preserve"> </w:t>
        </w:r>
      </w:ins>
      <w:r>
        <w:rPr>
          <w:snapToGrid w:val="0"/>
        </w:rPr>
        <w:t xml:space="preserve">is a compilation of the </w:t>
      </w:r>
      <w:r>
        <w:rPr>
          <w:i/>
          <w:noProof/>
          <w:snapToGrid w:val="0"/>
        </w:rPr>
        <w:t>Collie Coal (Griffin) Agreement Act</w:t>
      </w:r>
      <w:del w:id="15" w:author="svcMRProcess" w:date="2020-02-14T11:59:00Z">
        <w:r>
          <w:rPr>
            <w:i/>
            <w:noProof/>
            <w:snapToGrid w:val="0"/>
          </w:rPr>
          <w:delText> </w:delText>
        </w:r>
      </w:del>
      <w:ins w:id="16" w:author="svcMRProcess" w:date="2020-02-14T11:59:00Z">
        <w:r>
          <w:rPr>
            <w:i/>
            <w:noProof/>
            <w:snapToGrid w:val="0"/>
          </w:rPr>
          <w:t xml:space="preserve"> </w:t>
        </w:r>
      </w:ins>
      <w:r>
        <w:rPr>
          <w:i/>
          <w:noProof/>
          <w:snapToGrid w:val="0"/>
        </w:rPr>
        <w:t>1979</w:t>
      </w:r>
      <w:del w:id="17" w:author="svcMRProcess" w:date="2020-02-14T11:59:00Z">
        <w:r>
          <w:rPr>
            <w:snapToGrid w:val="0"/>
          </w:rPr>
          <w:delText xml:space="preserve">.  The </w:delText>
        </w:r>
      </w:del>
      <w:ins w:id="18" w:author="svcMRProcess" w:date="2020-02-14T11:59:00Z">
        <w:r>
          <w:rPr>
            <w:snapToGrid w:val="0"/>
          </w:rPr>
          <w:t xml:space="preserve"> and includes the amendments made by the other written laws referred to in the </w:t>
        </w:r>
      </w:ins>
      <w:r>
        <w:rPr>
          <w:snapToGrid w:val="0"/>
        </w:rPr>
        <w:t>following table</w:t>
      </w:r>
      <w:ins w:id="19" w:author="svcMRProcess" w:date="2020-02-14T11:59:00Z">
        <w:r>
          <w:rPr>
            <w:snapToGrid w:val="0"/>
          </w:rPr>
          <w:t>.  The table also</w:t>
        </w:r>
      </w:ins>
      <w:r>
        <w:rPr>
          <w:snapToGrid w:val="0"/>
        </w:rPr>
        <w:t xml:space="preserve"> contains information about </w:t>
      </w:r>
      <w:del w:id="20" w:author="svcMRProcess" w:date="2020-02-14T11:59:00Z">
        <w:r>
          <w:rPr>
            <w:snapToGrid w:val="0"/>
          </w:rPr>
          <w:delText xml:space="preserve">that Act. </w:delText>
        </w:r>
      </w:del>
      <w:ins w:id="21" w:author="svcMRProcess" w:date="2020-02-14T11:59:00Z">
        <w:r>
          <w:rPr>
            <w:snapToGrid w:val="0"/>
          </w:rPr>
          <w:t>any reprint.</w:t>
        </w:r>
      </w:ins>
    </w:p>
    <w:p>
      <w:pPr>
        <w:pStyle w:val="nHeading3"/>
        <w:outlineLvl w:val="9"/>
        <w:rPr>
          <w:snapToGrid w:val="0"/>
        </w:rPr>
      </w:pPr>
      <w:bookmarkStart w:id="22" w:name="_Toc25728726"/>
      <w:bookmarkStart w:id="23" w:name="_Toc267913464"/>
      <w:r>
        <w:rPr>
          <w:snapToGrid w:val="0"/>
        </w:rPr>
        <w:t>Compilation table</w:t>
      </w:r>
      <w:bookmarkEnd w:id="22"/>
      <w:bookmarkEnd w:id="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Collie Coal (Griffin) Agreement Act 1979</w:t>
            </w:r>
          </w:p>
        </w:tc>
        <w:tc>
          <w:tcPr>
            <w:tcW w:w="1134" w:type="dxa"/>
            <w:tcBorders>
              <w:top w:val="nil"/>
              <w:bottom w:val="nil"/>
            </w:tcBorders>
          </w:tcPr>
          <w:p>
            <w:pPr>
              <w:pStyle w:val="nTable"/>
              <w:spacing w:before="80"/>
              <w:rPr>
                <w:sz w:val="19"/>
              </w:rPr>
            </w:pPr>
            <w:r>
              <w:rPr>
                <w:sz w:val="19"/>
              </w:rPr>
              <w:t>82 of 1979</w:t>
            </w:r>
          </w:p>
        </w:tc>
        <w:tc>
          <w:tcPr>
            <w:tcW w:w="1134" w:type="dxa"/>
            <w:tcBorders>
              <w:top w:val="nil"/>
              <w:bottom w:val="nil"/>
            </w:tcBorders>
          </w:tcPr>
          <w:p>
            <w:pPr>
              <w:pStyle w:val="nTable"/>
              <w:spacing w:before="80"/>
              <w:rPr>
                <w:sz w:val="19"/>
              </w:rPr>
            </w:pPr>
            <w:r>
              <w:rPr>
                <w:sz w:val="19"/>
              </w:rPr>
              <w:t>11 Dec 1979</w:t>
            </w:r>
          </w:p>
        </w:tc>
        <w:tc>
          <w:tcPr>
            <w:tcW w:w="2551" w:type="dxa"/>
            <w:tcBorders>
              <w:top w:val="nil"/>
              <w:bottom w:val="nil"/>
            </w:tcBorders>
          </w:tcPr>
          <w:p>
            <w:pPr>
              <w:pStyle w:val="nTable"/>
              <w:spacing w:before="80"/>
              <w:rPr>
                <w:sz w:val="19"/>
              </w:rPr>
            </w:pPr>
            <w:r>
              <w:rPr>
                <w:sz w:val="19"/>
              </w:rPr>
              <w:t>11 Dec 1979</w:t>
            </w:r>
          </w:p>
        </w:tc>
      </w:tr>
      <w:tr>
        <w:trPr>
          <w:cantSplit/>
        </w:trPr>
        <w:tc>
          <w:tcPr>
            <w:tcW w:w="7087" w:type="dxa"/>
            <w:gridSpan w:val="4"/>
            <w:tcBorders>
              <w:top w:val="nil"/>
            </w:tcBorders>
          </w:tcPr>
          <w:p>
            <w:pPr>
              <w:pStyle w:val="nTable"/>
              <w:spacing w:before="80"/>
              <w:rPr>
                <w:b/>
                <w:sz w:val="19"/>
              </w:rPr>
            </w:pPr>
            <w:r>
              <w:rPr>
                <w:b/>
                <w:sz w:val="19"/>
              </w:rPr>
              <w:t xml:space="preserve">Reprint of the </w:t>
            </w:r>
            <w:r>
              <w:rPr>
                <w:b/>
                <w:i/>
                <w:sz w:val="19"/>
              </w:rPr>
              <w:t>Collie Coal (Griffin) Agreement Act 1979</w:t>
            </w:r>
            <w:r>
              <w:rPr>
                <w:b/>
                <w:sz w:val="19"/>
              </w:rPr>
              <w:t xml:space="preserve"> as at 8 Nov 2002</w:t>
            </w:r>
          </w:p>
        </w:tc>
      </w:tr>
    </w:tbl>
    <w:p>
      <w:pPr>
        <w:pStyle w:val="nSubsection"/>
        <w:rPr>
          <w:ins w:id="24" w:author="svcMRProcess" w:date="2020-02-14T11:59:00Z"/>
          <w:vertAlign w:val="superscript"/>
        </w:rPr>
      </w:pPr>
    </w:p>
    <w:p>
      <w:pPr>
        <w:pStyle w:val="nSubsection"/>
        <w:tabs>
          <w:tab w:val="clear" w:pos="454"/>
          <w:tab w:val="left" w:pos="567"/>
        </w:tabs>
        <w:spacing w:before="120"/>
        <w:ind w:left="567" w:hanging="567"/>
        <w:rPr>
          <w:ins w:id="25" w:author="svcMRProcess" w:date="2020-02-14T11:59:00Z"/>
          <w:snapToGrid w:val="0"/>
        </w:rPr>
      </w:pPr>
      <w:ins w:id="26" w:author="svcMRProcess" w:date="2020-02-14T11: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 w:author="svcMRProcess" w:date="2020-02-14T11:59:00Z"/>
        </w:rPr>
      </w:pPr>
      <w:bookmarkStart w:id="28" w:name="_Toc7405065"/>
      <w:bookmarkStart w:id="29" w:name="_Toc267913465"/>
      <w:ins w:id="30" w:author="svcMRProcess" w:date="2020-02-14T11:59:00Z">
        <w:r>
          <w:t>Provisions that have not come into operation</w:t>
        </w:r>
        <w:bookmarkEnd w:id="28"/>
        <w:bookmarkEnd w:id="2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1" w:author="svcMRProcess" w:date="2020-02-14T11:59:00Z"/>
        </w:trPr>
        <w:tc>
          <w:tcPr>
            <w:tcW w:w="2266" w:type="dxa"/>
          </w:tcPr>
          <w:p>
            <w:pPr>
              <w:pStyle w:val="nTable"/>
              <w:spacing w:after="40"/>
              <w:rPr>
                <w:ins w:id="32" w:author="svcMRProcess" w:date="2020-02-14T11:59:00Z"/>
                <w:b/>
                <w:snapToGrid w:val="0"/>
                <w:sz w:val="19"/>
                <w:lang w:val="en-US"/>
              </w:rPr>
            </w:pPr>
            <w:ins w:id="33" w:author="svcMRProcess" w:date="2020-02-14T11:59:00Z">
              <w:r>
                <w:rPr>
                  <w:b/>
                  <w:snapToGrid w:val="0"/>
                  <w:sz w:val="19"/>
                  <w:lang w:val="en-US"/>
                </w:rPr>
                <w:t>Short title</w:t>
              </w:r>
            </w:ins>
          </w:p>
        </w:tc>
        <w:tc>
          <w:tcPr>
            <w:tcW w:w="1120" w:type="dxa"/>
          </w:tcPr>
          <w:p>
            <w:pPr>
              <w:pStyle w:val="nTable"/>
              <w:spacing w:after="40"/>
              <w:rPr>
                <w:ins w:id="34" w:author="svcMRProcess" w:date="2020-02-14T11:59:00Z"/>
                <w:b/>
                <w:snapToGrid w:val="0"/>
                <w:sz w:val="19"/>
                <w:lang w:val="en-US"/>
              </w:rPr>
            </w:pPr>
            <w:ins w:id="35" w:author="svcMRProcess" w:date="2020-02-14T11:59:00Z">
              <w:r>
                <w:rPr>
                  <w:b/>
                  <w:snapToGrid w:val="0"/>
                  <w:sz w:val="19"/>
                  <w:lang w:val="en-US"/>
                </w:rPr>
                <w:t>Number and year</w:t>
              </w:r>
            </w:ins>
          </w:p>
        </w:tc>
        <w:tc>
          <w:tcPr>
            <w:tcW w:w="1135" w:type="dxa"/>
          </w:tcPr>
          <w:p>
            <w:pPr>
              <w:pStyle w:val="nTable"/>
              <w:spacing w:after="40"/>
              <w:rPr>
                <w:ins w:id="36" w:author="svcMRProcess" w:date="2020-02-14T11:59:00Z"/>
                <w:b/>
                <w:snapToGrid w:val="0"/>
                <w:sz w:val="19"/>
                <w:lang w:val="en-US"/>
              </w:rPr>
            </w:pPr>
            <w:ins w:id="37" w:author="svcMRProcess" w:date="2020-02-14T11:59:00Z">
              <w:r>
                <w:rPr>
                  <w:b/>
                  <w:snapToGrid w:val="0"/>
                  <w:sz w:val="19"/>
                  <w:lang w:val="en-US"/>
                </w:rPr>
                <w:t>Assent</w:t>
              </w:r>
            </w:ins>
          </w:p>
        </w:tc>
        <w:tc>
          <w:tcPr>
            <w:tcW w:w="2534" w:type="dxa"/>
          </w:tcPr>
          <w:p>
            <w:pPr>
              <w:pStyle w:val="nTable"/>
              <w:spacing w:after="40"/>
              <w:rPr>
                <w:ins w:id="38" w:author="svcMRProcess" w:date="2020-02-14T11:59:00Z"/>
                <w:b/>
                <w:snapToGrid w:val="0"/>
                <w:sz w:val="19"/>
                <w:lang w:val="en-US"/>
              </w:rPr>
            </w:pPr>
            <w:ins w:id="39" w:author="svcMRProcess" w:date="2020-02-14T11:59:00Z">
              <w:r>
                <w:rPr>
                  <w:b/>
                  <w:snapToGrid w:val="0"/>
                  <w:sz w:val="19"/>
                  <w:lang w:val="en-US"/>
                </w:rPr>
                <w:t>Commencement</w:t>
              </w:r>
            </w:ins>
          </w:p>
        </w:tc>
      </w:tr>
      <w:tr>
        <w:tblPrEx>
          <w:tblCellMar>
            <w:left w:w="56" w:type="dxa"/>
            <w:right w:w="56" w:type="dxa"/>
          </w:tblCellMar>
        </w:tblPrEx>
        <w:trPr>
          <w:cantSplit/>
          <w:ins w:id="40" w:author="svcMRProcess" w:date="2020-02-14T11:59:00Z"/>
        </w:trPr>
        <w:tc>
          <w:tcPr>
            <w:tcW w:w="2266" w:type="dxa"/>
          </w:tcPr>
          <w:p>
            <w:pPr>
              <w:pStyle w:val="nTable"/>
              <w:spacing w:after="40"/>
              <w:ind w:right="113"/>
              <w:rPr>
                <w:ins w:id="41" w:author="svcMRProcess" w:date="2020-02-14T11:59:00Z"/>
                <w:iCs/>
                <w:snapToGrid w:val="0"/>
                <w:sz w:val="19"/>
                <w:lang w:val="en-US"/>
              </w:rPr>
            </w:pPr>
            <w:ins w:id="42" w:author="svcMRProcess" w:date="2020-02-14T11:5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43" w:author="svcMRProcess" w:date="2020-02-14T11:59:00Z"/>
                <w:snapToGrid w:val="0"/>
                <w:sz w:val="19"/>
                <w:lang w:val="en-US"/>
              </w:rPr>
            </w:pPr>
            <w:ins w:id="44" w:author="svcMRProcess" w:date="2020-02-14T11:59:00Z">
              <w:r>
                <w:rPr>
                  <w:snapToGrid w:val="0"/>
                  <w:sz w:val="19"/>
                  <w:lang w:val="en-US"/>
                </w:rPr>
                <w:t>19 of 2010</w:t>
              </w:r>
            </w:ins>
          </w:p>
        </w:tc>
        <w:tc>
          <w:tcPr>
            <w:tcW w:w="1135" w:type="dxa"/>
          </w:tcPr>
          <w:p>
            <w:pPr>
              <w:pStyle w:val="nTable"/>
              <w:spacing w:after="40"/>
              <w:rPr>
                <w:ins w:id="45" w:author="svcMRProcess" w:date="2020-02-14T11:59:00Z"/>
                <w:snapToGrid w:val="0"/>
                <w:sz w:val="19"/>
                <w:lang w:val="en-US"/>
              </w:rPr>
            </w:pPr>
            <w:ins w:id="46" w:author="svcMRProcess" w:date="2020-02-14T11:59:00Z">
              <w:r>
                <w:rPr>
                  <w:snapToGrid w:val="0"/>
                  <w:sz w:val="19"/>
                  <w:lang w:val="en-US"/>
                </w:rPr>
                <w:t>28 Jun 2010</w:t>
              </w:r>
            </w:ins>
          </w:p>
        </w:tc>
        <w:tc>
          <w:tcPr>
            <w:tcW w:w="2534" w:type="dxa"/>
          </w:tcPr>
          <w:p>
            <w:pPr>
              <w:pStyle w:val="nTable"/>
              <w:spacing w:after="40"/>
              <w:rPr>
                <w:ins w:id="47" w:author="svcMRProcess" w:date="2020-02-14T11:59:00Z"/>
                <w:snapToGrid w:val="0"/>
                <w:sz w:val="19"/>
                <w:lang w:val="en-US"/>
              </w:rPr>
            </w:pPr>
            <w:ins w:id="48" w:author="svcMRProcess" w:date="2020-02-14T11:59:00Z">
              <w:r>
                <w:rPr>
                  <w:snapToGrid w:val="0"/>
                  <w:sz w:val="19"/>
                  <w:lang w:val="en-US"/>
                </w:rPr>
                <w:t>To be proclaimed (see s. 2(b))</w:t>
              </w:r>
            </w:ins>
          </w:p>
        </w:tc>
      </w:tr>
    </w:tbl>
    <w:p>
      <w:pPr>
        <w:pStyle w:val="nSubsection"/>
        <w:rPr>
          <w:ins w:id="49" w:author="svcMRProcess" w:date="2020-02-14T11:59: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ins w:id="50" w:author="svcMRProcess" w:date="2020-02-14T11:59:00Z"/>
          <w:snapToGrid w:val="0"/>
        </w:rPr>
      </w:pPr>
      <w:ins w:id="51" w:author="svcMRProcess" w:date="2020-02-14T11: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2" w:author="svcMRProcess" w:date="2020-02-14T11:59:00Z"/>
        </w:rPr>
      </w:pPr>
    </w:p>
    <w:p>
      <w:pPr>
        <w:pStyle w:val="nzHeading5"/>
        <w:rPr>
          <w:ins w:id="53" w:author="svcMRProcess" w:date="2020-02-14T11:59:00Z"/>
          <w:rFonts w:eastAsia="MS Mincho"/>
        </w:rPr>
      </w:pPr>
      <w:bookmarkStart w:id="54" w:name="_Toc233107675"/>
      <w:bookmarkStart w:id="55" w:name="_Toc255473698"/>
      <w:bookmarkStart w:id="56" w:name="_Toc265583753"/>
      <w:ins w:id="57" w:author="svcMRProcess" w:date="2020-02-14T11:59:00Z">
        <w:r>
          <w:rPr>
            <w:rStyle w:val="CharSectno"/>
            <w:rFonts w:eastAsia="MS Mincho"/>
          </w:rPr>
          <w:t>4</w:t>
        </w:r>
        <w:r>
          <w:rPr>
            <w:rFonts w:eastAsia="MS Mincho"/>
          </w:rPr>
          <w:t>.</w:t>
        </w:r>
        <w:r>
          <w:rPr>
            <w:rFonts w:eastAsia="MS Mincho"/>
          </w:rPr>
          <w:tab/>
          <w:t>Schedule headings reformatted</w:t>
        </w:r>
        <w:bookmarkEnd w:id="54"/>
        <w:bookmarkEnd w:id="55"/>
        <w:bookmarkEnd w:id="56"/>
      </w:ins>
    </w:p>
    <w:p>
      <w:pPr>
        <w:pStyle w:val="nzSubsection"/>
        <w:rPr>
          <w:ins w:id="58" w:author="svcMRProcess" w:date="2020-02-14T11:59:00Z"/>
          <w:rFonts w:eastAsia="MS Mincho"/>
        </w:rPr>
      </w:pPr>
      <w:ins w:id="59" w:author="svcMRProcess" w:date="2020-02-14T11:59:00Z">
        <w:r>
          <w:rPr>
            <w:rFonts w:eastAsia="MS Mincho"/>
          </w:rPr>
          <w:tab/>
          <w:t>(1)</w:t>
        </w:r>
        <w:r>
          <w:rPr>
            <w:rFonts w:eastAsia="MS Mincho"/>
          </w:rPr>
          <w:tab/>
          <w:t>This section amends the Acts listed in the Table.</w:t>
        </w:r>
      </w:ins>
    </w:p>
    <w:p>
      <w:pPr>
        <w:pStyle w:val="nzSubsection"/>
        <w:rPr>
          <w:ins w:id="60" w:author="svcMRProcess" w:date="2020-02-14T11:59:00Z"/>
        </w:rPr>
      </w:pPr>
      <w:ins w:id="61" w:author="svcMRProcess" w:date="2020-02-14T11:59:00Z">
        <w:r>
          <w:rPr>
            <w:rFonts w:eastAsia="MS Mincho"/>
          </w:rPr>
          <w:tab/>
          <w:t>(2)</w:t>
        </w:r>
        <w:r>
          <w:rPr>
            <w:rFonts w:eastAsia="MS Mincho"/>
          </w:rPr>
          <w:tab/>
          <w:t>In each Schedule listed in the Table:</w:t>
        </w:r>
      </w:ins>
    </w:p>
    <w:p>
      <w:pPr>
        <w:pStyle w:val="nzIndenta"/>
        <w:rPr>
          <w:ins w:id="62" w:author="svcMRProcess" w:date="2020-02-14T11:59:00Z"/>
        </w:rPr>
      </w:pPr>
      <w:ins w:id="63" w:author="svcMRProcess" w:date="2020-02-14T11:59:00Z">
        <w:r>
          <w:tab/>
          <w:t>(a)</w:t>
        </w:r>
        <w:r>
          <w:tab/>
          <w:t>if there is a title set out in the Table for the Schedule — after the identifier for the Schedule insert that title;</w:t>
        </w:r>
      </w:ins>
    </w:p>
    <w:p>
      <w:pPr>
        <w:pStyle w:val="nzIndenta"/>
        <w:rPr>
          <w:ins w:id="64" w:author="svcMRProcess" w:date="2020-02-14T11:59:00Z"/>
        </w:rPr>
      </w:pPr>
      <w:ins w:id="65" w:author="svcMRProcess" w:date="2020-02-14T11:59:00Z">
        <w:r>
          <w:tab/>
          <w:t>(b)</w:t>
        </w:r>
        <w:r>
          <w:tab/>
          <w:t>if there is a shoulder note set out in the Table for the Schedule — at the end of the heading to the Schedule insert that shoulder note;</w:t>
        </w:r>
      </w:ins>
    </w:p>
    <w:p>
      <w:pPr>
        <w:pStyle w:val="nzIndenta"/>
        <w:rPr>
          <w:ins w:id="66" w:author="svcMRProcess" w:date="2020-02-14T11:59:00Z"/>
        </w:rPr>
      </w:pPr>
      <w:ins w:id="67" w:author="svcMRProcess" w:date="2020-02-14T11:5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8" w:author="svcMRProcess" w:date="2020-02-14T11: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 w:author="svcMRProcess" w:date="2020-02-14T11:59:00Z"/>
                <w:rFonts w:eastAsia="MS Mincho"/>
                <w:b/>
                <w:bCs/>
                <w:sz w:val="18"/>
              </w:rPr>
            </w:pPr>
            <w:ins w:id="70" w:author="svcMRProcess" w:date="2020-02-14T11:5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20-02-14T11:59:00Z"/>
                <w:b/>
                <w:bCs/>
                <w:sz w:val="18"/>
              </w:rPr>
            </w:pPr>
            <w:ins w:id="72" w:author="svcMRProcess" w:date="2020-02-14T11:5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20-02-14T11:59:00Z"/>
                <w:b/>
                <w:bCs/>
                <w:sz w:val="18"/>
              </w:rPr>
            </w:pPr>
            <w:ins w:id="74" w:author="svcMRProcess" w:date="2020-02-14T11:5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5" w:author="svcMRProcess" w:date="2020-02-14T11:59:00Z"/>
                <w:b/>
                <w:bCs/>
                <w:sz w:val="18"/>
              </w:rPr>
            </w:pPr>
            <w:ins w:id="76" w:author="svcMRProcess" w:date="2020-02-14T11:59:00Z">
              <w:r>
                <w:rPr>
                  <w:b/>
                  <w:bCs/>
                  <w:sz w:val="18"/>
                </w:rPr>
                <w:t>Shoulder note</w:t>
              </w:r>
            </w:ins>
          </w:p>
        </w:tc>
      </w:tr>
      <w:tr>
        <w:trPr>
          <w:ins w:id="77" w:author="svcMRProcess" w:date="2020-02-14T11: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8" w:author="svcMRProcess" w:date="2020-02-14T11:59:00Z"/>
                <w:i/>
                <w:iCs/>
                <w:sz w:val="18"/>
              </w:rPr>
            </w:pPr>
            <w:ins w:id="79" w:author="svcMRProcess" w:date="2020-02-14T11:59:00Z">
              <w:r>
                <w:rPr>
                  <w:rFonts w:eastAsia="MS Mincho"/>
                  <w:i/>
                  <w:iCs/>
                  <w:sz w:val="18"/>
                </w:rPr>
                <w:t>Collie Coal (Griffin) Agreement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0" w:author="svcMRProcess" w:date="2020-02-14T11:59:00Z"/>
                <w:sz w:val="18"/>
              </w:rPr>
            </w:pPr>
            <w:ins w:id="81" w:author="svcMRProcess" w:date="2020-02-14T11:5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2" w:author="svcMRProcess" w:date="2020-02-14T11:59:00Z"/>
                <w:sz w:val="18"/>
              </w:rPr>
            </w:pPr>
            <w:ins w:id="83" w:author="svcMRProcess" w:date="2020-02-14T11:59:00Z">
              <w:r>
                <w:rPr>
                  <w:rFonts w:eastAsia="MS Mincho"/>
                  <w:sz w:val="18"/>
                </w:rPr>
                <w:t>Collie Coal (Griffin)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4" w:author="svcMRProcess" w:date="2020-02-14T11:59:00Z"/>
                <w:sz w:val="18"/>
              </w:rPr>
            </w:pPr>
          </w:p>
        </w:tc>
      </w:tr>
    </w:tbl>
    <w:p>
      <w:pPr>
        <w:pStyle w:val="BlankClose"/>
        <w:rPr>
          <w:ins w:id="85" w:author="svcMRProcess" w:date="2020-02-14T11:59: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Schedule</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 Coal (Griffin) Agreement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410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42C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D68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0E96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04C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E33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8AC8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60C3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EC7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B9A0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084C2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84C06E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12380</Words>
  <Characters>60541</Characters>
  <Application>Microsoft Office Word</Application>
  <DocSecurity>0</DocSecurity>
  <Lines>1210</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01-a0-07 - 01-b0-01</dc:title>
  <dc:subject/>
  <dc:creator/>
  <cp:keywords/>
  <dc:description/>
  <cp:lastModifiedBy>svcMRProcess</cp:lastModifiedBy>
  <cp:revision>2</cp:revision>
  <cp:lastPrinted>2002-11-06T08:08:00Z</cp:lastPrinted>
  <dcterms:created xsi:type="dcterms:W3CDTF">2020-02-14T03:58:00Z</dcterms:created>
  <dcterms:modified xsi:type="dcterms:W3CDTF">2020-02-14T03:59:00Z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08 Nov 2002</vt:lpwstr>
  </property>
  <property fmtid="{D5CDD505-2E9C-101B-9397-08002B2CF9AE}" pid="7" name="ToSuffix">
    <vt:lpwstr>01-b0-01</vt:lpwstr>
  </property>
  <property fmtid="{D5CDD505-2E9C-101B-9397-08002B2CF9AE}" pid="8" name="ToAsAtDate">
    <vt:lpwstr>28 Jun 2010</vt:lpwstr>
  </property>
</Properties>
</file>